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5347CFAD" w:rsidR="008F2307" w:rsidRPr="00F80EEE" w:rsidRDefault="006431A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9264" behindDoc="1" locked="0" layoutInCell="1" allowOverlap="1" wp14:anchorId="665DCAF1" wp14:editId="710006EA">
            <wp:simplePos x="0" y="0"/>
            <wp:positionH relativeFrom="column">
              <wp:posOffset>0</wp:posOffset>
            </wp:positionH>
            <wp:positionV relativeFrom="paragraph">
              <wp:posOffset>0</wp:posOffset>
            </wp:positionV>
            <wp:extent cx="6611112" cy="1847088"/>
            <wp:effectExtent l="0" t="0" r="0" b="1270"/>
            <wp:wrapNone/>
            <wp:docPr id="12135780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8066" name="Picture 1" descr="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1112" cy="184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A4506A">
        <w:rPr>
          <w:rFonts w:ascii="Arial Narrow" w:hAnsi="Arial Narrow"/>
          <w:b/>
          <w:color w:val="auto"/>
          <w:sz w:val="20"/>
          <w:szCs w:val="20"/>
        </w:rPr>
        <w:t>4</w:t>
      </w:r>
      <w:r w:rsidR="000A7CE1">
        <w:rPr>
          <w:rFonts w:ascii="Arial Narrow" w:hAnsi="Arial Narrow"/>
          <w:b/>
          <w:color w:val="auto"/>
          <w:sz w:val="20"/>
          <w:szCs w:val="20"/>
        </w:rPr>
        <w:t>5</w:t>
      </w:r>
      <w:r w:rsidR="008F2307" w:rsidRPr="00F80EEE">
        <w:rPr>
          <w:rFonts w:ascii="Arial Narrow" w:hAnsi="Arial Narrow"/>
          <w:b/>
          <w:color w:val="auto"/>
          <w:sz w:val="20"/>
          <w:szCs w:val="20"/>
        </w:rPr>
        <w:t xml:space="preserve">, </w:t>
      </w:r>
      <w:r w:rsidR="00274FFA">
        <w:rPr>
          <w:rFonts w:ascii="Arial Narrow" w:hAnsi="Arial Narrow"/>
          <w:b/>
          <w:color w:val="auto"/>
          <w:sz w:val="20"/>
          <w:szCs w:val="20"/>
        </w:rPr>
        <w:t>May</w:t>
      </w:r>
      <w:r w:rsidR="00256E8B">
        <w:rPr>
          <w:rFonts w:ascii="Arial Narrow" w:hAnsi="Arial Narrow"/>
          <w:b/>
          <w:color w:val="auto"/>
          <w:sz w:val="20"/>
          <w:szCs w:val="20"/>
        </w:rPr>
        <w:t xml:space="preserve"> </w:t>
      </w:r>
      <w:r w:rsidR="000A7CE1">
        <w:rPr>
          <w:rFonts w:ascii="Arial Narrow" w:hAnsi="Arial Narrow"/>
          <w:b/>
          <w:color w:val="auto"/>
          <w:sz w:val="20"/>
          <w:szCs w:val="20"/>
        </w:rPr>
        <w:t>5</w:t>
      </w:r>
      <w:r w:rsidR="00A4506A">
        <w:rPr>
          <w:rFonts w:ascii="Arial Narrow" w:hAnsi="Arial Narrow"/>
          <w:b/>
          <w:color w:val="auto"/>
          <w:sz w:val="20"/>
          <w:szCs w:val="20"/>
        </w:rPr>
        <w:t>,</w:t>
      </w:r>
      <w:r w:rsidR="00256E8B">
        <w:rPr>
          <w:rFonts w:ascii="Arial Narrow" w:hAnsi="Arial Narrow"/>
          <w:b/>
          <w:color w:val="auto"/>
          <w:sz w:val="20"/>
          <w:szCs w:val="20"/>
        </w:rPr>
        <w:t xml:space="preserve"> 2025</w:t>
      </w:r>
    </w:p>
    <w:p w14:paraId="50A17C1C" w14:textId="18B4A816"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default" r:id="rId9"/>
          <w:footerReference w:type="default" r:id="rId10"/>
          <w:footerReference w:type="first" r:id="rId11"/>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743960F3" w14:textId="77777777" w:rsidR="00256E8B" w:rsidRPr="00E37E21" w:rsidRDefault="00256E8B" w:rsidP="00E37E21">
      <w:pPr>
        <w:pStyle w:val="Title"/>
      </w:pPr>
      <w:bookmarkStart w:id="0" w:name="_Hlk179280234"/>
      <w:r w:rsidRPr="00E37E21">
        <w:t>MassHealth Drug List Update</w:t>
      </w:r>
    </w:p>
    <w:p w14:paraId="0F4527C4" w14:textId="12C9FB9F" w:rsidR="00256E8B" w:rsidRDefault="00256E8B" w:rsidP="00E37E21">
      <w:pPr>
        <w:rPr>
          <w:rFonts w:ascii="Arial" w:hAnsi="Arial" w:cs="Arial"/>
          <w:sz w:val="22"/>
          <w:szCs w:val="22"/>
        </w:rPr>
      </w:pPr>
      <w:r w:rsidRPr="00E37E21">
        <w:rPr>
          <w:rFonts w:ascii="Arial" w:hAnsi="Arial" w:cs="Arial"/>
          <w:sz w:val="22"/>
          <w:szCs w:val="22"/>
        </w:rPr>
        <w:t>Below are updates to the MassHealth Drug List (MHDL). See the MHDL</w:t>
      </w:r>
      <w:r w:rsidR="000A7CE1">
        <w:rPr>
          <w:rFonts w:ascii="Arial" w:hAnsi="Arial" w:cs="Arial"/>
          <w:sz w:val="22"/>
          <w:szCs w:val="22"/>
        </w:rPr>
        <w:t xml:space="preserve"> </w:t>
      </w:r>
      <w:r w:rsidRPr="00E37E21">
        <w:rPr>
          <w:rFonts w:ascii="Arial" w:hAnsi="Arial" w:cs="Arial"/>
          <w:sz w:val="22"/>
          <w:szCs w:val="22"/>
        </w:rPr>
        <w:t>for a complete listing of updates.</w:t>
      </w:r>
    </w:p>
    <w:p w14:paraId="250BA479" w14:textId="77777777" w:rsidR="00742D9C" w:rsidRDefault="00742D9C" w:rsidP="00E37E21"/>
    <w:p w14:paraId="4A49FE61" w14:textId="1BC0CED0" w:rsidR="00692C5C" w:rsidRPr="00E37E21" w:rsidRDefault="00692C5C" w:rsidP="00E37E21">
      <w:pPr>
        <w:pStyle w:val="Heading1"/>
        <w:spacing w:line="276" w:lineRule="auto"/>
        <w:rPr>
          <w:rFonts w:ascii="Arial" w:eastAsia="Yu Gothic Light" w:hAnsi="Arial"/>
          <w:sz w:val="24"/>
          <w:szCs w:val="24"/>
        </w:rPr>
      </w:pPr>
      <w:r w:rsidRPr="00E37E21">
        <w:rPr>
          <w:rFonts w:ascii="Arial" w:eastAsia="Yu Gothic Light" w:hAnsi="Arial"/>
          <w:sz w:val="24"/>
          <w:szCs w:val="24"/>
        </w:rPr>
        <w:t>Additions</w:t>
      </w:r>
    </w:p>
    <w:p w14:paraId="1F26D2FE" w14:textId="77777777" w:rsidR="00944DD4" w:rsidRPr="00944DD4" w:rsidRDefault="00944DD4" w:rsidP="00905319">
      <w:pPr>
        <w:autoSpaceDE w:val="0"/>
        <w:autoSpaceDN w:val="0"/>
        <w:adjustRightInd w:val="0"/>
        <w:spacing w:line="276" w:lineRule="auto"/>
        <w:rPr>
          <w:rFonts w:ascii="Arial" w:eastAsia="Calibri" w:hAnsi="Arial" w:cs="Arial"/>
          <w:color w:val="000000"/>
          <w:sz w:val="22"/>
          <w:szCs w:val="22"/>
        </w:rPr>
      </w:pPr>
      <w:r w:rsidRPr="00944DD4">
        <w:rPr>
          <w:rFonts w:ascii="Arial" w:eastAsia="Calibri" w:hAnsi="Arial" w:cs="Arial"/>
          <w:color w:val="000000"/>
          <w:sz w:val="22"/>
          <w:szCs w:val="22"/>
        </w:rPr>
        <w:t xml:space="preserve">Effective May 12, 2025, the following newly marketed drugs have been added to the MassHealth Drug List. </w:t>
      </w:r>
    </w:p>
    <w:p w14:paraId="2F790AC1"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Aucatzyl</w:t>
      </w:r>
      <w:proofErr w:type="spellEnd"/>
      <w:r w:rsidRPr="00944DD4">
        <w:rPr>
          <w:rFonts w:ascii="Arial" w:eastAsia="Calibri" w:hAnsi="Arial" w:cs="Arial"/>
          <w:color w:val="000000"/>
          <w:sz w:val="22"/>
          <w:szCs w:val="22"/>
        </w:rPr>
        <w:t xml:space="preserve"> (</w:t>
      </w:r>
      <w:proofErr w:type="spellStart"/>
      <w:r w:rsidRPr="00944DD4">
        <w:rPr>
          <w:rFonts w:ascii="Arial" w:eastAsia="Calibri" w:hAnsi="Arial" w:cs="Arial"/>
          <w:color w:val="000000"/>
          <w:sz w:val="22"/>
          <w:szCs w:val="22"/>
        </w:rPr>
        <w:t>obecabtagene</w:t>
      </w:r>
      <w:proofErr w:type="spellEnd"/>
      <w:r w:rsidRPr="00944DD4">
        <w:rPr>
          <w:rFonts w:ascii="Arial" w:eastAsia="Calibri" w:hAnsi="Arial" w:cs="Arial"/>
          <w:color w:val="000000"/>
          <w:sz w:val="22"/>
          <w:szCs w:val="22"/>
        </w:rPr>
        <w:t xml:space="preserve"> </w:t>
      </w:r>
      <w:proofErr w:type="spellStart"/>
      <w:r w:rsidRPr="00944DD4">
        <w:rPr>
          <w:rFonts w:ascii="Arial" w:eastAsia="Calibri" w:hAnsi="Arial" w:cs="Arial"/>
          <w:color w:val="000000"/>
          <w:sz w:val="22"/>
          <w:szCs w:val="22"/>
        </w:rPr>
        <w:t>autoleucel</w:t>
      </w:r>
      <w:proofErr w:type="spellEnd"/>
      <w:r w:rsidRPr="00944DD4">
        <w:rPr>
          <w:rFonts w:ascii="Arial" w:eastAsia="Calibri" w:hAnsi="Arial" w:cs="Arial"/>
          <w:color w:val="000000"/>
          <w:sz w:val="22"/>
          <w:szCs w:val="22"/>
        </w:rPr>
        <w:t xml:space="preserve">)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CO</w:t>
      </w:r>
    </w:p>
    <w:p w14:paraId="519E5598"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Axtle</w:t>
      </w:r>
      <w:proofErr w:type="spellEnd"/>
      <w:r w:rsidRPr="00944DD4">
        <w:rPr>
          <w:rFonts w:ascii="Arial" w:eastAsia="Calibri" w:hAnsi="Arial" w:cs="Arial"/>
          <w:color w:val="000000"/>
          <w:sz w:val="22"/>
          <w:szCs w:val="22"/>
        </w:rPr>
        <w:t xml:space="preserve"> (pemetrexed dipotassium)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MB</w:t>
      </w:r>
    </w:p>
    <w:p w14:paraId="42468CFF"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Azmiro</w:t>
      </w:r>
      <w:proofErr w:type="spellEnd"/>
      <w:r w:rsidRPr="00944DD4">
        <w:rPr>
          <w:rFonts w:ascii="Arial" w:eastAsia="Calibri" w:hAnsi="Arial" w:cs="Arial"/>
          <w:color w:val="000000"/>
          <w:sz w:val="22"/>
          <w:szCs w:val="22"/>
        </w:rPr>
        <w:t xml:space="preserve"> (testosterone cypionate)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xml:space="preserve"> </w:t>
      </w:r>
    </w:p>
    <w:p w14:paraId="279BF83E"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Danziten</w:t>
      </w:r>
      <w:proofErr w:type="spellEnd"/>
      <w:r w:rsidRPr="00944DD4">
        <w:rPr>
          <w:rFonts w:ascii="Arial" w:eastAsia="Calibri" w:hAnsi="Arial" w:cs="Arial"/>
          <w:color w:val="000000"/>
          <w:sz w:val="22"/>
          <w:szCs w:val="22"/>
        </w:rPr>
        <w:t xml:space="preserve"> (nilotinib tablet) – </w:t>
      </w:r>
      <w:r w:rsidRPr="00944DD4">
        <w:rPr>
          <w:rFonts w:ascii="Arial" w:eastAsia="Calibri" w:hAnsi="Arial" w:cs="Arial"/>
          <w:b/>
          <w:bCs/>
          <w:color w:val="000000"/>
          <w:sz w:val="22"/>
          <w:szCs w:val="22"/>
        </w:rPr>
        <w:t>PA</w:t>
      </w:r>
    </w:p>
    <w:p w14:paraId="258F21B1"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edaravone</w:t>
      </w:r>
      <w:proofErr w:type="spellEnd"/>
      <w:r w:rsidRPr="00944DD4">
        <w:rPr>
          <w:rFonts w:ascii="Arial" w:eastAsia="Calibri" w:hAnsi="Arial" w:cs="Arial"/>
          <w:color w:val="000000"/>
          <w:sz w:val="22"/>
          <w:szCs w:val="22"/>
        </w:rPr>
        <w:t xml:space="preserve"> –</w:t>
      </w:r>
      <w:r w:rsidRPr="00944DD4">
        <w:rPr>
          <w:rFonts w:ascii="Arial" w:eastAsia="Calibri" w:hAnsi="Arial" w:cs="Arial"/>
          <w:b/>
          <w:bCs/>
          <w:color w:val="000000"/>
          <w:sz w:val="22"/>
          <w:szCs w:val="22"/>
        </w:rPr>
        <w:t xml:space="preserve"> PA</w:t>
      </w:r>
      <w:r w:rsidRPr="00944DD4">
        <w:rPr>
          <w:rFonts w:ascii="Arial" w:eastAsia="Calibri" w:hAnsi="Arial" w:cs="Arial"/>
          <w:color w:val="000000"/>
          <w:sz w:val="22"/>
          <w:szCs w:val="22"/>
        </w:rPr>
        <w:t xml:space="preserve"> </w:t>
      </w:r>
    </w:p>
    <w:p w14:paraId="7F0C3B7E"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Hympavzi</w:t>
      </w:r>
      <w:proofErr w:type="spellEnd"/>
      <w:r w:rsidRPr="00944DD4">
        <w:rPr>
          <w:rFonts w:ascii="Arial" w:eastAsia="Calibri" w:hAnsi="Arial" w:cs="Arial"/>
          <w:color w:val="000000"/>
          <w:sz w:val="22"/>
          <w:szCs w:val="22"/>
        </w:rPr>
        <w:t xml:space="preserve"> (</w:t>
      </w:r>
      <w:proofErr w:type="spellStart"/>
      <w:r w:rsidRPr="00944DD4">
        <w:rPr>
          <w:rFonts w:ascii="Arial" w:eastAsia="Calibri" w:hAnsi="Arial" w:cs="Arial"/>
          <w:color w:val="000000"/>
          <w:sz w:val="22"/>
          <w:szCs w:val="22"/>
        </w:rPr>
        <w:t>marstacimab-hncq</w:t>
      </w:r>
      <w:proofErr w:type="spellEnd"/>
      <w:r w:rsidRPr="00944DD4">
        <w:rPr>
          <w:rFonts w:ascii="Arial" w:eastAsia="Calibri" w:hAnsi="Arial" w:cs="Arial"/>
          <w:color w:val="000000"/>
          <w:sz w:val="22"/>
          <w:szCs w:val="22"/>
        </w:rPr>
        <w:t>) –</w:t>
      </w:r>
      <w:r w:rsidRPr="00944DD4">
        <w:rPr>
          <w:rFonts w:ascii="Arial" w:eastAsia="Calibri" w:hAnsi="Arial" w:cs="Arial"/>
          <w:b/>
          <w:bCs/>
          <w:color w:val="000000"/>
          <w:sz w:val="22"/>
          <w:szCs w:val="22"/>
        </w:rPr>
        <w:t xml:space="preserve"> PA</w:t>
      </w:r>
    </w:p>
    <w:p w14:paraId="135359D2"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Journavx</w:t>
      </w:r>
      <w:proofErr w:type="spellEnd"/>
      <w:r w:rsidRPr="00944DD4">
        <w:rPr>
          <w:rFonts w:ascii="Arial" w:eastAsia="Calibri" w:hAnsi="Arial" w:cs="Arial"/>
          <w:color w:val="000000"/>
          <w:sz w:val="22"/>
          <w:szCs w:val="22"/>
        </w:rPr>
        <w:t xml:space="preserve"> (</w:t>
      </w:r>
      <w:proofErr w:type="spellStart"/>
      <w:r w:rsidRPr="00944DD4">
        <w:rPr>
          <w:rFonts w:ascii="Arial" w:eastAsia="Calibri" w:hAnsi="Arial" w:cs="Arial"/>
          <w:color w:val="000000"/>
          <w:sz w:val="22"/>
          <w:szCs w:val="22"/>
        </w:rPr>
        <w:t>suzetrigine</w:t>
      </w:r>
      <w:proofErr w:type="spellEnd"/>
      <w:r w:rsidRPr="00944DD4">
        <w:rPr>
          <w:rFonts w:ascii="Arial" w:eastAsia="Calibri" w:hAnsi="Arial" w:cs="Arial"/>
          <w:color w:val="000000"/>
          <w:sz w:val="22"/>
          <w:szCs w:val="22"/>
        </w:rPr>
        <w:t xml:space="preserve">) </w:t>
      </w:r>
      <w:r w:rsidRPr="00944DD4">
        <w:rPr>
          <w:rFonts w:ascii="Arial" w:eastAsia="Calibri" w:hAnsi="Arial" w:cs="Arial"/>
          <w:color w:val="000000"/>
          <w:sz w:val="22"/>
          <w:szCs w:val="22"/>
          <w:vertAlign w:val="superscript"/>
        </w:rPr>
        <w:t>PD</w:t>
      </w:r>
      <w:r w:rsidRPr="00944DD4">
        <w:rPr>
          <w:rFonts w:ascii="Arial" w:eastAsia="Calibri" w:hAnsi="Arial" w:cs="Arial"/>
          <w:color w:val="000000"/>
          <w:sz w:val="22"/>
          <w:szCs w:val="22"/>
        </w:rPr>
        <w:t xml:space="preserve"> – </w:t>
      </w:r>
      <w:r w:rsidRPr="00944DD4">
        <w:rPr>
          <w:rFonts w:ascii="Arial" w:eastAsia="Calibri" w:hAnsi="Arial" w:cs="Arial"/>
          <w:b/>
          <w:bCs/>
          <w:color w:val="000000"/>
          <w:sz w:val="22"/>
          <w:szCs w:val="22"/>
        </w:rPr>
        <w:t>PA &lt; 18 years of age and</w:t>
      </w:r>
      <w:r w:rsidRPr="00944DD4">
        <w:rPr>
          <w:rFonts w:ascii="Arial" w:eastAsia="Calibri" w:hAnsi="Arial" w:cs="Arial"/>
          <w:color w:val="000000"/>
          <w:sz w:val="22"/>
          <w:szCs w:val="22"/>
        </w:rPr>
        <w:t xml:space="preserve"> </w:t>
      </w:r>
      <w:r w:rsidRPr="00944DD4">
        <w:rPr>
          <w:rFonts w:ascii="Arial" w:eastAsia="Calibri" w:hAnsi="Arial" w:cs="Arial"/>
          <w:b/>
          <w:bCs/>
          <w:color w:val="000000"/>
          <w:sz w:val="22"/>
          <w:szCs w:val="22"/>
        </w:rPr>
        <w:t xml:space="preserve">&gt; 29 units/60 days </w:t>
      </w:r>
    </w:p>
    <w:p w14:paraId="7FA9894E"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r w:rsidRPr="00944DD4">
        <w:rPr>
          <w:rFonts w:ascii="Arial" w:eastAsia="Calibri" w:hAnsi="Arial" w:cs="Arial"/>
          <w:color w:val="000000"/>
          <w:sz w:val="22"/>
          <w:szCs w:val="22"/>
        </w:rPr>
        <w:t xml:space="preserve">Ocrevus </w:t>
      </w:r>
      <w:proofErr w:type="spellStart"/>
      <w:r w:rsidRPr="00944DD4">
        <w:rPr>
          <w:rFonts w:ascii="Arial" w:eastAsia="Calibri" w:hAnsi="Arial" w:cs="Arial"/>
          <w:color w:val="000000"/>
          <w:sz w:val="22"/>
          <w:szCs w:val="22"/>
        </w:rPr>
        <w:t>Zunovo</w:t>
      </w:r>
      <w:proofErr w:type="spellEnd"/>
      <w:r w:rsidRPr="00944DD4">
        <w:rPr>
          <w:rFonts w:ascii="Arial" w:eastAsia="Calibri" w:hAnsi="Arial" w:cs="Arial"/>
          <w:color w:val="000000"/>
          <w:sz w:val="22"/>
          <w:szCs w:val="22"/>
        </w:rPr>
        <w:t xml:space="preserve"> (ocrelizumab/hyaluronidase-</w:t>
      </w:r>
      <w:proofErr w:type="spellStart"/>
      <w:r w:rsidRPr="00944DD4">
        <w:rPr>
          <w:rFonts w:ascii="Arial" w:eastAsia="Calibri" w:hAnsi="Arial" w:cs="Arial"/>
          <w:color w:val="000000"/>
          <w:sz w:val="22"/>
          <w:szCs w:val="22"/>
        </w:rPr>
        <w:t>ocsq</w:t>
      </w:r>
      <w:proofErr w:type="spellEnd"/>
      <w:r w:rsidRPr="00944DD4">
        <w:rPr>
          <w:rFonts w:ascii="Arial" w:eastAsia="Calibri" w:hAnsi="Arial" w:cs="Arial"/>
          <w:color w:val="000000"/>
          <w:sz w:val="22"/>
          <w:szCs w:val="22"/>
        </w:rPr>
        <w:t xml:space="preserve">)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xml:space="preserve"> </w:t>
      </w:r>
    </w:p>
    <w:p w14:paraId="26056222" w14:textId="77777777" w:rsidR="00944DD4" w:rsidRPr="00944DD4" w:rsidRDefault="00944DD4" w:rsidP="00ED337D">
      <w:pPr>
        <w:numPr>
          <w:ilvl w:val="0"/>
          <w:numId w:val="3"/>
        </w:numPr>
        <w:autoSpaceDE w:val="0"/>
        <w:autoSpaceDN w:val="0"/>
        <w:adjustRightInd w:val="0"/>
        <w:spacing w:line="276" w:lineRule="auto"/>
        <w:ind w:left="1080"/>
        <w:rPr>
          <w:rFonts w:ascii="Arial" w:eastAsia="Calibri" w:hAnsi="Arial" w:cs="Arial"/>
          <w:color w:val="000000"/>
          <w:sz w:val="22"/>
          <w:szCs w:val="22"/>
        </w:rPr>
      </w:pPr>
      <w:proofErr w:type="spellStart"/>
      <w:r w:rsidRPr="00944DD4">
        <w:rPr>
          <w:rFonts w:ascii="Arial" w:eastAsia="Calibri" w:hAnsi="Arial" w:cs="Arial"/>
          <w:color w:val="000000"/>
          <w:sz w:val="22"/>
          <w:szCs w:val="22"/>
        </w:rPr>
        <w:t>Pemrydi</w:t>
      </w:r>
      <w:proofErr w:type="spellEnd"/>
      <w:r w:rsidRPr="00944DD4">
        <w:rPr>
          <w:rFonts w:ascii="Arial" w:eastAsia="Calibri" w:hAnsi="Arial" w:cs="Arial"/>
          <w:color w:val="000000"/>
          <w:sz w:val="22"/>
          <w:szCs w:val="22"/>
        </w:rPr>
        <w:t xml:space="preserve"> RTU (pemetrexed disodium)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MB</w:t>
      </w:r>
    </w:p>
    <w:p w14:paraId="3792824D" w14:textId="77777777" w:rsidR="00944DD4" w:rsidRPr="00905319" w:rsidRDefault="00944DD4" w:rsidP="00ED337D">
      <w:pPr>
        <w:numPr>
          <w:ilvl w:val="0"/>
          <w:numId w:val="3"/>
        </w:numPr>
        <w:autoSpaceDE w:val="0"/>
        <w:autoSpaceDN w:val="0"/>
        <w:adjustRightInd w:val="0"/>
        <w:spacing w:line="276" w:lineRule="auto"/>
        <w:ind w:left="1080"/>
        <w:rPr>
          <w:rFonts w:ascii="Arial" w:eastAsia="Calibri" w:hAnsi="Arial" w:cs="Arial"/>
          <w:b/>
          <w:bCs/>
          <w:color w:val="000000"/>
          <w:sz w:val="22"/>
          <w:szCs w:val="22"/>
        </w:rPr>
      </w:pPr>
      <w:proofErr w:type="spellStart"/>
      <w:r w:rsidRPr="00944DD4">
        <w:rPr>
          <w:rFonts w:ascii="Arial" w:eastAsia="Calibri" w:hAnsi="Arial" w:cs="Arial"/>
          <w:color w:val="000000"/>
          <w:sz w:val="22"/>
          <w:szCs w:val="22"/>
        </w:rPr>
        <w:t>Ziihera</w:t>
      </w:r>
      <w:proofErr w:type="spellEnd"/>
      <w:r w:rsidRPr="00944DD4">
        <w:rPr>
          <w:rFonts w:ascii="Arial" w:eastAsia="Calibri" w:hAnsi="Arial" w:cs="Arial"/>
          <w:color w:val="000000"/>
          <w:sz w:val="22"/>
          <w:szCs w:val="22"/>
        </w:rPr>
        <w:t xml:space="preserve"> (</w:t>
      </w:r>
      <w:proofErr w:type="spellStart"/>
      <w:r w:rsidRPr="00944DD4">
        <w:rPr>
          <w:rFonts w:ascii="Arial" w:eastAsia="Calibri" w:hAnsi="Arial" w:cs="Arial"/>
          <w:color w:val="000000"/>
          <w:sz w:val="22"/>
          <w:szCs w:val="22"/>
        </w:rPr>
        <w:t>zanidatamab-hrii</w:t>
      </w:r>
      <w:proofErr w:type="spellEnd"/>
      <w:r w:rsidRPr="00944DD4">
        <w:rPr>
          <w:rFonts w:ascii="Arial" w:eastAsia="Calibri" w:hAnsi="Arial" w:cs="Arial"/>
          <w:color w:val="000000"/>
          <w:sz w:val="22"/>
          <w:szCs w:val="22"/>
        </w:rPr>
        <w:t xml:space="preserve">) – </w:t>
      </w:r>
      <w:r w:rsidRPr="00944DD4">
        <w:rPr>
          <w:rFonts w:ascii="Arial" w:eastAsia="Calibri" w:hAnsi="Arial" w:cs="Arial"/>
          <w:b/>
          <w:bCs/>
          <w:color w:val="000000"/>
          <w:sz w:val="22"/>
          <w:szCs w:val="22"/>
        </w:rPr>
        <w:t>PA</w:t>
      </w:r>
      <w:r w:rsidRPr="00944DD4">
        <w:rPr>
          <w:rFonts w:ascii="Arial" w:eastAsia="Calibri" w:hAnsi="Arial" w:cs="Arial"/>
          <w:color w:val="000000"/>
          <w:sz w:val="22"/>
          <w:szCs w:val="22"/>
        </w:rPr>
        <w:t xml:space="preserve">; MB </w:t>
      </w:r>
    </w:p>
    <w:p w14:paraId="0B64CD5C" w14:textId="77777777" w:rsidR="00905319" w:rsidRPr="00944DD4" w:rsidRDefault="00905319" w:rsidP="00905319">
      <w:pPr>
        <w:autoSpaceDE w:val="0"/>
        <w:autoSpaceDN w:val="0"/>
        <w:adjustRightInd w:val="0"/>
        <w:spacing w:line="276" w:lineRule="auto"/>
        <w:rPr>
          <w:rFonts w:ascii="Arial" w:eastAsia="Calibri" w:hAnsi="Arial" w:cs="Arial"/>
          <w:b/>
          <w:bCs/>
          <w:color w:val="000000"/>
          <w:sz w:val="22"/>
          <w:szCs w:val="22"/>
        </w:rPr>
      </w:pPr>
    </w:p>
    <w:p w14:paraId="1C50055C" w14:textId="6110E489" w:rsidR="001E537A" w:rsidRPr="00126536" w:rsidRDefault="001E537A" w:rsidP="00126536">
      <w:pPr>
        <w:pStyle w:val="Heading1"/>
        <w:spacing w:line="276" w:lineRule="auto"/>
        <w:rPr>
          <w:rFonts w:ascii="Arial" w:eastAsia="Yu Gothic Light" w:hAnsi="Arial"/>
          <w:sz w:val="24"/>
          <w:szCs w:val="24"/>
        </w:rPr>
      </w:pPr>
      <w:bookmarkStart w:id="1" w:name="_Hlk527542045"/>
      <w:r w:rsidRPr="00126536">
        <w:rPr>
          <w:rFonts w:ascii="Arial" w:eastAsia="Yu Gothic Light" w:hAnsi="Arial"/>
          <w:sz w:val="24"/>
          <w:szCs w:val="24"/>
        </w:rPr>
        <w:t>Updated MassHealth Brand Name Preferred Over Generic Drug List</w:t>
      </w:r>
    </w:p>
    <w:bookmarkEnd w:id="1"/>
    <w:p w14:paraId="1593AC83" w14:textId="13F2ACEE" w:rsidR="004D73F0" w:rsidRPr="00905319" w:rsidRDefault="004D73F0" w:rsidP="00905319">
      <w:pPr>
        <w:pStyle w:val="ListParagraph"/>
        <w:numPr>
          <w:ilvl w:val="0"/>
          <w:numId w:val="9"/>
        </w:numPr>
        <w:autoSpaceDE w:val="0"/>
        <w:autoSpaceDN w:val="0"/>
        <w:adjustRightInd w:val="0"/>
        <w:spacing w:line="276" w:lineRule="auto"/>
        <w:rPr>
          <w:rFonts w:ascii="Arial" w:eastAsia="Calibri" w:hAnsi="Arial" w:cs="Arial"/>
          <w:color w:val="000000"/>
          <w:sz w:val="22"/>
          <w:szCs w:val="22"/>
        </w:rPr>
      </w:pPr>
      <w:r w:rsidRPr="00905319">
        <w:rPr>
          <w:rFonts w:ascii="Arial" w:eastAsia="Calibri" w:hAnsi="Arial" w:cs="Arial"/>
          <w:color w:val="000000"/>
          <w:sz w:val="22"/>
          <w:szCs w:val="22"/>
        </w:rPr>
        <w:t xml:space="preserve">Effective May 12, 2025, the following agents will be added to the MassHealth Brand Name Preferred Over Generic Drug List. </w:t>
      </w:r>
    </w:p>
    <w:p w14:paraId="5D4DCA78" w14:textId="77777777" w:rsidR="004D73F0" w:rsidRPr="00905319" w:rsidRDefault="004D73F0" w:rsidP="00905319">
      <w:pPr>
        <w:pStyle w:val="ListParagraph"/>
        <w:numPr>
          <w:ilvl w:val="0"/>
          <w:numId w:val="11"/>
        </w:numPr>
        <w:rPr>
          <w:rFonts w:ascii="Arial" w:hAnsi="Arial" w:cs="Arial"/>
          <w:sz w:val="22"/>
          <w:szCs w:val="22"/>
        </w:rPr>
      </w:pPr>
      <w:bookmarkStart w:id="2" w:name="_Hlk11399419"/>
      <w:bookmarkStart w:id="3" w:name="_Hlk527542710"/>
      <w:r w:rsidRPr="00905319">
        <w:rPr>
          <w:rFonts w:ascii="Arial" w:hAnsi="Arial" w:cs="Arial"/>
          <w:sz w:val="22"/>
          <w:szCs w:val="22"/>
        </w:rPr>
        <w:t xml:space="preserve">Entresto (sacubitril/valsartan tablet) – </w:t>
      </w:r>
      <w:r w:rsidRPr="00905319">
        <w:rPr>
          <w:rFonts w:ascii="Arial" w:hAnsi="Arial" w:cs="Arial"/>
          <w:b/>
          <w:bCs/>
          <w:sz w:val="22"/>
          <w:szCs w:val="22"/>
        </w:rPr>
        <w:t>PA</w:t>
      </w:r>
      <w:r w:rsidRPr="00905319">
        <w:rPr>
          <w:rFonts w:ascii="Arial" w:hAnsi="Arial" w:cs="Arial"/>
          <w:sz w:val="22"/>
          <w:szCs w:val="22"/>
        </w:rPr>
        <w:t>; BP</w:t>
      </w:r>
    </w:p>
    <w:p w14:paraId="0C5D563B" w14:textId="77777777" w:rsidR="004D73F0" w:rsidRPr="00905319" w:rsidRDefault="004D73F0" w:rsidP="00905319">
      <w:pPr>
        <w:pStyle w:val="ListParagraph"/>
        <w:numPr>
          <w:ilvl w:val="0"/>
          <w:numId w:val="11"/>
        </w:numPr>
        <w:rPr>
          <w:rFonts w:ascii="Arial" w:hAnsi="Arial" w:cs="Arial"/>
          <w:sz w:val="22"/>
          <w:szCs w:val="22"/>
        </w:rPr>
      </w:pPr>
      <w:bookmarkStart w:id="4" w:name="_Hlk14249184"/>
      <w:bookmarkStart w:id="5" w:name="_Hlk536624120"/>
      <w:bookmarkEnd w:id="2"/>
      <w:bookmarkEnd w:id="3"/>
      <w:proofErr w:type="spellStart"/>
      <w:r w:rsidRPr="00905319">
        <w:rPr>
          <w:rFonts w:ascii="Arial" w:hAnsi="Arial" w:cs="Arial"/>
          <w:sz w:val="22"/>
          <w:szCs w:val="22"/>
        </w:rPr>
        <w:t>Mesnex</w:t>
      </w:r>
      <w:proofErr w:type="spellEnd"/>
      <w:r w:rsidRPr="00905319">
        <w:rPr>
          <w:rFonts w:ascii="Arial" w:hAnsi="Arial" w:cs="Arial"/>
          <w:sz w:val="22"/>
          <w:szCs w:val="22"/>
        </w:rPr>
        <w:t xml:space="preserve"> (</w:t>
      </w:r>
      <w:proofErr w:type="spellStart"/>
      <w:r w:rsidRPr="00905319">
        <w:rPr>
          <w:rFonts w:ascii="Arial" w:hAnsi="Arial" w:cs="Arial"/>
          <w:sz w:val="22"/>
          <w:szCs w:val="22"/>
        </w:rPr>
        <w:t>mesna</w:t>
      </w:r>
      <w:proofErr w:type="spellEnd"/>
      <w:r w:rsidRPr="00905319">
        <w:rPr>
          <w:rFonts w:ascii="Arial" w:hAnsi="Arial" w:cs="Arial"/>
          <w:sz w:val="22"/>
          <w:szCs w:val="22"/>
        </w:rPr>
        <w:t xml:space="preserve"> tablet); BP</w:t>
      </w:r>
    </w:p>
    <w:p w14:paraId="73C1D9D7" w14:textId="77777777" w:rsidR="004D73F0" w:rsidRPr="00905319" w:rsidRDefault="004D73F0" w:rsidP="00905319">
      <w:pPr>
        <w:pStyle w:val="ListParagraph"/>
        <w:numPr>
          <w:ilvl w:val="0"/>
          <w:numId w:val="11"/>
        </w:numPr>
        <w:rPr>
          <w:rFonts w:ascii="Arial" w:hAnsi="Arial" w:cs="Arial"/>
          <w:sz w:val="22"/>
          <w:szCs w:val="22"/>
        </w:rPr>
      </w:pPr>
      <w:proofErr w:type="spellStart"/>
      <w:r w:rsidRPr="00905319">
        <w:rPr>
          <w:rFonts w:ascii="Arial" w:hAnsi="Arial" w:cs="Arial"/>
          <w:sz w:val="22"/>
          <w:szCs w:val="22"/>
        </w:rPr>
        <w:t>Motegrity</w:t>
      </w:r>
      <w:proofErr w:type="spellEnd"/>
      <w:r w:rsidRPr="00905319">
        <w:rPr>
          <w:rFonts w:ascii="Arial" w:hAnsi="Arial" w:cs="Arial"/>
          <w:sz w:val="22"/>
          <w:szCs w:val="22"/>
        </w:rPr>
        <w:t xml:space="preserve"> (prucalopride) – </w:t>
      </w:r>
      <w:r w:rsidRPr="00864D42">
        <w:rPr>
          <w:rFonts w:ascii="Arial" w:hAnsi="Arial" w:cs="Arial"/>
          <w:b/>
          <w:bCs/>
          <w:sz w:val="22"/>
          <w:szCs w:val="22"/>
        </w:rPr>
        <w:t>PA</w:t>
      </w:r>
      <w:r w:rsidRPr="00905319">
        <w:rPr>
          <w:rFonts w:ascii="Arial" w:hAnsi="Arial" w:cs="Arial"/>
          <w:sz w:val="22"/>
          <w:szCs w:val="22"/>
        </w:rPr>
        <w:t>; BP</w:t>
      </w:r>
    </w:p>
    <w:p w14:paraId="6ECF0716" w14:textId="77777777" w:rsidR="004D73F0" w:rsidRPr="00905319" w:rsidRDefault="004D73F0" w:rsidP="00905319">
      <w:pPr>
        <w:pStyle w:val="ListParagraph"/>
        <w:numPr>
          <w:ilvl w:val="0"/>
          <w:numId w:val="11"/>
        </w:numPr>
        <w:rPr>
          <w:rFonts w:ascii="Arial" w:hAnsi="Arial" w:cs="Arial"/>
          <w:sz w:val="22"/>
          <w:szCs w:val="22"/>
        </w:rPr>
      </w:pPr>
      <w:r w:rsidRPr="00905319">
        <w:rPr>
          <w:rFonts w:ascii="Arial" w:hAnsi="Arial" w:cs="Arial"/>
          <w:sz w:val="22"/>
          <w:szCs w:val="22"/>
        </w:rPr>
        <w:t xml:space="preserve">Nexium (esomeprazole magnesium 2.5 mg, 5 mg suspension) – </w:t>
      </w:r>
      <w:r w:rsidRPr="00864D42">
        <w:rPr>
          <w:rFonts w:ascii="Arial" w:hAnsi="Arial" w:cs="Arial"/>
          <w:b/>
          <w:bCs/>
          <w:sz w:val="22"/>
          <w:szCs w:val="22"/>
        </w:rPr>
        <w:t>PA ≥ 2 years and PA &gt; 1 unit/day</w:t>
      </w:r>
      <w:r w:rsidRPr="00905319">
        <w:rPr>
          <w:rFonts w:ascii="Arial" w:hAnsi="Arial" w:cs="Arial"/>
          <w:sz w:val="22"/>
          <w:szCs w:val="22"/>
        </w:rPr>
        <w:t>; BP, M90</w:t>
      </w:r>
    </w:p>
    <w:p w14:paraId="174FCC1C" w14:textId="77777777" w:rsidR="004D73F0" w:rsidRPr="00905319" w:rsidRDefault="004D73F0" w:rsidP="00905319">
      <w:pPr>
        <w:pStyle w:val="ListParagraph"/>
        <w:numPr>
          <w:ilvl w:val="0"/>
          <w:numId w:val="11"/>
        </w:numPr>
        <w:rPr>
          <w:rFonts w:ascii="Arial" w:hAnsi="Arial" w:cs="Arial"/>
          <w:sz w:val="22"/>
          <w:szCs w:val="22"/>
        </w:rPr>
      </w:pPr>
      <w:proofErr w:type="spellStart"/>
      <w:r w:rsidRPr="00905319">
        <w:rPr>
          <w:rFonts w:ascii="Arial" w:hAnsi="Arial" w:cs="Arial"/>
          <w:sz w:val="22"/>
          <w:szCs w:val="22"/>
        </w:rPr>
        <w:t>Spritam</w:t>
      </w:r>
      <w:proofErr w:type="spellEnd"/>
      <w:r w:rsidRPr="00905319">
        <w:rPr>
          <w:rFonts w:ascii="Arial" w:hAnsi="Arial" w:cs="Arial"/>
          <w:sz w:val="22"/>
          <w:szCs w:val="22"/>
        </w:rPr>
        <w:t xml:space="preserve"> (levetiracetam tablet for oral suspension) – </w:t>
      </w:r>
      <w:r w:rsidRPr="00864D42">
        <w:rPr>
          <w:rFonts w:ascii="Arial" w:hAnsi="Arial" w:cs="Arial"/>
          <w:b/>
          <w:bCs/>
          <w:sz w:val="22"/>
          <w:szCs w:val="22"/>
        </w:rPr>
        <w:t>PA</w:t>
      </w:r>
      <w:r w:rsidRPr="00905319">
        <w:rPr>
          <w:rFonts w:ascii="Arial" w:hAnsi="Arial" w:cs="Arial"/>
          <w:sz w:val="22"/>
          <w:szCs w:val="22"/>
        </w:rPr>
        <w:t>; BP</w:t>
      </w:r>
    </w:p>
    <w:p w14:paraId="6B55FE0C" w14:textId="01B44517" w:rsidR="004D73F0" w:rsidRPr="00905319" w:rsidRDefault="004D73F0" w:rsidP="00905319">
      <w:pPr>
        <w:pStyle w:val="ListParagraph"/>
        <w:numPr>
          <w:ilvl w:val="0"/>
          <w:numId w:val="9"/>
        </w:numPr>
        <w:autoSpaceDE w:val="0"/>
        <w:autoSpaceDN w:val="0"/>
        <w:adjustRightInd w:val="0"/>
        <w:spacing w:line="276" w:lineRule="auto"/>
        <w:rPr>
          <w:rFonts w:ascii="Arial" w:eastAsia="Calibri" w:hAnsi="Arial" w:cs="Arial"/>
          <w:color w:val="000000"/>
          <w:sz w:val="22"/>
          <w:szCs w:val="22"/>
        </w:rPr>
      </w:pPr>
      <w:r w:rsidRPr="00905319">
        <w:rPr>
          <w:rFonts w:ascii="Arial" w:eastAsia="Calibri" w:hAnsi="Arial" w:cs="Arial"/>
          <w:color w:val="000000"/>
          <w:sz w:val="22"/>
          <w:szCs w:val="22"/>
        </w:rPr>
        <w:t xml:space="preserve">Effective May 12, 2025, the following agents will be removed from the MassHealth Brand Name Preferred Over Generic Drug List. </w:t>
      </w:r>
    </w:p>
    <w:bookmarkEnd w:id="4"/>
    <w:p w14:paraId="5D00152F" w14:textId="77777777" w:rsidR="004D73F0" w:rsidRPr="00864D42" w:rsidRDefault="004D73F0" w:rsidP="00864D42">
      <w:pPr>
        <w:pStyle w:val="ListParagraph"/>
        <w:numPr>
          <w:ilvl w:val="0"/>
          <w:numId w:val="12"/>
        </w:numPr>
        <w:rPr>
          <w:rFonts w:ascii="Arial" w:hAnsi="Arial" w:cs="Arial"/>
          <w:sz w:val="22"/>
          <w:szCs w:val="22"/>
        </w:rPr>
      </w:pPr>
      <w:proofErr w:type="spellStart"/>
      <w:r w:rsidRPr="00864D42">
        <w:rPr>
          <w:rFonts w:ascii="Arial" w:hAnsi="Arial" w:cs="Arial"/>
          <w:sz w:val="22"/>
          <w:szCs w:val="22"/>
        </w:rPr>
        <w:t>Biltricide</w:t>
      </w:r>
      <w:proofErr w:type="spellEnd"/>
      <w:r w:rsidRPr="00864D42">
        <w:rPr>
          <w:rFonts w:ascii="Arial" w:hAnsi="Arial" w:cs="Arial"/>
          <w:sz w:val="22"/>
          <w:szCs w:val="22"/>
        </w:rPr>
        <w:t xml:space="preserve"> (praziquantel); #, A90</w:t>
      </w:r>
    </w:p>
    <w:p w14:paraId="67398B9B" w14:textId="77777777" w:rsidR="004D73F0" w:rsidRPr="00864D42" w:rsidRDefault="004D73F0" w:rsidP="00864D42">
      <w:pPr>
        <w:pStyle w:val="ListParagraph"/>
        <w:numPr>
          <w:ilvl w:val="0"/>
          <w:numId w:val="12"/>
        </w:numPr>
        <w:rPr>
          <w:rFonts w:ascii="Arial" w:hAnsi="Arial" w:cs="Arial"/>
          <w:sz w:val="22"/>
          <w:szCs w:val="22"/>
        </w:rPr>
      </w:pPr>
      <w:r w:rsidRPr="00864D42">
        <w:rPr>
          <w:rFonts w:ascii="Arial" w:hAnsi="Arial" w:cs="Arial"/>
          <w:sz w:val="22"/>
          <w:szCs w:val="22"/>
        </w:rPr>
        <w:t>Cleocin T (clindamycin lotion); #, A90</w:t>
      </w:r>
    </w:p>
    <w:p w14:paraId="25ADA9DA" w14:textId="77777777" w:rsidR="004D73F0" w:rsidRPr="00864D42" w:rsidRDefault="004D73F0" w:rsidP="00864D42">
      <w:pPr>
        <w:pStyle w:val="ListParagraph"/>
        <w:numPr>
          <w:ilvl w:val="0"/>
          <w:numId w:val="12"/>
        </w:numPr>
        <w:rPr>
          <w:rFonts w:ascii="Arial" w:hAnsi="Arial" w:cs="Arial"/>
          <w:sz w:val="22"/>
          <w:szCs w:val="22"/>
        </w:rPr>
      </w:pPr>
      <w:r w:rsidRPr="00864D42">
        <w:rPr>
          <w:rFonts w:ascii="Arial" w:hAnsi="Arial" w:cs="Arial"/>
          <w:sz w:val="22"/>
          <w:szCs w:val="22"/>
        </w:rPr>
        <w:t>Pred Forte (prednisolone acetate 1% ophthalmic suspension); #, A90</w:t>
      </w:r>
    </w:p>
    <w:bookmarkEnd w:id="5"/>
    <w:p w14:paraId="1259E34B" w14:textId="77777777" w:rsidR="004D73F0" w:rsidRPr="00864D42" w:rsidRDefault="004D73F0" w:rsidP="00864D42">
      <w:pPr>
        <w:pStyle w:val="ListParagraph"/>
        <w:numPr>
          <w:ilvl w:val="0"/>
          <w:numId w:val="12"/>
        </w:numPr>
        <w:rPr>
          <w:rFonts w:ascii="Arial" w:hAnsi="Arial" w:cs="Arial"/>
          <w:sz w:val="22"/>
          <w:szCs w:val="22"/>
        </w:rPr>
      </w:pPr>
      <w:proofErr w:type="spellStart"/>
      <w:r w:rsidRPr="00864D42">
        <w:rPr>
          <w:rFonts w:ascii="Arial" w:hAnsi="Arial" w:cs="Arial"/>
          <w:sz w:val="22"/>
          <w:szCs w:val="22"/>
        </w:rPr>
        <w:t>Sporanox</w:t>
      </w:r>
      <w:proofErr w:type="spellEnd"/>
      <w:r w:rsidRPr="00864D42">
        <w:rPr>
          <w:rFonts w:ascii="Arial" w:hAnsi="Arial" w:cs="Arial"/>
          <w:sz w:val="22"/>
          <w:szCs w:val="22"/>
        </w:rPr>
        <w:t xml:space="preserve"> (itraconazole solution); #, A90</w:t>
      </w:r>
    </w:p>
    <w:p w14:paraId="1D717895" w14:textId="77777777" w:rsidR="004D73F0" w:rsidRPr="00864D42" w:rsidRDefault="004D73F0" w:rsidP="00864D42">
      <w:pPr>
        <w:pStyle w:val="ListParagraph"/>
        <w:numPr>
          <w:ilvl w:val="0"/>
          <w:numId w:val="12"/>
        </w:numPr>
        <w:rPr>
          <w:rFonts w:ascii="Arial" w:hAnsi="Arial" w:cs="Arial"/>
          <w:sz w:val="22"/>
          <w:szCs w:val="22"/>
        </w:rPr>
      </w:pPr>
      <w:proofErr w:type="spellStart"/>
      <w:r w:rsidRPr="00864D42">
        <w:rPr>
          <w:rFonts w:ascii="Arial" w:hAnsi="Arial" w:cs="Arial"/>
          <w:sz w:val="22"/>
          <w:szCs w:val="22"/>
        </w:rPr>
        <w:t>Zegerid</w:t>
      </w:r>
      <w:proofErr w:type="spellEnd"/>
      <w:r w:rsidRPr="00864D42">
        <w:rPr>
          <w:rFonts w:ascii="Arial" w:hAnsi="Arial" w:cs="Arial"/>
          <w:sz w:val="22"/>
          <w:szCs w:val="22"/>
        </w:rPr>
        <w:t xml:space="preserve"> (omeprazole/sodium bicarbonate capsule, powder for oral suspension); #, M90</w:t>
      </w:r>
    </w:p>
    <w:p w14:paraId="74740913" w14:textId="77777777" w:rsidR="0096007B" w:rsidRPr="0096007B" w:rsidRDefault="0096007B" w:rsidP="0096007B">
      <w:pPr>
        <w:keepNext/>
        <w:keepLines/>
        <w:spacing w:line="276" w:lineRule="auto"/>
        <w:ind w:left="1080"/>
        <w:outlineLvl w:val="0"/>
        <w:rPr>
          <w:rFonts w:ascii="Arial" w:eastAsia="Calibri" w:hAnsi="Arial" w:cs="Arial"/>
          <w:color w:val="000000"/>
          <w:sz w:val="22"/>
          <w:szCs w:val="21"/>
        </w:rPr>
      </w:pPr>
    </w:p>
    <w:p w14:paraId="74724DE3" w14:textId="22C91AF1" w:rsidR="00A23C6C" w:rsidRPr="00126536" w:rsidRDefault="00A23C6C"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Updated MassHealth 90-day Initiative</w:t>
      </w:r>
    </w:p>
    <w:p w14:paraId="6194D724" w14:textId="09635249" w:rsidR="00F76BED" w:rsidRPr="00F76BED" w:rsidRDefault="00F76BED" w:rsidP="00864D42">
      <w:pPr>
        <w:autoSpaceDE w:val="0"/>
        <w:autoSpaceDN w:val="0"/>
        <w:adjustRightInd w:val="0"/>
        <w:spacing w:line="276" w:lineRule="auto"/>
        <w:rPr>
          <w:rFonts w:ascii="Arial" w:eastAsia="Calibri" w:hAnsi="Arial" w:cs="Arial"/>
          <w:color w:val="000000"/>
          <w:sz w:val="22"/>
          <w:szCs w:val="21"/>
        </w:rPr>
      </w:pPr>
      <w:r w:rsidRPr="00F76BED">
        <w:rPr>
          <w:rFonts w:ascii="Arial" w:eastAsia="Calibri" w:hAnsi="Arial" w:cs="Arial"/>
          <w:color w:val="000000"/>
          <w:sz w:val="22"/>
          <w:szCs w:val="21"/>
        </w:rPr>
        <w:t xml:space="preserve">Effective </w:t>
      </w:r>
      <w:r w:rsidR="002D7292" w:rsidRPr="004D73F0">
        <w:rPr>
          <w:rFonts w:ascii="Arial" w:eastAsia="Calibri" w:hAnsi="Arial" w:cs="Arial"/>
          <w:color w:val="000000"/>
          <w:sz w:val="22"/>
          <w:szCs w:val="21"/>
        </w:rPr>
        <w:t>May 12, 2025</w:t>
      </w:r>
      <w:r w:rsidRPr="00F76BED">
        <w:rPr>
          <w:rFonts w:ascii="Arial" w:eastAsia="Calibri" w:hAnsi="Arial" w:cs="Arial"/>
          <w:color w:val="000000"/>
          <w:sz w:val="22"/>
          <w:szCs w:val="22"/>
        </w:rPr>
        <w:t>, the following agents may be allowed or mandated to be dispensed in up to a 90-day supply, as indicated below</w:t>
      </w:r>
      <w:r w:rsidRPr="00F76BED">
        <w:rPr>
          <w:rFonts w:ascii="Arial" w:eastAsia="Calibri" w:hAnsi="Arial" w:cs="Arial"/>
          <w:color w:val="000000"/>
          <w:sz w:val="22"/>
          <w:szCs w:val="21"/>
        </w:rPr>
        <w:t xml:space="preserve">. </w:t>
      </w:r>
    </w:p>
    <w:p w14:paraId="0556335C" w14:textId="77777777" w:rsidR="002D7292" w:rsidRPr="002D7292" w:rsidRDefault="002D7292" w:rsidP="00ED337D">
      <w:pPr>
        <w:numPr>
          <w:ilvl w:val="0"/>
          <w:numId w:val="7"/>
        </w:numPr>
        <w:autoSpaceDE w:val="0"/>
        <w:autoSpaceDN w:val="0"/>
        <w:adjustRightInd w:val="0"/>
        <w:spacing w:line="276" w:lineRule="auto"/>
        <w:ind w:left="1080"/>
        <w:rPr>
          <w:rFonts w:ascii="Arial" w:eastAsia="Calibri" w:hAnsi="Arial" w:cs="Arial"/>
          <w:color w:val="000000"/>
          <w:sz w:val="22"/>
          <w:szCs w:val="22"/>
        </w:rPr>
      </w:pPr>
      <w:proofErr w:type="spellStart"/>
      <w:r w:rsidRPr="002D7292">
        <w:rPr>
          <w:rFonts w:ascii="Arial" w:eastAsia="Calibri" w:hAnsi="Arial" w:cs="Arial"/>
          <w:color w:val="000000"/>
          <w:sz w:val="22"/>
          <w:szCs w:val="22"/>
        </w:rPr>
        <w:t>Auryxia</w:t>
      </w:r>
      <w:proofErr w:type="spellEnd"/>
      <w:r w:rsidRPr="002D7292">
        <w:rPr>
          <w:rFonts w:ascii="Arial" w:eastAsia="Calibri" w:hAnsi="Arial" w:cs="Arial"/>
          <w:color w:val="000000"/>
          <w:sz w:val="22"/>
          <w:szCs w:val="22"/>
        </w:rPr>
        <w:t xml:space="preserve"> (ferric citrate) – </w:t>
      </w:r>
      <w:r w:rsidRPr="002D7292">
        <w:rPr>
          <w:rFonts w:ascii="Arial" w:eastAsia="Calibri" w:hAnsi="Arial" w:cs="Arial"/>
          <w:b/>
          <w:bCs/>
          <w:color w:val="000000"/>
          <w:sz w:val="22"/>
          <w:szCs w:val="22"/>
        </w:rPr>
        <w:t>PA</w:t>
      </w:r>
      <w:r w:rsidRPr="002D7292">
        <w:rPr>
          <w:rFonts w:ascii="Arial" w:eastAsia="Calibri" w:hAnsi="Arial" w:cs="Arial"/>
          <w:color w:val="000000"/>
          <w:sz w:val="22"/>
          <w:szCs w:val="22"/>
        </w:rPr>
        <w:t>; BP, A90</w:t>
      </w:r>
    </w:p>
    <w:p w14:paraId="56FD1667" w14:textId="77777777" w:rsidR="002D7292" w:rsidRPr="002D7292" w:rsidRDefault="002D7292" w:rsidP="00ED337D">
      <w:pPr>
        <w:numPr>
          <w:ilvl w:val="0"/>
          <w:numId w:val="7"/>
        </w:numPr>
        <w:autoSpaceDE w:val="0"/>
        <w:autoSpaceDN w:val="0"/>
        <w:adjustRightInd w:val="0"/>
        <w:spacing w:line="276" w:lineRule="auto"/>
        <w:ind w:left="1080"/>
        <w:rPr>
          <w:rFonts w:ascii="Arial" w:eastAsia="Calibri" w:hAnsi="Arial" w:cs="Arial"/>
          <w:color w:val="000000"/>
          <w:sz w:val="22"/>
          <w:szCs w:val="22"/>
        </w:rPr>
      </w:pPr>
      <w:proofErr w:type="spellStart"/>
      <w:r w:rsidRPr="002D7292">
        <w:rPr>
          <w:rFonts w:ascii="Arial" w:eastAsia="Calibri" w:hAnsi="Arial" w:cs="Arial"/>
          <w:color w:val="000000"/>
          <w:sz w:val="22"/>
          <w:szCs w:val="22"/>
        </w:rPr>
        <w:t>Brilinta</w:t>
      </w:r>
      <w:proofErr w:type="spellEnd"/>
      <w:r w:rsidRPr="002D7292">
        <w:rPr>
          <w:rFonts w:ascii="Arial" w:eastAsia="Calibri" w:hAnsi="Arial" w:cs="Arial"/>
          <w:color w:val="000000"/>
          <w:sz w:val="22"/>
          <w:szCs w:val="22"/>
        </w:rPr>
        <w:t xml:space="preserve"> (ticagrelor); #, A90</w:t>
      </w:r>
    </w:p>
    <w:p w14:paraId="46516048" w14:textId="77777777" w:rsidR="002D7292" w:rsidRPr="002D7292" w:rsidRDefault="002D7292" w:rsidP="00ED337D">
      <w:pPr>
        <w:numPr>
          <w:ilvl w:val="1"/>
          <w:numId w:val="8"/>
        </w:numPr>
        <w:autoSpaceDE w:val="0"/>
        <w:autoSpaceDN w:val="0"/>
        <w:adjustRightInd w:val="0"/>
        <w:spacing w:line="276" w:lineRule="auto"/>
        <w:rPr>
          <w:rFonts w:ascii="Arial" w:eastAsia="Calibri" w:hAnsi="Arial" w:cs="Arial"/>
          <w:color w:val="000000"/>
          <w:sz w:val="22"/>
          <w:szCs w:val="22"/>
        </w:rPr>
      </w:pPr>
      <w:r w:rsidRPr="002D7292">
        <w:rPr>
          <w:rFonts w:ascii="Arial" w:eastAsia="Calibri" w:hAnsi="Arial" w:cs="Arial"/>
          <w:color w:val="000000"/>
          <w:sz w:val="22"/>
          <w:szCs w:val="22"/>
        </w:rPr>
        <w:lastRenderedPageBreak/>
        <w:t xml:space="preserve">Xarelto (rivaroxaban 2.5 mg tablet) – </w:t>
      </w:r>
      <w:r w:rsidRPr="002D7292">
        <w:rPr>
          <w:rFonts w:ascii="Arial" w:eastAsia="Calibri" w:hAnsi="Arial" w:cs="Arial"/>
          <w:b/>
          <w:bCs/>
          <w:color w:val="000000"/>
          <w:sz w:val="22"/>
          <w:szCs w:val="22"/>
        </w:rPr>
        <w:t>PA &gt; 2 units/day</w:t>
      </w:r>
      <w:r w:rsidRPr="002D7292">
        <w:rPr>
          <w:rFonts w:ascii="Arial" w:eastAsia="Calibri" w:hAnsi="Arial" w:cs="Arial"/>
          <w:color w:val="000000"/>
          <w:sz w:val="22"/>
          <w:szCs w:val="22"/>
        </w:rPr>
        <w:t>; BP, A90</w:t>
      </w:r>
    </w:p>
    <w:p w14:paraId="050D8235" w14:textId="77777777" w:rsidR="00EB3E62" w:rsidRPr="00424249" w:rsidRDefault="00EB3E62" w:rsidP="00424249">
      <w:pPr>
        <w:autoSpaceDE w:val="0"/>
        <w:autoSpaceDN w:val="0"/>
        <w:adjustRightInd w:val="0"/>
        <w:spacing w:line="276" w:lineRule="auto"/>
        <w:rPr>
          <w:rFonts w:ascii="Arial" w:eastAsia="Calibri" w:hAnsi="Arial" w:cs="Arial"/>
          <w:color w:val="000000"/>
          <w:sz w:val="20"/>
          <w:szCs w:val="20"/>
        </w:rPr>
      </w:pPr>
    </w:p>
    <w:p w14:paraId="59AAA6C1" w14:textId="673C195F" w:rsidR="00EB3E62" w:rsidRPr="00126536" w:rsidRDefault="00EB3E62"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Change in Coverage Status</w:t>
      </w:r>
    </w:p>
    <w:p w14:paraId="72C3319A" w14:textId="77777777" w:rsidR="002D7292" w:rsidRDefault="0019075F" w:rsidP="00864D42">
      <w:pPr>
        <w:autoSpaceDE w:val="0"/>
        <w:autoSpaceDN w:val="0"/>
        <w:adjustRightInd w:val="0"/>
        <w:spacing w:line="276" w:lineRule="auto"/>
        <w:rPr>
          <w:rFonts w:ascii="Arial" w:eastAsia="Calibri" w:hAnsi="Arial" w:cs="Arial"/>
          <w:color w:val="000000"/>
          <w:sz w:val="22"/>
          <w:szCs w:val="22"/>
        </w:rPr>
      </w:pPr>
      <w:r w:rsidRPr="0019075F">
        <w:rPr>
          <w:rFonts w:ascii="Arial" w:eastAsia="Calibri" w:hAnsi="Arial" w:cs="Arial"/>
          <w:color w:val="000000"/>
          <w:sz w:val="22"/>
          <w:szCs w:val="22"/>
        </w:rPr>
        <w:t xml:space="preserve">Effective May 12, 2025, the following agents will no longer be restricted to medical billing. </w:t>
      </w:r>
    </w:p>
    <w:p w14:paraId="32A02CC9" w14:textId="7AFDB986" w:rsidR="0019075F" w:rsidRPr="002D7292" w:rsidRDefault="0019075F" w:rsidP="00ED337D">
      <w:pPr>
        <w:pStyle w:val="ListParagraph"/>
        <w:numPr>
          <w:ilvl w:val="1"/>
          <w:numId w:val="2"/>
        </w:numPr>
        <w:autoSpaceDE w:val="0"/>
        <w:autoSpaceDN w:val="0"/>
        <w:adjustRightInd w:val="0"/>
        <w:spacing w:line="276" w:lineRule="auto"/>
        <w:rPr>
          <w:rFonts w:ascii="Arial" w:eastAsia="Calibri" w:hAnsi="Arial" w:cs="Arial"/>
          <w:color w:val="000000"/>
          <w:sz w:val="22"/>
          <w:szCs w:val="22"/>
        </w:rPr>
      </w:pPr>
      <w:proofErr w:type="spellStart"/>
      <w:r w:rsidRPr="002D7292">
        <w:rPr>
          <w:rFonts w:ascii="Arial" w:eastAsia="Calibri" w:hAnsi="Arial" w:cs="Arial"/>
          <w:color w:val="000000"/>
          <w:sz w:val="22"/>
          <w:szCs w:val="22"/>
        </w:rPr>
        <w:t>Fensolvi</w:t>
      </w:r>
      <w:proofErr w:type="spellEnd"/>
      <w:r w:rsidRPr="002D7292">
        <w:rPr>
          <w:rFonts w:ascii="Arial" w:eastAsia="Calibri" w:hAnsi="Arial" w:cs="Arial"/>
          <w:color w:val="000000"/>
          <w:sz w:val="22"/>
          <w:szCs w:val="22"/>
        </w:rPr>
        <w:t xml:space="preserve"> (leuprolide) </w:t>
      </w:r>
      <w:r w:rsidRPr="002D7292">
        <w:rPr>
          <w:rFonts w:ascii="Arial" w:eastAsia="Calibri" w:hAnsi="Arial" w:cs="Arial"/>
          <w:color w:val="000000"/>
          <w:sz w:val="22"/>
          <w:szCs w:val="22"/>
          <w:vertAlign w:val="superscript"/>
        </w:rPr>
        <w:t>PD</w:t>
      </w:r>
      <w:r w:rsidRPr="002D7292">
        <w:rPr>
          <w:rFonts w:ascii="Arial" w:eastAsia="Calibri" w:hAnsi="Arial" w:cs="Arial"/>
          <w:color w:val="000000"/>
          <w:sz w:val="22"/>
          <w:szCs w:val="22"/>
        </w:rPr>
        <w:t xml:space="preserve"> – </w:t>
      </w:r>
      <w:r w:rsidRPr="002D7292">
        <w:rPr>
          <w:rFonts w:ascii="Arial" w:eastAsia="Calibri" w:hAnsi="Arial" w:cs="Arial"/>
          <w:b/>
          <w:color w:val="000000"/>
          <w:sz w:val="22"/>
          <w:szCs w:val="22"/>
        </w:rPr>
        <w:t>PA</w:t>
      </w:r>
    </w:p>
    <w:p w14:paraId="3EF3A595" w14:textId="77777777" w:rsidR="00EB3E62" w:rsidRDefault="00EB3E62" w:rsidP="00424249">
      <w:pPr>
        <w:autoSpaceDE w:val="0"/>
        <w:autoSpaceDN w:val="0"/>
        <w:adjustRightInd w:val="0"/>
        <w:spacing w:line="276" w:lineRule="auto"/>
        <w:rPr>
          <w:rFonts w:eastAsia="Calibri" w:cs="Arial"/>
          <w:color w:val="000000"/>
          <w:sz w:val="20"/>
          <w:szCs w:val="20"/>
        </w:rPr>
      </w:pPr>
    </w:p>
    <w:p w14:paraId="1B014503" w14:textId="77777777" w:rsidR="00BC084C" w:rsidRPr="00126536" w:rsidRDefault="00BC084C"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New FDA “A”-Rated Generics</w:t>
      </w:r>
    </w:p>
    <w:p w14:paraId="1AC13266" w14:textId="77777777" w:rsidR="00BC084C" w:rsidRPr="00CC59DC" w:rsidRDefault="00BC084C" w:rsidP="00864D42">
      <w:pPr>
        <w:autoSpaceDE w:val="0"/>
        <w:autoSpaceDN w:val="0"/>
        <w:adjustRightInd w:val="0"/>
        <w:spacing w:after="120"/>
        <w:rPr>
          <w:rFonts w:ascii="Arial" w:eastAsia="Calibri" w:hAnsi="Arial" w:cs="Arial"/>
          <w:color w:val="000000"/>
          <w:sz w:val="22"/>
          <w:szCs w:val="21"/>
        </w:rPr>
      </w:pPr>
      <w:r w:rsidRPr="00CC59DC">
        <w:rPr>
          <w:rFonts w:ascii="Arial" w:eastAsia="Calibri" w:hAnsi="Arial" w:cs="Arial"/>
          <w:color w:val="000000"/>
          <w:sz w:val="22"/>
          <w:szCs w:val="22"/>
        </w:rPr>
        <w:t>Effective May 12, 2025, the following</w:t>
      </w:r>
      <w:r w:rsidRPr="00CC59DC">
        <w:rPr>
          <w:rFonts w:ascii="Arial" w:eastAsia="Calibri" w:hAnsi="Arial" w:cs="Arial"/>
          <w:color w:val="000000"/>
          <w:sz w:val="22"/>
          <w:szCs w:val="21"/>
        </w:rPr>
        <w:t xml:space="preserve"> FDA “A”-rated generic drugs have been added to the MassHealth Drug List. The brand name is listed with a # symbol to indicate that PA is required for the brand. </w:t>
      </w:r>
    </w:p>
    <w:p w14:paraId="00B73046" w14:textId="77777777" w:rsidR="00BC084C" w:rsidRPr="00CC59DC" w:rsidRDefault="00BC084C" w:rsidP="00BC084C">
      <w:pPr>
        <w:tabs>
          <w:tab w:val="left" w:pos="7200"/>
        </w:tabs>
        <w:autoSpaceDE w:val="0"/>
        <w:autoSpaceDN w:val="0"/>
        <w:adjustRightInd w:val="0"/>
        <w:spacing w:after="120"/>
        <w:ind w:left="720"/>
        <w:rPr>
          <w:rFonts w:ascii="Arial" w:eastAsia="Calibri" w:hAnsi="Arial" w:cs="Arial"/>
          <w:b/>
          <w:color w:val="000000"/>
          <w:sz w:val="22"/>
          <w:szCs w:val="22"/>
          <w:u w:val="single"/>
        </w:rPr>
      </w:pPr>
      <w:r w:rsidRPr="00CC59DC">
        <w:rPr>
          <w:rFonts w:ascii="Arial" w:eastAsia="Calibri" w:hAnsi="Arial" w:cs="Arial"/>
          <w:b/>
          <w:color w:val="000000"/>
          <w:sz w:val="22"/>
          <w:szCs w:val="22"/>
          <w:u w:val="single"/>
        </w:rPr>
        <w:t>New FDA “A”-Rated Generic Drug</w:t>
      </w:r>
      <w:r w:rsidRPr="00CC59DC">
        <w:rPr>
          <w:rFonts w:ascii="Arial" w:eastAsia="Calibri" w:hAnsi="Arial" w:cs="Arial"/>
          <w:color w:val="000000"/>
          <w:sz w:val="22"/>
          <w:szCs w:val="22"/>
        </w:rPr>
        <w:tab/>
      </w:r>
      <w:r w:rsidRPr="00CC59DC">
        <w:rPr>
          <w:rFonts w:ascii="Arial" w:eastAsia="Calibri" w:hAnsi="Arial" w:cs="Arial"/>
          <w:b/>
          <w:color w:val="000000"/>
          <w:sz w:val="22"/>
          <w:szCs w:val="22"/>
          <w:u w:val="single"/>
        </w:rPr>
        <w:t>Generic Equivalent of</w:t>
      </w:r>
    </w:p>
    <w:p w14:paraId="1151569A" w14:textId="007B1132" w:rsidR="00BC084C" w:rsidRPr="00BC084C" w:rsidRDefault="00BC084C" w:rsidP="00BC084C">
      <w:pPr>
        <w:tabs>
          <w:tab w:val="left" w:pos="7200"/>
        </w:tabs>
        <w:suppressAutoHyphens/>
        <w:autoSpaceDE w:val="0"/>
        <w:autoSpaceDN w:val="0"/>
        <w:adjustRightInd w:val="0"/>
        <w:spacing w:line="276" w:lineRule="auto"/>
        <w:ind w:left="720"/>
        <w:rPr>
          <w:rFonts w:ascii="Arial" w:hAnsi="Arial" w:cs="Arial"/>
          <w:sz w:val="22"/>
          <w:szCs w:val="22"/>
        </w:rPr>
      </w:pPr>
      <w:r w:rsidRPr="00CC59DC">
        <w:rPr>
          <w:rFonts w:ascii="Arial" w:hAnsi="Arial" w:cs="Arial"/>
          <w:sz w:val="22"/>
          <w:szCs w:val="22"/>
        </w:rPr>
        <w:t>ticagrelor</w:t>
      </w:r>
      <w:r w:rsidRPr="00CC59DC">
        <w:rPr>
          <w:rFonts w:ascii="Arial" w:hAnsi="Arial" w:cs="Arial"/>
          <w:sz w:val="22"/>
          <w:szCs w:val="22"/>
        </w:rPr>
        <w:tab/>
      </w:r>
      <w:proofErr w:type="spellStart"/>
      <w:r w:rsidRPr="00CC59DC">
        <w:rPr>
          <w:rFonts w:ascii="Arial" w:hAnsi="Arial" w:cs="Arial"/>
          <w:sz w:val="22"/>
          <w:szCs w:val="22"/>
        </w:rPr>
        <w:t>Brilinta</w:t>
      </w:r>
      <w:proofErr w:type="spellEnd"/>
      <w:r w:rsidRPr="00CC59DC">
        <w:rPr>
          <w:rFonts w:ascii="Arial" w:hAnsi="Arial" w:cs="Arial"/>
          <w:sz w:val="22"/>
          <w:szCs w:val="22"/>
        </w:rPr>
        <w:t xml:space="preserve"> #</w:t>
      </w:r>
    </w:p>
    <w:p w14:paraId="15C7547F" w14:textId="77777777" w:rsidR="00BC084C" w:rsidRPr="00424249" w:rsidRDefault="00BC084C" w:rsidP="00424249">
      <w:pPr>
        <w:autoSpaceDE w:val="0"/>
        <w:autoSpaceDN w:val="0"/>
        <w:adjustRightInd w:val="0"/>
        <w:spacing w:line="276" w:lineRule="auto"/>
        <w:rPr>
          <w:rFonts w:eastAsia="Calibri" w:cs="Arial"/>
          <w:color w:val="000000"/>
          <w:sz w:val="20"/>
          <w:szCs w:val="20"/>
        </w:rPr>
      </w:pPr>
    </w:p>
    <w:p w14:paraId="10BE2799" w14:textId="77777777" w:rsidR="003A0D24" w:rsidRPr="00126536" w:rsidRDefault="003A0D24"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 xml:space="preserve">Abbreviations, Acronyms, and Symbols </w:t>
      </w:r>
    </w:p>
    <w:bookmarkEnd w:id="0"/>
    <w:p w14:paraId="11CEC072"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t xml:space="preserve"># </w:t>
      </w:r>
      <w:r w:rsidRPr="0011469E">
        <w:rPr>
          <w:rFonts w:ascii="Arial" w:eastAsia="Calibri" w:hAnsi="Arial" w:cs="Arial"/>
          <w:color w:val="000000"/>
          <w:sz w:val="22"/>
          <w:szCs w:val="22"/>
        </w:rPr>
        <w:t xml:space="preserve">This designates a brand-name drug with FDA “A”-rated generic equivalents. PA is required for the brand, unless a particular form of that drug (for example, tablet, capsule, or liquid) does not have an FDA “A”-rated generic equivalent. </w:t>
      </w:r>
    </w:p>
    <w:p w14:paraId="061D4CA9" w14:textId="56A03637" w:rsidR="00ED337D" w:rsidRPr="00ED337D" w:rsidRDefault="00ED337D" w:rsidP="00864D42">
      <w:pPr>
        <w:spacing w:after="120"/>
        <w:ind w:right="547"/>
        <w:rPr>
          <w:rFonts w:ascii="Arial" w:eastAsia="Calibri" w:hAnsi="Arial" w:cs="Arial"/>
          <w:sz w:val="22"/>
          <w:szCs w:val="22"/>
        </w:rPr>
      </w:pPr>
      <w:r w:rsidRPr="00ED337D">
        <w:rPr>
          <w:rFonts w:ascii="Arial" w:eastAsia="Calibri" w:hAnsi="Arial" w:cs="Arial"/>
          <w:sz w:val="22"/>
          <w:szCs w:val="22"/>
          <w:vertAlign w:val="superscript"/>
        </w:rPr>
        <w:t>CO</w:t>
      </w:r>
      <w:r>
        <w:rPr>
          <w:rFonts w:ascii="Arial" w:eastAsia="Calibri" w:hAnsi="Arial" w:cs="Arial"/>
          <w:sz w:val="22"/>
          <w:szCs w:val="22"/>
        </w:rPr>
        <w:t xml:space="preserve"> </w:t>
      </w:r>
      <w:r w:rsidRPr="00ED337D">
        <w:rPr>
          <w:rFonts w:ascii="Arial" w:eastAsia="Calibri" w:hAnsi="Arial" w:cs="Arial"/>
          <w:sz w:val="22"/>
          <w:szCs w:val="22"/>
        </w:rPr>
        <w:t>Carve-Out. This agent is listed on the Acute Hospital Carve-Out Drugs List and is subject to additional monitoring and billing requirements. All requests for one-time cell and gene therapies (as listed on the Acute Hospital Carve-Out Drug List), including for members enrolled in an Accountable Care Partnership Plan (ACPP) or Managed Care Organization (MCO), will be reviewed by the MassHealth Drug Utilization Review (DUR) Program.</w:t>
      </w:r>
    </w:p>
    <w:p w14:paraId="43B9873E" w14:textId="0618F28A" w:rsidR="0011469E" w:rsidRPr="0011469E" w:rsidRDefault="0011469E" w:rsidP="00864D42">
      <w:pPr>
        <w:spacing w:after="120"/>
        <w:ind w:right="547"/>
        <w:rPr>
          <w:rFonts w:ascii="Arial" w:eastAsia="Calibri" w:hAnsi="Arial" w:cs="Arial"/>
          <w:sz w:val="22"/>
          <w:szCs w:val="22"/>
          <w:highlight w:val="yellow"/>
        </w:rPr>
      </w:pPr>
      <w:r w:rsidRPr="0011469E">
        <w:rPr>
          <w:rFonts w:ascii="Arial" w:eastAsia="Calibri" w:hAnsi="Arial" w:cs="Arial"/>
          <w:sz w:val="22"/>
          <w:szCs w:val="22"/>
          <w:vertAlign w:val="superscript"/>
        </w:rPr>
        <w:t>MB</w:t>
      </w:r>
      <w:r w:rsidRPr="0011469E">
        <w:rPr>
          <w:rFonts w:ascii="Arial" w:eastAsia="Calibri" w:hAnsi="Arial" w:cs="Arial"/>
          <w:sz w:val="22"/>
          <w:szCs w:val="22"/>
        </w:rPr>
        <w:t xml:space="preserve">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3F862758" w14:textId="77777777" w:rsidR="0011469E" w:rsidRPr="0011469E" w:rsidRDefault="0011469E" w:rsidP="00864D42">
      <w:pPr>
        <w:autoSpaceDE w:val="0"/>
        <w:autoSpaceDN w:val="0"/>
        <w:adjustRightInd w:val="0"/>
        <w:spacing w:after="120"/>
        <w:rPr>
          <w:rFonts w:ascii="Arial" w:eastAsia="Calibri" w:hAnsi="Arial" w:cs="Arial"/>
          <w:bCs/>
          <w:color w:val="000000"/>
          <w:sz w:val="22"/>
          <w:szCs w:val="22"/>
        </w:rPr>
      </w:pPr>
      <w:r w:rsidRPr="0011469E">
        <w:rPr>
          <w:rFonts w:ascii="Arial" w:eastAsia="Calibri" w:hAnsi="Arial" w:cs="Arial"/>
          <w:b/>
          <w:bCs/>
          <w:color w:val="000000"/>
          <w:sz w:val="22"/>
          <w:szCs w:val="22"/>
        </w:rPr>
        <w:t>*</w:t>
      </w:r>
      <w:r w:rsidRPr="0011469E">
        <w:rPr>
          <w:rFonts w:ascii="Arial" w:eastAsia="Calibri" w:hAnsi="Arial" w:cs="Arial"/>
          <w:bCs/>
          <w:color w:val="000000"/>
          <w:sz w:val="22"/>
          <w:szCs w:val="22"/>
        </w:rPr>
        <w:t xml:space="preserve"> The generic OTC and, if any, generic prescription versions of the drug are payable under MassHealth without PA.</w:t>
      </w:r>
    </w:p>
    <w:p w14:paraId="18A0424C"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t xml:space="preserve">PA </w:t>
      </w:r>
      <w:r w:rsidRPr="0011469E">
        <w:rPr>
          <w:rFonts w:ascii="Arial" w:eastAsia="Calibri" w:hAnsi="Arial" w:cs="Arial"/>
          <w:color w:val="000000"/>
          <w:sz w:val="22"/>
          <w:szCs w:val="22"/>
        </w:rPr>
        <w:t xml:space="preserve">Prior authorization is required. The prescriber must obtain PA for the drug in order for the provider to receive reimbursement. Note: PA applies to both the brand-name and the FDA “A”-rated generic equivalent of listed product. </w:t>
      </w:r>
    </w:p>
    <w:p w14:paraId="571C2397" w14:textId="77777777"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A90</w:t>
      </w:r>
      <w:r w:rsidRPr="0011469E">
        <w:rPr>
          <w:rFonts w:ascii="Arial" w:eastAsia="Calibri" w:hAnsi="Arial" w:cs="Arial"/>
          <w:sz w:val="22"/>
          <w:szCs w:val="22"/>
        </w:rPr>
        <w:t xml:space="preserve"> Allowable 90-day supply. Dispensing in up to a 90-day supply is allowed. May not include all strengths or formulations. Quantity limits and other restrictions may apply. </w:t>
      </w:r>
    </w:p>
    <w:p w14:paraId="6D8E4AB8" w14:textId="77777777"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BP</w:t>
      </w:r>
      <w:r w:rsidRPr="0011469E">
        <w:rPr>
          <w:rFonts w:ascii="Arial" w:eastAsia="Calibri" w:hAnsi="Arial" w:cs="Arial"/>
          <w:sz w:val="22"/>
          <w:szCs w:val="22"/>
        </w:rPr>
        <w:t xml:space="preserve"> Brand Preferred over generic equivalents. In general, MassHealth requires a trial of the preferred drug or clinical rationale for prescribing the non-preferred drug generic equivalent.</w:t>
      </w:r>
    </w:p>
    <w:p w14:paraId="42D6231D" w14:textId="04AB314F" w:rsidR="0011469E" w:rsidRPr="0011469E" w:rsidRDefault="0011469E" w:rsidP="00864D42">
      <w:pPr>
        <w:spacing w:after="120"/>
        <w:ind w:right="547"/>
        <w:rPr>
          <w:rFonts w:ascii="Arial" w:eastAsia="Calibri" w:hAnsi="Arial" w:cs="Arial"/>
          <w:sz w:val="32"/>
          <w:szCs w:val="22"/>
        </w:rPr>
      </w:pPr>
      <w:bookmarkStart w:id="6" w:name="_Hlk99013636"/>
      <w:r w:rsidRPr="0011469E">
        <w:rPr>
          <w:rFonts w:ascii="Arial" w:eastAsia="Calibri" w:hAnsi="Arial" w:cs="Arial"/>
          <w:b/>
          <w:sz w:val="22"/>
          <w:szCs w:val="22"/>
          <w:vertAlign w:val="superscript"/>
        </w:rPr>
        <w:t>M90</w:t>
      </w:r>
      <w:r w:rsidRPr="0011469E">
        <w:rPr>
          <w:rFonts w:ascii="Arial" w:eastAsia="Calibri" w:hAnsi="Arial" w:cs="Arial"/>
          <w:sz w:val="22"/>
          <w:szCs w:val="22"/>
        </w:rPr>
        <w:t xml:space="preserve"> Mandatory 90-day supply. After dispensing up to a 30-day supply initial fill, dispensing in a 90-day supply is required. May not include all strengths or formulations. Quantity limits and other restrictions may also apply. </w:t>
      </w:r>
    </w:p>
    <w:p w14:paraId="6D7C14B6" w14:textId="09052F48" w:rsidR="00A66AFB" w:rsidRPr="00BC084C"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PD</w:t>
      </w:r>
      <w:r w:rsidRPr="0011469E">
        <w:rPr>
          <w:rFonts w:ascii="Arial" w:eastAsia="Calibri" w:hAnsi="Arial" w:cs="Arial"/>
          <w:sz w:val="22"/>
          <w:szCs w:val="22"/>
        </w:rPr>
        <w:t xml:space="preserve"> Preferred Drug. In general, MassHealth requires a trial of the preferred drug or clinical rationale for prescribing a non-preferred drug within a therapeutic class.</w:t>
      </w:r>
      <w:bookmarkEnd w:id="6"/>
    </w:p>
    <w:sectPr w:rsidR="00A66AFB" w:rsidRPr="00BC084C" w:rsidSect="003D103D">
      <w:footerReference w:type="default" r:id="rId12"/>
      <w:type w:val="continuous"/>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97A7" w14:textId="77777777" w:rsidR="00E57F33" w:rsidRDefault="00E57F33" w:rsidP="00492602">
      <w:r>
        <w:separator/>
      </w:r>
    </w:p>
    <w:p w14:paraId="6726DA13" w14:textId="77777777" w:rsidR="00E57F33" w:rsidRDefault="00E57F33"/>
  </w:endnote>
  <w:endnote w:type="continuationSeparator" w:id="0">
    <w:p w14:paraId="1BE66335" w14:textId="77777777" w:rsidR="00E57F33" w:rsidRDefault="00E57F33" w:rsidP="00492602">
      <w:r>
        <w:continuationSeparator/>
      </w:r>
    </w:p>
    <w:p w14:paraId="7078B1C2" w14:textId="77777777" w:rsidR="00E57F33" w:rsidRDefault="00E57F33"/>
  </w:endnote>
  <w:endnote w:type="continuationNotice" w:id="1">
    <w:p w14:paraId="2BE27D8E" w14:textId="77777777" w:rsidR="00E57F33" w:rsidRDefault="00E57F33"/>
    <w:p w14:paraId="2AF779DE" w14:textId="77777777" w:rsidR="00E57F33" w:rsidRDefault="00E5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51BE6680" w14:textId="4CB22159"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w:t>
    </w:r>
    <w:r w:rsidR="006807BE">
      <w:rPr>
        <w:rFonts w:ascii="Arial" w:hAnsi="Arial" w:cs="Arial"/>
        <w:iCs/>
        <w:sz w:val="18"/>
        <w:szCs w:val="18"/>
      </w:rPr>
      <w:t xml:space="preserve"> requests</w:t>
    </w:r>
    <w:r>
      <w:rPr>
        <w:rFonts w:ascii="Arial" w:hAnsi="Arial" w:cs="Arial"/>
        <w:iCs/>
        <w:sz w:val="18"/>
        <w:szCs w:val="18"/>
      </w:rPr>
      <w:t xml:space="preserve">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06F1644" w14:textId="77777777" w:rsidR="001F1D64" w:rsidRDefault="001F1D64"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C47" w14:textId="77777777" w:rsidR="00E57F33" w:rsidRDefault="00E57F33" w:rsidP="00492602">
      <w:r>
        <w:separator/>
      </w:r>
    </w:p>
    <w:p w14:paraId="55A1A926" w14:textId="77777777" w:rsidR="00E57F33" w:rsidRDefault="00E57F33"/>
  </w:footnote>
  <w:footnote w:type="continuationSeparator" w:id="0">
    <w:p w14:paraId="5D36E71F" w14:textId="77777777" w:rsidR="00E57F33" w:rsidRDefault="00E57F33" w:rsidP="00492602">
      <w:r>
        <w:continuationSeparator/>
      </w:r>
    </w:p>
    <w:p w14:paraId="1E4D7F28" w14:textId="77777777" w:rsidR="00E57F33" w:rsidRDefault="00E57F33"/>
  </w:footnote>
  <w:footnote w:type="continuationNotice" w:id="1">
    <w:p w14:paraId="7EA24890" w14:textId="77777777" w:rsidR="00E57F33" w:rsidRDefault="00E57F33"/>
    <w:p w14:paraId="32C6A716" w14:textId="77777777" w:rsidR="00E57F33" w:rsidRDefault="00E5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1A9B9F28"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A4506A">
      <w:rPr>
        <w:sz w:val="18"/>
        <w:szCs w:val="18"/>
      </w:rPr>
      <w:t>4</w:t>
    </w:r>
    <w:r w:rsidR="00864D42">
      <w:rPr>
        <w:sz w:val="18"/>
        <w:szCs w:val="18"/>
      </w:rPr>
      <w:t>5</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864D42">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F4126D"/>
    <w:multiLevelType w:val="hybridMultilevel"/>
    <w:tmpl w:val="4CC6C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623CE8"/>
    <w:multiLevelType w:val="hybridMultilevel"/>
    <w:tmpl w:val="939E8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62F132B"/>
    <w:multiLevelType w:val="hybridMultilevel"/>
    <w:tmpl w:val="DCD45CE8"/>
    <w:lvl w:ilvl="0" w:tplc="6D74651E">
      <w:start w:val="1"/>
      <w:numFmt w:val="bullet"/>
      <w:lvlText w:val=""/>
      <w:lvlJc w:val="left"/>
      <w:pPr>
        <w:ind w:left="3240" w:hanging="360"/>
      </w:pPr>
      <w:rPr>
        <w:rFonts w:ascii="Symbol" w:hAnsi="Symbol"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4B33850"/>
    <w:multiLevelType w:val="hybridMultilevel"/>
    <w:tmpl w:val="1B5C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F818B9"/>
    <w:multiLevelType w:val="hybridMultilevel"/>
    <w:tmpl w:val="0BFAB3F0"/>
    <w:lvl w:ilvl="0" w:tplc="9292771E">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55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355459">
    <w:abstractNumId w:val="3"/>
  </w:num>
  <w:num w:numId="3" w16cid:durableId="1440756553">
    <w:abstractNumId w:val="5"/>
  </w:num>
  <w:num w:numId="4" w16cid:durableId="430320299">
    <w:abstractNumId w:val="4"/>
  </w:num>
  <w:num w:numId="5" w16cid:durableId="1925021050">
    <w:abstractNumId w:val="7"/>
  </w:num>
  <w:num w:numId="6" w16cid:durableId="1994794362">
    <w:abstractNumId w:val="6"/>
  </w:num>
  <w:num w:numId="7" w16cid:durableId="1587690349">
    <w:abstractNumId w:val="9"/>
  </w:num>
  <w:num w:numId="8" w16cid:durableId="6228842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758683">
    <w:abstractNumId w:val="2"/>
  </w:num>
  <w:num w:numId="10" w16cid:durableId="1755274681">
    <w:abstractNumId w:val="0"/>
  </w:num>
  <w:num w:numId="11" w16cid:durableId="1952396013">
    <w:abstractNumId w:val="8"/>
  </w:num>
  <w:num w:numId="12" w16cid:durableId="206250977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072"/>
    <w:rsid w:val="00015518"/>
    <w:rsid w:val="00016D4B"/>
    <w:rsid w:val="0002770E"/>
    <w:rsid w:val="00032F24"/>
    <w:rsid w:val="00041BB3"/>
    <w:rsid w:val="0005108C"/>
    <w:rsid w:val="00054839"/>
    <w:rsid w:val="000627D3"/>
    <w:rsid w:val="00065861"/>
    <w:rsid w:val="00066D40"/>
    <w:rsid w:val="00074014"/>
    <w:rsid w:val="0008078E"/>
    <w:rsid w:val="00081E8E"/>
    <w:rsid w:val="000924D7"/>
    <w:rsid w:val="000A377D"/>
    <w:rsid w:val="000A6455"/>
    <w:rsid w:val="000A7CE1"/>
    <w:rsid w:val="000B13AF"/>
    <w:rsid w:val="000B340B"/>
    <w:rsid w:val="000C4B1B"/>
    <w:rsid w:val="000C6C12"/>
    <w:rsid w:val="000D1502"/>
    <w:rsid w:val="000E15C7"/>
    <w:rsid w:val="001018B6"/>
    <w:rsid w:val="00103B6C"/>
    <w:rsid w:val="0011469E"/>
    <w:rsid w:val="00126432"/>
    <w:rsid w:val="00126536"/>
    <w:rsid w:val="0013361D"/>
    <w:rsid w:val="00136292"/>
    <w:rsid w:val="00137D3D"/>
    <w:rsid w:val="001405EC"/>
    <w:rsid w:val="00140D08"/>
    <w:rsid w:val="00147437"/>
    <w:rsid w:val="00147B32"/>
    <w:rsid w:val="00157A49"/>
    <w:rsid w:val="001721D8"/>
    <w:rsid w:val="0018192D"/>
    <w:rsid w:val="00183133"/>
    <w:rsid w:val="0018357E"/>
    <w:rsid w:val="0018410B"/>
    <w:rsid w:val="001864A9"/>
    <w:rsid w:val="0019075F"/>
    <w:rsid w:val="001A73F0"/>
    <w:rsid w:val="001B615D"/>
    <w:rsid w:val="001C1481"/>
    <w:rsid w:val="001C17CD"/>
    <w:rsid w:val="001C66AD"/>
    <w:rsid w:val="001D35B4"/>
    <w:rsid w:val="001D4CF3"/>
    <w:rsid w:val="001D78C9"/>
    <w:rsid w:val="001E0E7A"/>
    <w:rsid w:val="001E537A"/>
    <w:rsid w:val="001E7644"/>
    <w:rsid w:val="001F1D64"/>
    <w:rsid w:val="001F701D"/>
    <w:rsid w:val="001F799D"/>
    <w:rsid w:val="002509E9"/>
    <w:rsid w:val="0025647E"/>
    <w:rsid w:val="00256E8B"/>
    <w:rsid w:val="0027289D"/>
    <w:rsid w:val="00274FFA"/>
    <w:rsid w:val="00276A80"/>
    <w:rsid w:val="00276F3A"/>
    <w:rsid w:val="002823C9"/>
    <w:rsid w:val="00286CBE"/>
    <w:rsid w:val="00291313"/>
    <w:rsid w:val="002C2242"/>
    <w:rsid w:val="002C3126"/>
    <w:rsid w:val="002C3773"/>
    <w:rsid w:val="002C54C4"/>
    <w:rsid w:val="002C690F"/>
    <w:rsid w:val="002C7C67"/>
    <w:rsid w:val="002D390F"/>
    <w:rsid w:val="002D7292"/>
    <w:rsid w:val="002D738C"/>
    <w:rsid w:val="002E6A28"/>
    <w:rsid w:val="002F0ACB"/>
    <w:rsid w:val="002F5C29"/>
    <w:rsid w:val="002F7813"/>
    <w:rsid w:val="003062E4"/>
    <w:rsid w:val="003152DA"/>
    <w:rsid w:val="0033053B"/>
    <w:rsid w:val="00352CE6"/>
    <w:rsid w:val="0035740B"/>
    <w:rsid w:val="00360067"/>
    <w:rsid w:val="00363377"/>
    <w:rsid w:val="0036343A"/>
    <w:rsid w:val="00364DA1"/>
    <w:rsid w:val="0037373E"/>
    <w:rsid w:val="003742C0"/>
    <w:rsid w:val="00381A1E"/>
    <w:rsid w:val="00382054"/>
    <w:rsid w:val="00383A87"/>
    <w:rsid w:val="003A0D24"/>
    <w:rsid w:val="003B3B03"/>
    <w:rsid w:val="003B6839"/>
    <w:rsid w:val="003C525F"/>
    <w:rsid w:val="003D103D"/>
    <w:rsid w:val="003D1841"/>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47C59"/>
    <w:rsid w:val="004664D3"/>
    <w:rsid w:val="00466A33"/>
    <w:rsid w:val="0047632A"/>
    <w:rsid w:val="00476ACE"/>
    <w:rsid w:val="0048705C"/>
    <w:rsid w:val="0049118A"/>
    <w:rsid w:val="00492602"/>
    <w:rsid w:val="0049421E"/>
    <w:rsid w:val="004A1D1C"/>
    <w:rsid w:val="004A3BAA"/>
    <w:rsid w:val="004A7395"/>
    <w:rsid w:val="004C4924"/>
    <w:rsid w:val="004D4593"/>
    <w:rsid w:val="004D73F0"/>
    <w:rsid w:val="004F5612"/>
    <w:rsid w:val="0050063A"/>
    <w:rsid w:val="00503A62"/>
    <w:rsid w:val="00516394"/>
    <w:rsid w:val="0051726C"/>
    <w:rsid w:val="00522E88"/>
    <w:rsid w:val="005314A6"/>
    <w:rsid w:val="005502E1"/>
    <w:rsid w:val="00551597"/>
    <w:rsid w:val="00552F50"/>
    <w:rsid w:val="0056481B"/>
    <w:rsid w:val="00571898"/>
    <w:rsid w:val="00574F07"/>
    <w:rsid w:val="00581E50"/>
    <w:rsid w:val="005842A0"/>
    <w:rsid w:val="00587A3E"/>
    <w:rsid w:val="005958DD"/>
    <w:rsid w:val="005A0EB2"/>
    <w:rsid w:val="005A57BA"/>
    <w:rsid w:val="005C1B4C"/>
    <w:rsid w:val="005C6454"/>
    <w:rsid w:val="005D4363"/>
    <w:rsid w:val="005D6832"/>
    <w:rsid w:val="005E479A"/>
    <w:rsid w:val="005E608B"/>
    <w:rsid w:val="005E77E2"/>
    <w:rsid w:val="005E7C55"/>
    <w:rsid w:val="005F00EF"/>
    <w:rsid w:val="005F3677"/>
    <w:rsid w:val="00603517"/>
    <w:rsid w:val="006161A5"/>
    <w:rsid w:val="00617A9C"/>
    <w:rsid w:val="006220AB"/>
    <w:rsid w:val="00623469"/>
    <w:rsid w:val="006302EF"/>
    <w:rsid w:val="00637A67"/>
    <w:rsid w:val="006408FB"/>
    <w:rsid w:val="006421B9"/>
    <w:rsid w:val="006431A3"/>
    <w:rsid w:val="00647298"/>
    <w:rsid w:val="00650095"/>
    <w:rsid w:val="00651CA7"/>
    <w:rsid w:val="00652261"/>
    <w:rsid w:val="00661841"/>
    <w:rsid w:val="00663BDB"/>
    <w:rsid w:val="00666BCC"/>
    <w:rsid w:val="00674418"/>
    <w:rsid w:val="00674428"/>
    <w:rsid w:val="006807BE"/>
    <w:rsid w:val="00681858"/>
    <w:rsid w:val="00683A24"/>
    <w:rsid w:val="00686C26"/>
    <w:rsid w:val="00690023"/>
    <w:rsid w:val="00692C5C"/>
    <w:rsid w:val="006967F6"/>
    <w:rsid w:val="0069772F"/>
    <w:rsid w:val="006A5BB5"/>
    <w:rsid w:val="006D3092"/>
    <w:rsid w:val="006D3B5F"/>
    <w:rsid w:val="006D4545"/>
    <w:rsid w:val="006D6CDE"/>
    <w:rsid w:val="006E0C20"/>
    <w:rsid w:val="006E22A3"/>
    <w:rsid w:val="006E5120"/>
    <w:rsid w:val="006E6E6D"/>
    <w:rsid w:val="006F35F9"/>
    <w:rsid w:val="007006BD"/>
    <w:rsid w:val="007319D7"/>
    <w:rsid w:val="00731FAF"/>
    <w:rsid w:val="007326EC"/>
    <w:rsid w:val="007339DB"/>
    <w:rsid w:val="007426BF"/>
    <w:rsid w:val="00742D9C"/>
    <w:rsid w:val="007465A9"/>
    <w:rsid w:val="00747274"/>
    <w:rsid w:val="00753C90"/>
    <w:rsid w:val="00760FDF"/>
    <w:rsid w:val="00763D9D"/>
    <w:rsid w:val="00770E52"/>
    <w:rsid w:val="00772667"/>
    <w:rsid w:val="007757E7"/>
    <w:rsid w:val="0078485C"/>
    <w:rsid w:val="00796A47"/>
    <w:rsid w:val="007A1603"/>
    <w:rsid w:val="007A41F5"/>
    <w:rsid w:val="007A71F0"/>
    <w:rsid w:val="007B5A33"/>
    <w:rsid w:val="007B7425"/>
    <w:rsid w:val="007C290F"/>
    <w:rsid w:val="007C2BFD"/>
    <w:rsid w:val="007C6D14"/>
    <w:rsid w:val="007D0656"/>
    <w:rsid w:val="007E6327"/>
    <w:rsid w:val="007F5417"/>
    <w:rsid w:val="007F7D28"/>
    <w:rsid w:val="00810468"/>
    <w:rsid w:val="00812480"/>
    <w:rsid w:val="00817B74"/>
    <w:rsid w:val="00821937"/>
    <w:rsid w:val="008403CA"/>
    <w:rsid w:val="008535D0"/>
    <w:rsid w:val="0085395A"/>
    <w:rsid w:val="00853F8E"/>
    <w:rsid w:val="00861844"/>
    <w:rsid w:val="00864D42"/>
    <w:rsid w:val="0086789A"/>
    <w:rsid w:val="00867F92"/>
    <w:rsid w:val="00871BCF"/>
    <w:rsid w:val="00872E7F"/>
    <w:rsid w:val="00880FA9"/>
    <w:rsid w:val="00885320"/>
    <w:rsid w:val="008930F1"/>
    <w:rsid w:val="00893F45"/>
    <w:rsid w:val="008978FF"/>
    <w:rsid w:val="008B348F"/>
    <w:rsid w:val="008C0A6E"/>
    <w:rsid w:val="008C5414"/>
    <w:rsid w:val="008D22A2"/>
    <w:rsid w:val="008D3088"/>
    <w:rsid w:val="008D5FB9"/>
    <w:rsid w:val="008E62B4"/>
    <w:rsid w:val="008F0130"/>
    <w:rsid w:val="008F11E0"/>
    <w:rsid w:val="008F2307"/>
    <w:rsid w:val="008F2E4C"/>
    <w:rsid w:val="008F6D47"/>
    <w:rsid w:val="00905319"/>
    <w:rsid w:val="009055BF"/>
    <w:rsid w:val="00906EEC"/>
    <w:rsid w:val="009166DF"/>
    <w:rsid w:val="00916A44"/>
    <w:rsid w:val="009204C7"/>
    <w:rsid w:val="00922030"/>
    <w:rsid w:val="009224AE"/>
    <w:rsid w:val="00941258"/>
    <w:rsid w:val="00942245"/>
    <w:rsid w:val="00944DD4"/>
    <w:rsid w:val="00956812"/>
    <w:rsid w:val="0096007B"/>
    <w:rsid w:val="00960771"/>
    <w:rsid w:val="00965293"/>
    <w:rsid w:val="00967518"/>
    <w:rsid w:val="009725E5"/>
    <w:rsid w:val="00973ACB"/>
    <w:rsid w:val="00981567"/>
    <w:rsid w:val="0098420C"/>
    <w:rsid w:val="009B5A36"/>
    <w:rsid w:val="009C3981"/>
    <w:rsid w:val="009D4391"/>
    <w:rsid w:val="009D6AAA"/>
    <w:rsid w:val="009E14EE"/>
    <w:rsid w:val="009F0440"/>
    <w:rsid w:val="00A01DE3"/>
    <w:rsid w:val="00A11371"/>
    <w:rsid w:val="00A120E1"/>
    <w:rsid w:val="00A217D3"/>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4255"/>
    <w:rsid w:val="00A87E7D"/>
    <w:rsid w:val="00A91725"/>
    <w:rsid w:val="00A94DDA"/>
    <w:rsid w:val="00AA3257"/>
    <w:rsid w:val="00AC1AC7"/>
    <w:rsid w:val="00AD18B8"/>
    <w:rsid w:val="00AD2D59"/>
    <w:rsid w:val="00AD4750"/>
    <w:rsid w:val="00AD7369"/>
    <w:rsid w:val="00AE21FC"/>
    <w:rsid w:val="00AE46EB"/>
    <w:rsid w:val="00AF19BA"/>
    <w:rsid w:val="00AF1D89"/>
    <w:rsid w:val="00AF3D5A"/>
    <w:rsid w:val="00AF69C8"/>
    <w:rsid w:val="00B00CF0"/>
    <w:rsid w:val="00B01BAA"/>
    <w:rsid w:val="00B035D4"/>
    <w:rsid w:val="00B07BD7"/>
    <w:rsid w:val="00B07DC0"/>
    <w:rsid w:val="00B22A91"/>
    <w:rsid w:val="00B30158"/>
    <w:rsid w:val="00B3099B"/>
    <w:rsid w:val="00B44F14"/>
    <w:rsid w:val="00B546A9"/>
    <w:rsid w:val="00B54AB5"/>
    <w:rsid w:val="00B57DFD"/>
    <w:rsid w:val="00B631BF"/>
    <w:rsid w:val="00B6603B"/>
    <w:rsid w:val="00B74286"/>
    <w:rsid w:val="00B76668"/>
    <w:rsid w:val="00B81D29"/>
    <w:rsid w:val="00B91A99"/>
    <w:rsid w:val="00B92C96"/>
    <w:rsid w:val="00B94980"/>
    <w:rsid w:val="00BA68F0"/>
    <w:rsid w:val="00BB7087"/>
    <w:rsid w:val="00BB7F64"/>
    <w:rsid w:val="00BC084C"/>
    <w:rsid w:val="00BC0A49"/>
    <w:rsid w:val="00BD08CA"/>
    <w:rsid w:val="00BD49EE"/>
    <w:rsid w:val="00BF08BA"/>
    <w:rsid w:val="00BF2B67"/>
    <w:rsid w:val="00BF5D2E"/>
    <w:rsid w:val="00C04879"/>
    <w:rsid w:val="00C10F29"/>
    <w:rsid w:val="00C222D9"/>
    <w:rsid w:val="00C27842"/>
    <w:rsid w:val="00C30531"/>
    <w:rsid w:val="00C31421"/>
    <w:rsid w:val="00C33282"/>
    <w:rsid w:val="00C33753"/>
    <w:rsid w:val="00C35B94"/>
    <w:rsid w:val="00C57A08"/>
    <w:rsid w:val="00C671DE"/>
    <w:rsid w:val="00C736EA"/>
    <w:rsid w:val="00C75718"/>
    <w:rsid w:val="00C82FA4"/>
    <w:rsid w:val="00C937F1"/>
    <w:rsid w:val="00C959A1"/>
    <w:rsid w:val="00CA0669"/>
    <w:rsid w:val="00CA42D3"/>
    <w:rsid w:val="00CB0030"/>
    <w:rsid w:val="00CB7178"/>
    <w:rsid w:val="00CC3C2D"/>
    <w:rsid w:val="00CC57AC"/>
    <w:rsid w:val="00CC59DC"/>
    <w:rsid w:val="00CC776C"/>
    <w:rsid w:val="00CD01A5"/>
    <w:rsid w:val="00CD6B42"/>
    <w:rsid w:val="00CE1E17"/>
    <w:rsid w:val="00CF561D"/>
    <w:rsid w:val="00D05E85"/>
    <w:rsid w:val="00D1692F"/>
    <w:rsid w:val="00D2695E"/>
    <w:rsid w:val="00D4030C"/>
    <w:rsid w:val="00D42F5E"/>
    <w:rsid w:val="00D45E4A"/>
    <w:rsid w:val="00D63E59"/>
    <w:rsid w:val="00D66A89"/>
    <w:rsid w:val="00D81121"/>
    <w:rsid w:val="00D826DE"/>
    <w:rsid w:val="00D829A3"/>
    <w:rsid w:val="00D83755"/>
    <w:rsid w:val="00D90C7C"/>
    <w:rsid w:val="00D93833"/>
    <w:rsid w:val="00DA36E5"/>
    <w:rsid w:val="00DC0CC0"/>
    <w:rsid w:val="00DC2D01"/>
    <w:rsid w:val="00E01E67"/>
    <w:rsid w:val="00E06AFA"/>
    <w:rsid w:val="00E24139"/>
    <w:rsid w:val="00E37E21"/>
    <w:rsid w:val="00E444BA"/>
    <w:rsid w:val="00E53D5C"/>
    <w:rsid w:val="00E57F33"/>
    <w:rsid w:val="00E60ABB"/>
    <w:rsid w:val="00E60C41"/>
    <w:rsid w:val="00E67713"/>
    <w:rsid w:val="00E7413C"/>
    <w:rsid w:val="00E80EF9"/>
    <w:rsid w:val="00E90EB0"/>
    <w:rsid w:val="00E91925"/>
    <w:rsid w:val="00E92E47"/>
    <w:rsid w:val="00E9576D"/>
    <w:rsid w:val="00EA56F9"/>
    <w:rsid w:val="00EB05D9"/>
    <w:rsid w:val="00EB3BFD"/>
    <w:rsid w:val="00EB3E62"/>
    <w:rsid w:val="00EC08AC"/>
    <w:rsid w:val="00EC2856"/>
    <w:rsid w:val="00EC2E80"/>
    <w:rsid w:val="00EC5D2D"/>
    <w:rsid w:val="00EC7E0A"/>
    <w:rsid w:val="00ED337D"/>
    <w:rsid w:val="00EE1C40"/>
    <w:rsid w:val="00EF7C8A"/>
    <w:rsid w:val="00F038F7"/>
    <w:rsid w:val="00F03AE8"/>
    <w:rsid w:val="00F053E2"/>
    <w:rsid w:val="00F12759"/>
    <w:rsid w:val="00F12AD7"/>
    <w:rsid w:val="00F16B33"/>
    <w:rsid w:val="00F21C6C"/>
    <w:rsid w:val="00F25E7F"/>
    <w:rsid w:val="00F318BF"/>
    <w:rsid w:val="00F33C53"/>
    <w:rsid w:val="00F537EB"/>
    <w:rsid w:val="00F614AC"/>
    <w:rsid w:val="00F7659F"/>
    <w:rsid w:val="00F76BED"/>
    <w:rsid w:val="00F76D69"/>
    <w:rsid w:val="00F80EEE"/>
    <w:rsid w:val="00F82DDB"/>
    <w:rsid w:val="00F85F2A"/>
    <w:rsid w:val="00F906CF"/>
    <w:rsid w:val="00F9387A"/>
    <w:rsid w:val="00FA5147"/>
    <w:rsid w:val="00FB0C11"/>
    <w:rsid w:val="00FB39E3"/>
    <w:rsid w:val="00FC445C"/>
    <w:rsid w:val="00FC532A"/>
    <w:rsid w:val="00FD4894"/>
    <w:rsid w:val="00FD6869"/>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81069314">
      <w:bodyDiv w:val="1"/>
      <w:marLeft w:val="0"/>
      <w:marRight w:val="0"/>
      <w:marTop w:val="0"/>
      <w:marBottom w:val="0"/>
      <w:divBdr>
        <w:top w:val="none" w:sz="0" w:space="0" w:color="auto"/>
        <w:left w:val="none" w:sz="0" w:space="0" w:color="auto"/>
        <w:bottom w:val="none" w:sz="0" w:space="0" w:color="auto"/>
        <w:right w:val="none" w:sz="0" w:space="0" w:color="auto"/>
      </w:divBdr>
    </w:div>
    <w:div w:id="123739763">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22639744">
      <w:bodyDiv w:val="1"/>
      <w:marLeft w:val="0"/>
      <w:marRight w:val="0"/>
      <w:marTop w:val="0"/>
      <w:marBottom w:val="0"/>
      <w:divBdr>
        <w:top w:val="none" w:sz="0" w:space="0" w:color="auto"/>
        <w:left w:val="none" w:sz="0" w:space="0" w:color="auto"/>
        <w:bottom w:val="none" w:sz="0" w:space="0" w:color="auto"/>
        <w:right w:val="none" w:sz="0" w:space="0" w:color="auto"/>
      </w:divBdr>
    </w:div>
    <w:div w:id="235751713">
      <w:bodyDiv w:val="1"/>
      <w:marLeft w:val="0"/>
      <w:marRight w:val="0"/>
      <w:marTop w:val="0"/>
      <w:marBottom w:val="0"/>
      <w:divBdr>
        <w:top w:val="none" w:sz="0" w:space="0" w:color="auto"/>
        <w:left w:val="none" w:sz="0" w:space="0" w:color="auto"/>
        <w:bottom w:val="none" w:sz="0" w:space="0" w:color="auto"/>
        <w:right w:val="none" w:sz="0" w:space="0" w:color="auto"/>
      </w:divBdr>
      <w:divsChild>
        <w:div w:id="525413700">
          <w:marLeft w:val="0"/>
          <w:marRight w:val="0"/>
          <w:marTop w:val="0"/>
          <w:marBottom w:val="0"/>
          <w:divBdr>
            <w:top w:val="none" w:sz="0" w:space="0" w:color="auto"/>
            <w:left w:val="none" w:sz="0" w:space="0" w:color="auto"/>
            <w:bottom w:val="none" w:sz="0" w:space="0" w:color="auto"/>
            <w:right w:val="none" w:sz="0" w:space="0" w:color="auto"/>
          </w:divBdr>
          <w:divsChild>
            <w:div w:id="1484617443">
              <w:marLeft w:val="0"/>
              <w:marRight w:val="0"/>
              <w:marTop w:val="0"/>
              <w:marBottom w:val="0"/>
              <w:divBdr>
                <w:top w:val="none" w:sz="0" w:space="0" w:color="auto"/>
                <w:left w:val="none" w:sz="0" w:space="0" w:color="auto"/>
                <w:bottom w:val="none" w:sz="0" w:space="0" w:color="auto"/>
                <w:right w:val="none" w:sz="0" w:space="0" w:color="auto"/>
              </w:divBdr>
            </w:div>
          </w:divsChild>
        </w:div>
        <w:div w:id="684524231">
          <w:marLeft w:val="0"/>
          <w:marRight w:val="0"/>
          <w:marTop w:val="0"/>
          <w:marBottom w:val="0"/>
          <w:divBdr>
            <w:top w:val="none" w:sz="0" w:space="0" w:color="auto"/>
            <w:left w:val="none" w:sz="0" w:space="0" w:color="auto"/>
            <w:bottom w:val="none" w:sz="0" w:space="0" w:color="auto"/>
            <w:right w:val="none" w:sz="0" w:space="0" w:color="auto"/>
          </w:divBdr>
        </w:div>
      </w:divsChild>
    </w:div>
    <w:div w:id="256640765">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364601346">
      <w:bodyDiv w:val="1"/>
      <w:marLeft w:val="0"/>
      <w:marRight w:val="0"/>
      <w:marTop w:val="0"/>
      <w:marBottom w:val="0"/>
      <w:divBdr>
        <w:top w:val="none" w:sz="0" w:space="0" w:color="auto"/>
        <w:left w:val="none" w:sz="0" w:space="0" w:color="auto"/>
        <w:bottom w:val="none" w:sz="0" w:space="0" w:color="auto"/>
        <w:right w:val="none" w:sz="0" w:space="0" w:color="auto"/>
      </w:divBdr>
    </w:div>
    <w:div w:id="372732076">
      <w:bodyDiv w:val="1"/>
      <w:marLeft w:val="0"/>
      <w:marRight w:val="0"/>
      <w:marTop w:val="0"/>
      <w:marBottom w:val="0"/>
      <w:divBdr>
        <w:top w:val="none" w:sz="0" w:space="0" w:color="auto"/>
        <w:left w:val="none" w:sz="0" w:space="0" w:color="auto"/>
        <w:bottom w:val="none" w:sz="0" w:space="0" w:color="auto"/>
        <w:right w:val="none" w:sz="0" w:space="0" w:color="auto"/>
      </w:divBdr>
    </w:div>
    <w:div w:id="380638161">
      <w:bodyDiv w:val="1"/>
      <w:marLeft w:val="0"/>
      <w:marRight w:val="0"/>
      <w:marTop w:val="0"/>
      <w:marBottom w:val="0"/>
      <w:divBdr>
        <w:top w:val="none" w:sz="0" w:space="0" w:color="auto"/>
        <w:left w:val="none" w:sz="0" w:space="0" w:color="auto"/>
        <w:bottom w:val="none" w:sz="0" w:space="0" w:color="auto"/>
        <w:right w:val="none" w:sz="0" w:space="0" w:color="auto"/>
      </w:divBdr>
    </w:div>
    <w:div w:id="396243028">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536238674">
      <w:bodyDiv w:val="1"/>
      <w:marLeft w:val="0"/>
      <w:marRight w:val="0"/>
      <w:marTop w:val="0"/>
      <w:marBottom w:val="0"/>
      <w:divBdr>
        <w:top w:val="none" w:sz="0" w:space="0" w:color="auto"/>
        <w:left w:val="none" w:sz="0" w:space="0" w:color="auto"/>
        <w:bottom w:val="none" w:sz="0" w:space="0" w:color="auto"/>
        <w:right w:val="none" w:sz="0" w:space="0" w:color="auto"/>
      </w:divBdr>
    </w:div>
    <w:div w:id="591015336">
      <w:bodyDiv w:val="1"/>
      <w:marLeft w:val="0"/>
      <w:marRight w:val="0"/>
      <w:marTop w:val="0"/>
      <w:marBottom w:val="0"/>
      <w:divBdr>
        <w:top w:val="none" w:sz="0" w:space="0" w:color="auto"/>
        <w:left w:val="none" w:sz="0" w:space="0" w:color="auto"/>
        <w:bottom w:val="none" w:sz="0" w:space="0" w:color="auto"/>
        <w:right w:val="none" w:sz="0" w:space="0" w:color="auto"/>
      </w:divBdr>
    </w:div>
    <w:div w:id="786241471">
      <w:bodyDiv w:val="1"/>
      <w:marLeft w:val="0"/>
      <w:marRight w:val="0"/>
      <w:marTop w:val="0"/>
      <w:marBottom w:val="0"/>
      <w:divBdr>
        <w:top w:val="none" w:sz="0" w:space="0" w:color="auto"/>
        <w:left w:val="none" w:sz="0" w:space="0" w:color="auto"/>
        <w:bottom w:val="none" w:sz="0" w:space="0" w:color="auto"/>
        <w:right w:val="none" w:sz="0" w:space="0" w:color="auto"/>
      </w:divBdr>
    </w:div>
    <w:div w:id="789857450">
      <w:bodyDiv w:val="1"/>
      <w:marLeft w:val="0"/>
      <w:marRight w:val="0"/>
      <w:marTop w:val="0"/>
      <w:marBottom w:val="0"/>
      <w:divBdr>
        <w:top w:val="none" w:sz="0" w:space="0" w:color="auto"/>
        <w:left w:val="none" w:sz="0" w:space="0" w:color="auto"/>
        <w:bottom w:val="none" w:sz="0" w:space="0" w:color="auto"/>
        <w:right w:val="none" w:sz="0" w:space="0" w:color="auto"/>
      </w:divBdr>
    </w:div>
    <w:div w:id="822164684">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45168341">
      <w:bodyDiv w:val="1"/>
      <w:marLeft w:val="0"/>
      <w:marRight w:val="0"/>
      <w:marTop w:val="0"/>
      <w:marBottom w:val="0"/>
      <w:divBdr>
        <w:top w:val="none" w:sz="0" w:space="0" w:color="auto"/>
        <w:left w:val="none" w:sz="0" w:space="0" w:color="auto"/>
        <w:bottom w:val="none" w:sz="0" w:space="0" w:color="auto"/>
        <w:right w:val="none" w:sz="0" w:space="0" w:color="auto"/>
      </w:divBdr>
    </w:div>
    <w:div w:id="846291631">
      <w:bodyDiv w:val="1"/>
      <w:marLeft w:val="0"/>
      <w:marRight w:val="0"/>
      <w:marTop w:val="0"/>
      <w:marBottom w:val="0"/>
      <w:divBdr>
        <w:top w:val="none" w:sz="0" w:space="0" w:color="auto"/>
        <w:left w:val="none" w:sz="0" w:space="0" w:color="auto"/>
        <w:bottom w:val="none" w:sz="0" w:space="0" w:color="auto"/>
        <w:right w:val="none" w:sz="0" w:space="0" w:color="auto"/>
      </w:divBdr>
    </w:div>
    <w:div w:id="869495422">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15375834">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03765064">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70175527">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276869275">
      <w:bodyDiv w:val="1"/>
      <w:marLeft w:val="0"/>
      <w:marRight w:val="0"/>
      <w:marTop w:val="0"/>
      <w:marBottom w:val="0"/>
      <w:divBdr>
        <w:top w:val="none" w:sz="0" w:space="0" w:color="auto"/>
        <w:left w:val="none" w:sz="0" w:space="0" w:color="auto"/>
        <w:bottom w:val="none" w:sz="0" w:space="0" w:color="auto"/>
        <w:right w:val="none" w:sz="0" w:space="0" w:color="auto"/>
      </w:divBdr>
    </w:div>
    <w:div w:id="1361903776">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44519204">
      <w:bodyDiv w:val="1"/>
      <w:marLeft w:val="0"/>
      <w:marRight w:val="0"/>
      <w:marTop w:val="0"/>
      <w:marBottom w:val="0"/>
      <w:divBdr>
        <w:top w:val="none" w:sz="0" w:space="0" w:color="auto"/>
        <w:left w:val="none" w:sz="0" w:space="0" w:color="auto"/>
        <w:bottom w:val="none" w:sz="0" w:space="0" w:color="auto"/>
        <w:right w:val="none" w:sz="0" w:space="0" w:color="auto"/>
      </w:divBdr>
    </w:div>
    <w:div w:id="1553810073">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26084473">
      <w:bodyDiv w:val="1"/>
      <w:marLeft w:val="0"/>
      <w:marRight w:val="0"/>
      <w:marTop w:val="0"/>
      <w:marBottom w:val="0"/>
      <w:divBdr>
        <w:top w:val="none" w:sz="0" w:space="0" w:color="auto"/>
        <w:left w:val="none" w:sz="0" w:space="0" w:color="auto"/>
        <w:bottom w:val="none" w:sz="0" w:space="0" w:color="auto"/>
        <w:right w:val="none" w:sz="0" w:space="0" w:color="auto"/>
      </w:divBdr>
    </w:div>
    <w:div w:id="164862984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75436178">
      <w:bodyDiv w:val="1"/>
      <w:marLeft w:val="0"/>
      <w:marRight w:val="0"/>
      <w:marTop w:val="0"/>
      <w:marBottom w:val="0"/>
      <w:divBdr>
        <w:top w:val="none" w:sz="0" w:space="0" w:color="auto"/>
        <w:left w:val="none" w:sz="0" w:space="0" w:color="auto"/>
        <w:bottom w:val="none" w:sz="0" w:space="0" w:color="auto"/>
        <w:right w:val="none" w:sz="0" w:space="0" w:color="auto"/>
      </w:divBdr>
    </w:div>
    <w:div w:id="1823697703">
      <w:bodyDiv w:val="1"/>
      <w:marLeft w:val="0"/>
      <w:marRight w:val="0"/>
      <w:marTop w:val="0"/>
      <w:marBottom w:val="0"/>
      <w:divBdr>
        <w:top w:val="none" w:sz="0" w:space="0" w:color="auto"/>
        <w:left w:val="none" w:sz="0" w:space="0" w:color="auto"/>
        <w:bottom w:val="none" w:sz="0" w:space="0" w:color="auto"/>
        <w:right w:val="none" w:sz="0" w:space="0" w:color="auto"/>
      </w:divBdr>
      <w:divsChild>
        <w:div w:id="1005592384">
          <w:marLeft w:val="0"/>
          <w:marRight w:val="0"/>
          <w:marTop w:val="0"/>
          <w:marBottom w:val="0"/>
          <w:divBdr>
            <w:top w:val="none" w:sz="0" w:space="0" w:color="auto"/>
            <w:left w:val="none" w:sz="0" w:space="0" w:color="auto"/>
            <w:bottom w:val="none" w:sz="0" w:space="0" w:color="auto"/>
            <w:right w:val="none" w:sz="0" w:space="0" w:color="auto"/>
          </w:divBdr>
          <w:divsChild>
            <w:div w:id="617495181">
              <w:marLeft w:val="0"/>
              <w:marRight w:val="0"/>
              <w:marTop w:val="0"/>
              <w:marBottom w:val="0"/>
              <w:divBdr>
                <w:top w:val="none" w:sz="0" w:space="0" w:color="auto"/>
                <w:left w:val="none" w:sz="0" w:space="0" w:color="auto"/>
                <w:bottom w:val="none" w:sz="0" w:space="0" w:color="auto"/>
                <w:right w:val="none" w:sz="0" w:space="0" w:color="auto"/>
              </w:divBdr>
            </w:div>
          </w:divsChild>
        </w:div>
        <w:div w:id="1700625016">
          <w:marLeft w:val="0"/>
          <w:marRight w:val="0"/>
          <w:marTop w:val="0"/>
          <w:marBottom w:val="0"/>
          <w:divBdr>
            <w:top w:val="none" w:sz="0" w:space="0" w:color="auto"/>
            <w:left w:val="none" w:sz="0" w:space="0" w:color="auto"/>
            <w:bottom w:val="none" w:sz="0" w:space="0" w:color="auto"/>
            <w:right w:val="none" w:sz="0" w:space="0" w:color="auto"/>
          </w:divBdr>
        </w:div>
      </w:divsChild>
    </w:div>
    <w:div w:id="1890680608">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07950471">
      <w:bodyDiv w:val="1"/>
      <w:marLeft w:val="0"/>
      <w:marRight w:val="0"/>
      <w:marTop w:val="0"/>
      <w:marBottom w:val="0"/>
      <w:divBdr>
        <w:top w:val="none" w:sz="0" w:space="0" w:color="auto"/>
        <w:left w:val="none" w:sz="0" w:space="0" w:color="auto"/>
        <w:bottom w:val="none" w:sz="0" w:space="0" w:color="auto"/>
        <w:right w:val="none" w:sz="0" w:space="0" w:color="auto"/>
      </w:divBdr>
    </w:div>
    <w:div w:id="1931115614">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49701415">
      <w:bodyDiv w:val="1"/>
      <w:marLeft w:val="0"/>
      <w:marRight w:val="0"/>
      <w:marTop w:val="0"/>
      <w:marBottom w:val="0"/>
      <w:divBdr>
        <w:top w:val="none" w:sz="0" w:space="0" w:color="auto"/>
        <w:left w:val="none" w:sz="0" w:space="0" w:color="auto"/>
        <w:bottom w:val="none" w:sz="0" w:space="0" w:color="auto"/>
        <w:right w:val="none" w:sz="0" w:space="0" w:color="auto"/>
      </w:divBdr>
    </w:div>
    <w:div w:id="1974940749">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718</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8</cp:revision>
  <cp:lastPrinted>2025-02-06T18:47:00Z</cp:lastPrinted>
  <dcterms:created xsi:type="dcterms:W3CDTF">2025-05-05T14:10:00Z</dcterms:created>
  <dcterms:modified xsi:type="dcterms:W3CDTF">2025-05-05T14:34:00Z</dcterms:modified>
</cp:coreProperties>
</file>