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2DBD5" w14:textId="075A3C62" w:rsidR="008F2307" w:rsidRPr="00F80EEE" w:rsidRDefault="006431A3" w:rsidP="008F2307">
      <w:pPr>
        <w:pStyle w:val="Noparagraphstyle"/>
        <w:rPr>
          <w:rFonts w:ascii="Arial Narrow" w:hAnsi="Arial Narrow"/>
          <w:b/>
          <w:color w:val="auto"/>
          <w:sz w:val="20"/>
          <w:szCs w:val="20"/>
        </w:rPr>
      </w:pPr>
      <w:r>
        <w:rPr>
          <w:rFonts w:ascii="Arial" w:hAnsi="Arial" w:cs="Arial"/>
          <w:noProof/>
          <w:sz w:val="21"/>
          <w:szCs w:val="21"/>
        </w:rPr>
        <w:drawing>
          <wp:anchor distT="0" distB="0" distL="114300" distR="114300" simplePos="0" relativeHeight="251659264" behindDoc="1" locked="0" layoutInCell="1" allowOverlap="1" wp14:anchorId="665DCAF1" wp14:editId="710006EA">
            <wp:simplePos x="0" y="0"/>
            <wp:positionH relativeFrom="column">
              <wp:posOffset>0</wp:posOffset>
            </wp:positionH>
            <wp:positionV relativeFrom="paragraph">
              <wp:posOffset>0</wp:posOffset>
            </wp:positionV>
            <wp:extent cx="6611112" cy="1847088"/>
            <wp:effectExtent l="0" t="0" r="0" b="1270"/>
            <wp:wrapNone/>
            <wp:docPr id="1213578066"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78066" name="Picture 1" descr="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1112" cy="18470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2307" w:rsidRPr="00F80EEE">
        <w:rPr>
          <w:rFonts w:ascii="Arial Narrow" w:hAnsi="Arial Narrow"/>
          <w:b/>
          <w:color w:val="auto"/>
          <w:sz w:val="20"/>
          <w:szCs w:val="20"/>
        </w:rPr>
        <w:t>Number</w:t>
      </w:r>
      <w:r w:rsidR="00F80EEE" w:rsidRPr="00F80EEE">
        <w:rPr>
          <w:rFonts w:ascii="Arial Narrow" w:hAnsi="Arial Narrow"/>
          <w:b/>
          <w:color w:val="auto"/>
          <w:sz w:val="20"/>
          <w:szCs w:val="20"/>
        </w:rPr>
        <w:t xml:space="preserve"> 2</w:t>
      </w:r>
      <w:r w:rsidR="00284D59">
        <w:rPr>
          <w:rFonts w:ascii="Arial Narrow" w:hAnsi="Arial Narrow"/>
          <w:b/>
          <w:color w:val="auto"/>
          <w:sz w:val="20"/>
          <w:szCs w:val="20"/>
        </w:rPr>
        <w:t>47</w:t>
      </w:r>
      <w:r w:rsidR="008F2307" w:rsidRPr="00F80EEE">
        <w:rPr>
          <w:rFonts w:ascii="Arial Narrow" w:hAnsi="Arial Narrow"/>
          <w:b/>
          <w:color w:val="auto"/>
          <w:sz w:val="20"/>
          <w:szCs w:val="20"/>
        </w:rPr>
        <w:t xml:space="preserve">, </w:t>
      </w:r>
      <w:r w:rsidR="007B1196">
        <w:rPr>
          <w:rFonts w:ascii="Arial Narrow" w:hAnsi="Arial Narrow"/>
          <w:b/>
          <w:color w:val="auto"/>
          <w:sz w:val="20"/>
          <w:szCs w:val="20"/>
        </w:rPr>
        <w:t>Ju</w:t>
      </w:r>
      <w:r w:rsidR="00284D59">
        <w:rPr>
          <w:rFonts w:ascii="Arial Narrow" w:hAnsi="Arial Narrow"/>
          <w:b/>
          <w:color w:val="auto"/>
          <w:sz w:val="20"/>
          <w:szCs w:val="20"/>
        </w:rPr>
        <w:t>ne</w:t>
      </w:r>
      <w:r w:rsidR="00256E8B">
        <w:rPr>
          <w:rFonts w:ascii="Arial Narrow" w:hAnsi="Arial Narrow"/>
          <w:b/>
          <w:color w:val="auto"/>
          <w:sz w:val="20"/>
          <w:szCs w:val="20"/>
        </w:rPr>
        <w:t xml:space="preserve"> </w:t>
      </w:r>
      <w:r w:rsidR="00284D59">
        <w:rPr>
          <w:rFonts w:ascii="Arial Narrow" w:hAnsi="Arial Narrow"/>
          <w:b/>
          <w:color w:val="auto"/>
          <w:sz w:val="20"/>
          <w:szCs w:val="20"/>
        </w:rPr>
        <w:t>18</w:t>
      </w:r>
      <w:r w:rsidR="00A4506A">
        <w:rPr>
          <w:rFonts w:ascii="Arial Narrow" w:hAnsi="Arial Narrow"/>
          <w:b/>
          <w:color w:val="auto"/>
          <w:sz w:val="20"/>
          <w:szCs w:val="20"/>
        </w:rPr>
        <w:t>,</w:t>
      </w:r>
      <w:r w:rsidR="00256E8B">
        <w:rPr>
          <w:rFonts w:ascii="Arial Narrow" w:hAnsi="Arial Narrow"/>
          <w:b/>
          <w:color w:val="auto"/>
          <w:sz w:val="20"/>
          <w:szCs w:val="20"/>
        </w:rPr>
        <w:t xml:space="preserve"> 2025</w:t>
      </w:r>
    </w:p>
    <w:p w14:paraId="50A17C1C" w14:textId="18B4A816" w:rsidR="002C690F" w:rsidRPr="006220AB" w:rsidRDefault="002C690F" w:rsidP="008F2307">
      <w:pPr>
        <w:pStyle w:val="Noparagraphstyle"/>
        <w:rPr>
          <w:rFonts w:ascii="Arial Narrow" w:hAnsi="Arial Narrow"/>
          <w:b/>
          <w:color w:val="auto"/>
          <w:sz w:val="20"/>
          <w:szCs w:val="20"/>
        </w:rPr>
      </w:pPr>
    </w:p>
    <w:p w14:paraId="01963495" w14:textId="3F4D4AD5" w:rsidR="002C690F" w:rsidRPr="006220AB" w:rsidRDefault="002C690F" w:rsidP="008F2307">
      <w:pPr>
        <w:pStyle w:val="Noparagraphstyle"/>
        <w:rPr>
          <w:rFonts w:ascii="Arial Narrow" w:hAnsi="Arial Narrow"/>
          <w:b/>
          <w:color w:val="auto"/>
          <w:sz w:val="20"/>
          <w:szCs w:val="20"/>
        </w:rPr>
      </w:pPr>
    </w:p>
    <w:p w14:paraId="1AE99796" w14:textId="2F08629A" w:rsidR="002C690F" w:rsidRPr="006220AB" w:rsidRDefault="002C690F" w:rsidP="008F2307">
      <w:pPr>
        <w:pStyle w:val="Noparagraphstyle"/>
        <w:rPr>
          <w:rFonts w:ascii="Arial Narrow" w:hAnsi="Arial Narrow"/>
          <w:b/>
          <w:color w:val="auto"/>
          <w:sz w:val="20"/>
          <w:szCs w:val="20"/>
        </w:rPr>
      </w:pPr>
    </w:p>
    <w:p w14:paraId="6F8C9820" w14:textId="77777777" w:rsidR="002C690F" w:rsidRPr="006220AB" w:rsidRDefault="002C690F" w:rsidP="008F2307">
      <w:pPr>
        <w:pStyle w:val="Noparagraphstyle"/>
        <w:rPr>
          <w:rFonts w:ascii="Arial Narrow" w:hAnsi="Arial Narrow"/>
          <w:b/>
          <w:color w:val="auto"/>
          <w:sz w:val="20"/>
          <w:szCs w:val="20"/>
        </w:rPr>
      </w:pPr>
    </w:p>
    <w:p w14:paraId="5A785AC4" w14:textId="77777777" w:rsidR="002C690F" w:rsidRPr="006220AB" w:rsidRDefault="002C690F" w:rsidP="008F2307">
      <w:pPr>
        <w:pStyle w:val="Noparagraphstyle"/>
        <w:rPr>
          <w:rFonts w:ascii="Arial Narrow" w:hAnsi="Arial Narrow"/>
          <w:b/>
          <w:color w:val="auto"/>
          <w:sz w:val="20"/>
          <w:szCs w:val="20"/>
        </w:rPr>
      </w:pPr>
    </w:p>
    <w:p w14:paraId="49FC31F0" w14:textId="77777777" w:rsidR="002C690F" w:rsidRPr="006220AB" w:rsidRDefault="002C690F" w:rsidP="008F2307">
      <w:pPr>
        <w:pStyle w:val="Noparagraphstyle"/>
        <w:rPr>
          <w:rFonts w:ascii="Arial Narrow" w:hAnsi="Arial Narrow"/>
          <w:b/>
          <w:color w:val="auto"/>
          <w:sz w:val="20"/>
          <w:szCs w:val="20"/>
        </w:rPr>
      </w:pPr>
    </w:p>
    <w:p w14:paraId="13C26467" w14:textId="77777777" w:rsidR="002C690F" w:rsidRPr="006220AB" w:rsidRDefault="002C690F" w:rsidP="008F2307">
      <w:pPr>
        <w:pStyle w:val="Noparagraphstyle"/>
        <w:rPr>
          <w:rFonts w:ascii="Arial Narrow" w:hAnsi="Arial Narrow"/>
          <w:b/>
          <w:color w:val="auto"/>
          <w:sz w:val="20"/>
          <w:szCs w:val="20"/>
        </w:rPr>
      </w:pPr>
    </w:p>
    <w:p w14:paraId="4823DB9E" w14:textId="77777777" w:rsidR="002C690F" w:rsidRPr="006220AB" w:rsidRDefault="002C690F" w:rsidP="008F2307">
      <w:pPr>
        <w:pStyle w:val="Noparagraphstyle"/>
        <w:rPr>
          <w:rFonts w:ascii="Arial Narrow" w:hAnsi="Arial Narrow"/>
          <w:b/>
          <w:color w:val="auto"/>
          <w:sz w:val="20"/>
          <w:szCs w:val="20"/>
        </w:rPr>
      </w:pPr>
    </w:p>
    <w:p w14:paraId="6585B078" w14:textId="77777777" w:rsidR="002C690F" w:rsidRPr="006220AB" w:rsidRDefault="002C690F" w:rsidP="008F2307">
      <w:pPr>
        <w:pStyle w:val="Noparagraphstyle"/>
        <w:rPr>
          <w:rFonts w:ascii="Arial Narrow" w:hAnsi="Arial Narrow"/>
          <w:b/>
          <w:color w:val="auto"/>
          <w:sz w:val="20"/>
          <w:szCs w:val="20"/>
        </w:rPr>
      </w:pPr>
    </w:p>
    <w:p w14:paraId="56A843BC" w14:textId="0856AACD" w:rsidR="006F35F9" w:rsidRDefault="006F35F9" w:rsidP="002C690F">
      <w:pPr>
        <w:pStyle w:val="NormalWeb"/>
        <w:shd w:val="clear" w:color="auto" w:fill="FFFFFF"/>
        <w:spacing w:before="0" w:beforeAutospacing="0" w:after="225" w:afterAutospacing="0"/>
        <w:ind w:right="144"/>
        <w:jc w:val="both"/>
        <w:rPr>
          <w:rFonts w:ascii="Arial" w:hAnsi="Arial" w:cs="Arial"/>
          <w:color w:val="000000"/>
          <w:sz w:val="21"/>
          <w:szCs w:val="21"/>
        </w:rPr>
        <w:sectPr w:rsidR="006F35F9" w:rsidSect="00FC532A">
          <w:headerReference w:type="default" r:id="rId9"/>
          <w:footerReference w:type="default" r:id="rId10"/>
          <w:footerReference w:type="first" r:id="rId11"/>
          <w:pgSz w:w="12240" w:h="15840" w:code="1"/>
          <w:pgMar w:top="360" w:right="907" w:bottom="446" w:left="907" w:header="0" w:footer="0" w:gutter="0"/>
          <w:cols w:space="720"/>
          <w:titlePg/>
          <w:docGrid w:linePitch="360"/>
        </w:sectPr>
      </w:pPr>
    </w:p>
    <w:p w14:paraId="0E61F9AB" w14:textId="77777777" w:rsidR="008F11E0" w:rsidRDefault="008F11E0" w:rsidP="002C690F">
      <w:pPr>
        <w:pStyle w:val="Subtitle"/>
        <w:spacing w:before="0"/>
        <w:rPr>
          <w:rFonts w:cs="Arial"/>
          <w:color w:val="auto"/>
        </w:rPr>
      </w:pPr>
    </w:p>
    <w:p w14:paraId="743960F3" w14:textId="77777777" w:rsidR="00256E8B" w:rsidRPr="00E37E21" w:rsidRDefault="00256E8B" w:rsidP="00E37E21">
      <w:pPr>
        <w:pStyle w:val="Title"/>
      </w:pPr>
      <w:bookmarkStart w:id="0" w:name="_Hlk179280234"/>
      <w:r w:rsidRPr="00E37E21">
        <w:t>MassHealth Drug List Update</w:t>
      </w:r>
    </w:p>
    <w:p w14:paraId="0F4527C4" w14:textId="12C9FB9F" w:rsidR="00256E8B" w:rsidRDefault="00256E8B" w:rsidP="00E37E21">
      <w:pPr>
        <w:rPr>
          <w:rFonts w:ascii="Arial" w:hAnsi="Arial" w:cs="Arial"/>
          <w:sz w:val="22"/>
          <w:szCs w:val="22"/>
        </w:rPr>
      </w:pPr>
      <w:r w:rsidRPr="00E37E21">
        <w:rPr>
          <w:rFonts w:ascii="Arial" w:hAnsi="Arial" w:cs="Arial"/>
          <w:sz w:val="22"/>
          <w:szCs w:val="22"/>
        </w:rPr>
        <w:t xml:space="preserve">Below are updates to the MassHealth Drug List (MHDL). See </w:t>
      </w:r>
      <w:proofErr w:type="gramStart"/>
      <w:r w:rsidRPr="00E37E21">
        <w:rPr>
          <w:rFonts w:ascii="Arial" w:hAnsi="Arial" w:cs="Arial"/>
          <w:sz w:val="22"/>
          <w:szCs w:val="22"/>
        </w:rPr>
        <w:t>the MHDL</w:t>
      </w:r>
      <w:proofErr w:type="gramEnd"/>
      <w:r w:rsidR="000A7CE1">
        <w:rPr>
          <w:rFonts w:ascii="Arial" w:hAnsi="Arial" w:cs="Arial"/>
          <w:sz w:val="22"/>
          <w:szCs w:val="22"/>
        </w:rPr>
        <w:t xml:space="preserve"> </w:t>
      </w:r>
      <w:r w:rsidRPr="00E37E21">
        <w:rPr>
          <w:rFonts w:ascii="Arial" w:hAnsi="Arial" w:cs="Arial"/>
          <w:sz w:val="22"/>
          <w:szCs w:val="22"/>
        </w:rPr>
        <w:t>for a complete listing of updates.</w:t>
      </w:r>
    </w:p>
    <w:p w14:paraId="250BA479" w14:textId="77777777" w:rsidR="00742D9C" w:rsidRDefault="00742D9C" w:rsidP="00E37E21"/>
    <w:p w14:paraId="4A49FE61" w14:textId="1BC0CED0" w:rsidR="00692C5C" w:rsidRDefault="00692C5C" w:rsidP="00E37E21">
      <w:pPr>
        <w:pStyle w:val="Heading1"/>
        <w:spacing w:line="276" w:lineRule="auto"/>
        <w:rPr>
          <w:rFonts w:ascii="Arial" w:eastAsia="Yu Gothic Light" w:hAnsi="Arial"/>
          <w:sz w:val="24"/>
          <w:szCs w:val="24"/>
        </w:rPr>
      </w:pPr>
      <w:r w:rsidRPr="00E37E21">
        <w:rPr>
          <w:rFonts w:ascii="Arial" w:eastAsia="Yu Gothic Light" w:hAnsi="Arial"/>
          <w:sz w:val="24"/>
          <w:szCs w:val="24"/>
        </w:rPr>
        <w:t>Additions</w:t>
      </w:r>
    </w:p>
    <w:p w14:paraId="050FA4F2" w14:textId="77777777" w:rsidR="00540F53" w:rsidRDefault="00540F53" w:rsidP="00540F53">
      <w:pPr>
        <w:pStyle w:val="Default"/>
        <w:numPr>
          <w:ilvl w:val="0"/>
          <w:numId w:val="13"/>
        </w:numPr>
        <w:rPr>
          <w:rFonts w:ascii="Arial" w:hAnsi="Arial" w:cs="Arial"/>
          <w:sz w:val="22"/>
          <w:szCs w:val="22"/>
        </w:rPr>
      </w:pPr>
      <w:r>
        <w:rPr>
          <w:rFonts w:ascii="Arial" w:hAnsi="Arial" w:cs="Arial"/>
          <w:sz w:val="22"/>
          <w:szCs w:val="22"/>
        </w:rPr>
        <w:t xml:space="preserve">Effective July 1, 2025, the following newly marketed drugs have been added to the MassHealth Drug List. </w:t>
      </w:r>
    </w:p>
    <w:p w14:paraId="443786F8"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Alhemo</w:t>
      </w:r>
      <w:proofErr w:type="spellEnd"/>
      <w:r>
        <w:rPr>
          <w:rFonts w:ascii="Arial" w:hAnsi="Arial" w:cs="Arial"/>
          <w:sz w:val="22"/>
          <w:szCs w:val="22"/>
        </w:rPr>
        <w:t xml:space="preserve"> (</w:t>
      </w:r>
      <w:proofErr w:type="spellStart"/>
      <w:r>
        <w:rPr>
          <w:rFonts w:ascii="Arial" w:hAnsi="Arial" w:cs="Arial"/>
          <w:sz w:val="22"/>
          <w:szCs w:val="22"/>
        </w:rPr>
        <w:t>concizumab-mtci</w:t>
      </w:r>
      <w:proofErr w:type="spellEnd"/>
      <w:r>
        <w:rPr>
          <w:rFonts w:ascii="Arial" w:hAnsi="Arial" w:cs="Arial"/>
          <w:sz w:val="22"/>
          <w:szCs w:val="22"/>
        </w:rPr>
        <w:t xml:space="preserve">) – </w:t>
      </w:r>
      <w:r>
        <w:rPr>
          <w:rFonts w:ascii="Arial" w:hAnsi="Arial" w:cs="Arial"/>
          <w:b/>
          <w:bCs/>
          <w:sz w:val="22"/>
          <w:szCs w:val="22"/>
        </w:rPr>
        <w:t>PA</w:t>
      </w:r>
    </w:p>
    <w:p w14:paraId="2141B4A2"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Bizengri</w:t>
      </w:r>
      <w:proofErr w:type="spellEnd"/>
      <w:r>
        <w:rPr>
          <w:rFonts w:ascii="Arial" w:hAnsi="Arial" w:cs="Arial"/>
          <w:sz w:val="22"/>
          <w:szCs w:val="22"/>
        </w:rPr>
        <w:t xml:space="preserve"> (</w:t>
      </w:r>
      <w:proofErr w:type="spellStart"/>
      <w:r>
        <w:rPr>
          <w:rFonts w:ascii="Arial" w:hAnsi="Arial" w:cs="Arial"/>
          <w:sz w:val="22"/>
          <w:szCs w:val="22"/>
        </w:rPr>
        <w:t>zenocutuzumab-zbco</w:t>
      </w:r>
      <w:proofErr w:type="spellEnd"/>
      <w:r>
        <w:rPr>
          <w:rFonts w:ascii="Arial" w:hAnsi="Arial" w:cs="Arial"/>
          <w:sz w:val="22"/>
          <w:szCs w:val="22"/>
        </w:rPr>
        <w:t xml:space="preserve">) – </w:t>
      </w:r>
      <w:r>
        <w:rPr>
          <w:rFonts w:ascii="Arial" w:hAnsi="Arial" w:cs="Arial"/>
          <w:b/>
          <w:bCs/>
          <w:sz w:val="22"/>
          <w:szCs w:val="22"/>
        </w:rPr>
        <w:t>PA</w:t>
      </w:r>
      <w:r>
        <w:rPr>
          <w:rFonts w:ascii="Arial" w:hAnsi="Arial" w:cs="Arial"/>
          <w:sz w:val="22"/>
          <w:szCs w:val="22"/>
        </w:rPr>
        <w:t>; MB</w:t>
      </w:r>
    </w:p>
    <w:p w14:paraId="70BB6AD6"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Crenessity</w:t>
      </w:r>
      <w:proofErr w:type="spellEnd"/>
      <w:r>
        <w:rPr>
          <w:rFonts w:ascii="Arial" w:hAnsi="Arial" w:cs="Arial"/>
          <w:sz w:val="22"/>
          <w:szCs w:val="22"/>
        </w:rPr>
        <w:t xml:space="preserve"> (</w:t>
      </w:r>
      <w:proofErr w:type="spellStart"/>
      <w:r>
        <w:rPr>
          <w:rFonts w:ascii="Arial" w:hAnsi="Arial" w:cs="Arial"/>
          <w:sz w:val="22"/>
          <w:szCs w:val="22"/>
        </w:rPr>
        <w:t>crinecerfont</w:t>
      </w:r>
      <w:proofErr w:type="spellEnd"/>
      <w:r>
        <w:rPr>
          <w:rFonts w:ascii="Arial" w:hAnsi="Arial" w:cs="Arial"/>
          <w:sz w:val="22"/>
          <w:szCs w:val="22"/>
        </w:rPr>
        <w:t xml:space="preserve">) – </w:t>
      </w:r>
      <w:r>
        <w:rPr>
          <w:rFonts w:ascii="Arial" w:hAnsi="Arial" w:cs="Arial"/>
          <w:b/>
          <w:bCs/>
          <w:sz w:val="22"/>
          <w:szCs w:val="22"/>
        </w:rPr>
        <w:t>PA</w:t>
      </w:r>
      <w:r>
        <w:rPr>
          <w:rFonts w:ascii="Arial" w:hAnsi="Arial" w:cs="Arial"/>
          <w:sz w:val="22"/>
          <w:szCs w:val="22"/>
        </w:rPr>
        <w:t xml:space="preserve"> </w:t>
      </w:r>
    </w:p>
    <w:p w14:paraId="60FE9897"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Datroway</w:t>
      </w:r>
      <w:proofErr w:type="spellEnd"/>
      <w:r>
        <w:rPr>
          <w:rFonts w:ascii="Arial" w:hAnsi="Arial" w:cs="Arial"/>
          <w:sz w:val="22"/>
          <w:szCs w:val="22"/>
        </w:rPr>
        <w:t xml:space="preserve"> (</w:t>
      </w:r>
      <w:proofErr w:type="spellStart"/>
      <w:r>
        <w:rPr>
          <w:rFonts w:ascii="Arial" w:hAnsi="Arial" w:cs="Arial"/>
          <w:sz w:val="22"/>
          <w:szCs w:val="22"/>
        </w:rPr>
        <w:t>datopotamab</w:t>
      </w:r>
      <w:proofErr w:type="spellEnd"/>
      <w:r>
        <w:rPr>
          <w:rFonts w:ascii="Arial" w:hAnsi="Arial" w:cs="Arial"/>
          <w:sz w:val="22"/>
          <w:szCs w:val="22"/>
        </w:rPr>
        <w:t xml:space="preserve"> </w:t>
      </w:r>
      <w:proofErr w:type="spellStart"/>
      <w:r>
        <w:rPr>
          <w:rFonts w:ascii="Arial" w:hAnsi="Arial" w:cs="Arial"/>
          <w:sz w:val="22"/>
          <w:szCs w:val="22"/>
        </w:rPr>
        <w:t>deruxtecan-dlnk</w:t>
      </w:r>
      <w:proofErr w:type="spellEnd"/>
      <w:r>
        <w:rPr>
          <w:rFonts w:ascii="Arial" w:hAnsi="Arial" w:cs="Arial"/>
          <w:sz w:val="22"/>
          <w:szCs w:val="22"/>
        </w:rPr>
        <w:t xml:space="preserve">) – </w:t>
      </w:r>
      <w:r>
        <w:rPr>
          <w:rFonts w:ascii="Arial" w:hAnsi="Arial" w:cs="Arial"/>
          <w:b/>
          <w:bCs/>
          <w:sz w:val="22"/>
          <w:szCs w:val="22"/>
        </w:rPr>
        <w:t>PA</w:t>
      </w:r>
      <w:r>
        <w:rPr>
          <w:rFonts w:ascii="Arial" w:hAnsi="Arial" w:cs="Arial"/>
          <w:sz w:val="22"/>
          <w:szCs w:val="22"/>
        </w:rPr>
        <w:t>; MB</w:t>
      </w:r>
    </w:p>
    <w:p w14:paraId="2230B4A5"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Hercessi</w:t>
      </w:r>
      <w:proofErr w:type="spellEnd"/>
      <w:r>
        <w:rPr>
          <w:rFonts w:ascii="Arial" w:hAnsi="Arial" w:cs="Arial"/>
          <w:sz w:val="22"/>
          <w:szCs w:val="22"/>
        </w:rPr>
        <w:t xml:space="preserve"> (trastuzumab-</w:t>
      </w:r>
      <w:proofErr w:type="spellStart"/>
      <w:r>
        <w:rPr>
          <w:rFonts w:ascii="Arial" w:hAnsi="Arial" w:cs="Arial"/>
          <w:sz w:val="22"/>
          <w:szCs w:val="22"/>
        </w:rPr>
        <w:t>strf</w:t>
      </w:r>
      <w:proofErr w:type="spellEnd"/>
      <w:r>
        <w:rPr>
          <w:rFonts w:ascii="Arial" w:hAnsi="Arial" w:cs="Arial"/>
          <w:sz w:val="22"/>
          <w:szCs w:val="22"/>
        </w:rPr>
        <w:t xml:space="preserve">) – </w:t>
      </w:r>
      <w:r>
        <w:rPr>
          <w:rFonts w:ascii="Arial" w:hAnsi="Arial" w:cs="Arial"/>
          <w:b/>
          <w:bCs/>
          <w:sz w:val="22"/>
          <w:szCs w:val="22"/>
        </w:rPr>
        <w:t>PA</w:t>
      </w:r>
      <w:r>
        <w:rPr>
          <w:rFonts w:ascii="Arial" w:hAnsi="Arial" w:cs="Arial"/>
          <w:sz w:val="22"/>
          <w:szCs w:val="22"/>
        </w:rPr>
        <w:t xml:space="preserve">; MB </w:t>
      </w:r>
    </w:p>
    <w:p w14:paraId="418EE4F9"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Kebilidi</w:t>
      </w:r>
      <w:proofErr w:type="spellEnd"/>
      <w:r>
        <w:rPr>
          <w:rFonts w:ascii="Arial" w:hAnsi="Arial" w:cs="Arial"/>
          <w:sz w:val="22"/>
          <w:szCs w:val="22"/>
        </w:rPr>
        <w:t xml:space="preserve"> (</w:t>
      </w:r>
      <w:proofErr w:type="spellStart"/>
      <w:r>
        <w:rPr>
          <w:rFonts w:ascii="Arial" w:hAnsi="Arial" w:cs="Arial"/>
          <w:sz w:val="22"/>
          <w:szCs w:val="22"/>
        </w:rPr>
        <w:t>eladocagene</w:t>
      </w:r>
      <w:proofErr w:type="spellEnd"/>
      <w:r>
        <w:rPr>
          <w:rFonts w:ascii="Arial" w:hAnsi="Arial" w:cs="Arial"/>
          <w:sz w:val="22"/>
          <w:szCs w:val="22"/>
        </w:rPr>
        <w:t xml:space="preserve"> </w:t>
      </w:r>
      <w:proofErr w:type="spellStart"/>
      <w:r>
        <w:rPr>
          <w:rFonts w:ascii="Arial" w:hAnsi="Arial" w:cs="Arial"/>
          <w:sz w:val="22"/>
          <w:szCs w:val="22"/>
        </w:rPr>
        <w:t>exuparvovec-tneq</w:t>
      </w:r>
      <w:proofErr w:type="spellEnd"/>
      <w:r>
        <w:rPr>
          <w:rFonts w:ascii="Arial" w:hAnsi="Arial" w:cs="Arial"/>
          <w:sz w:val="22"/>
          <w:szCs w:val="22"/>
        </w:rPr>
        <w:t xml:space="preserve">) – </w:t>
      </w:r>
      <w:r>
        <w:rPr>
          <w:rFonts w:ascii="Arial" w:hAnsi="Arial" w:cs="Arial"/>
          <w:b/>
          <w:bCs/>
          <w:sz w:val="22"/>
          <w:szCs w:val="22"/>
        </w:rPr>
        <w:t>PA</w:t>
      </w:r>
      <w:r>
        <w:rPr>
          <w:rFonts w:ascii="Arial" w:hAnsi="Arial" w:cs="Arial"/>
          <w:sz w:val="22"/>
          <w:szCs w:val="22"/>
        </w:rPr>
        <w:t>; CO</w:t>
      </w:r>
    </w:p>
    <w:p w14:paraId="21F305CB" w14:textId="77777777" w:rsidR="00540F53" w:rsidRDefault="00540F53" w:rsidP="00540F53">
      <w:pPr>
        <w:pStyle w:val="Default"/>
        <w:numPr>
          <w:ilvl w:val="0"/>
          <w:numId w:val="14"/>
        </w:numPr>
        <w:spacing w:line="276" w:lineRule="auto"/>
        <w:ind w:left="1080"/>
        <w:rPr>
          <w:rFonts w:ascii="Arial" w:hAnsi="Arial" w:cs="Arial"/>
          <w:sz w:val="22"/>
          <w:szCs w:val="22"/>
        </w:rPr>
      </w:pPr>
      <w:r>
        <w:rPr>
          <w:rFonts w:ascii="Arial" w:hAnsi="Arial" w:cs="Arial"/>
          <w:sz w:val="22"/>
          <w:szCs w:val="22"/>
        </w:rPr>
        <w:t>metronidazole 125 mg tablet –</w:t>
      </w:r>
      <w:r>
        <w:rPr>
          <w:rFonts w:ascii="Arial" w:hAnsi="Arial" w:cs="Arial"/>
          <w:b/>
          <w:bCs/>
          <w:sz w:val="22"/>
          <w:szCs w:val="22"/>
        </w:rPr>
        <w:t xml:space="preserve"> PA</w:t>
      </w:r>
      <w:r>
        <w:rPr>
          <w:rFonts w:ascii="Arial" w:hAnsi="Arial" w:cs="Arial"/>
          <w:sz w:val="22"/>
          <w:szCs w:val="22"/>
        </w:rPr>
        <w:t xml:space="preserve"> </w:t>
      </w:r>
    </w:p>
    <w:p w14:paraId="0331EE5A"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Opdivo</w:t>
      </w:r>
      <w:proofErr w:type="spellEnd"/>
      <w:r>
        <w:rPr>
          <w:rFonts w:ascii="Arial" w:hAnsi="Arial" w:cs="Arial"/>
          <w:sz w:val="22"/>
          <w:szCs w:val="22"/>
        </w:rPr>
        <w:t xml:space="preserve"> Qvantig (nivolumab-hyaluronidase-</w:t>
      </w:r>
      <w:proofErr w:type="spellStart"/>
      <w:r>
        <w:rPr>
          <w:rFonts w:ascii="Arial" w:hAnsi="Arial" w:cs="Arial"/>
          <w:sz w:val="22"/>
          <w:szCs w:val="22"/>
        </w:rPr>
        <w:t>nvhy</w:t>
      </w:r>
      <w:proofErr w:type="spellEnd"/>
      <w:r>
        <w:rPr>
          <w:rFonts w:ascii="Arial" w:hAnsi="Arial" w:cs="Arial"/>
          <w:sz w:val="22"/>
          <w:szCs w:val="22"/>
        </w:rPr>
        <w:t xml:space="preserve">) – </w:t>
      </w:r>
      <w:r>
        <w:rPr>
          <w:rFonts w:ascii="Arial" w:hAnsi="Arial" w:cs="Arial"/>
          <w:b/>
          <w:sz w:val="22"/>
          <w:szCs w:val="22"/>
        </w:rPr>
        <w:t>PA</w:t>
      </w:r>
      <w:r>
        <w:rPr>
          <w:rFonts w:ascii="Arial" w:hAnsi="Arial" w:cs="Arial"/>
          <w:bCs/>
          <w:sz w:val="22"/>
          <w:szCs w:val="22"/>
        </w:rPr>
        <w:t>; MB</w:t>
      </w:r>
    </w:p>
    <w:p w14:paraId="2D91AF9D"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Otulfi</w:t>
      </w:r>
      <w:proofErr w:type="spellEnd"/>
      <w:r>
        <w:rPr>
          <w:rFonts w:ascii="Arial" w:hAnsi="Arial" w:cs="Arial"/>
          <w:sz w:val="22"/>
          <w:szCs w:val="22"/>
        </w:rPr>
        <w:t xml:space="preserve"> (</w:t>
      </w:r>
      <w:proofErr w:type="spellStart"/>
      <w:r>
        <w:rPr>
          <w:rFonts w:ascii="Arial" w:hAnsi="Arial" w:cs="Arial"/>
          <w:sz w:val="22"/>
          <w:szCs w:val="22"/>
        </w:rPr>
        <w:t>ustekinumab-aauz</w:t>
      </w:r>
      <w:proofErr w:type="spellEnd"/>
      <w:r>
        <w:rPr>
          <w:rFonts w:ascii="Arial" w:hAnsi="Arial" w:cs="Arial"/>
          <w:sz w:val="22"/>
          <w:szCs w:val="22"/>
        </w:rPr>
        <w:t xml:space="preserve"> prefilled syringe) </w:t>
      </w:r>
      <w:r>
        <w:rPr>
          <w:rFonts w:ascii="Arial" w:hAnsi="Arial" w:cs="Arial"/>
          <w:color w:val="auto"/>
          <w:sz w:val="22"/>
          <w:szCs w:val="22"/>
        </w:rPr>
        <w:t>–</w:t>
      </w:r>
      <w:r>
        <w:rPr>
          <w:rFonts w:ascii="Arial" w:hAnsi="Arial" w:cs="Arial"/>
          <w:sz w:val="22"/>
          <w:szCs w:val="22"/>
        </w:rPr>
        <w:t xml:space="preserve"> </w:t>
      </w:r>
      <w:r>
        <w:rPr>
          <w:rFonts w:ascii="Arial" w:hAnsi="Arial" w:cs="Arial"/>
          <w:b/>
          <w:bCs/>
          <w:sz w:val="22"/>
          <w:szCs w:val="22"/>
        </w:rPr>
        <w:t>PA</w:t>
      </w:r>
    </w:p>
    <w:p w14:paraId="490AE75D"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Otulfi</w:t>
      </w:r>
      <w:proofErr w:type="spellEnd"/>
      <w:r>
        <w:rPr>
          <w:rFonts w:ascii="Arial" w:hAnsi="Arial" w:cs="Arial"/>
          <w:sz w:val="22"/>
          <w:szCs w:val="22"/>
        </w:rPr>
        <w:t xml:space="preserve"> (</w:t>
      </w:r>
      <w:proofErr w:type="spellStart"/>
      <w:r>
        <w:rPr>
          <w:rFonts w:ascii="Arial" w:hAnsi="Arial" w:cs="Arial"/>
          <w:sz w:val="22"/>
          <w:szCs w:val="22"/>
        </w:rPr>
        <w:t>ustekinumab-aauz</w:t>
      </w:r>
      <w:proofErr w:type="spellEnd"/>
      <w:r>
        <w:rPr>
          <w:rFonts w:ascii="Arial" w:hAnsi="Arial" w:cs="Arial"/>
          <w:sz w:val="22"/>
          <w:szCs w:val="22"/>
        </w:rPr>
        <w:t xml:space="preserve"> vial) – </w:t>
      </w:r>
      <w:r>
        <w:rPr>
          <w:rFonts w:ascii="Arial" w:hAnsi="Arial" w:cs="Arial"/>
          <w:b/>
          <w:bCs/>
          <w:sz w:val="22"/>
          <w:szCs w:val="22"/>
        </w:rPr>
        <w:t>PA</w:t>
      </w:r>
      <w:r>
        <w:rPr>
          <w:rFonts w:ascii="Arial" w:hAnsi="Arial" w:cs="Arial"/>
          <w:sz w:val="22"/>
          <w:szCs w:val="22"/>
        </w:rPr>
        <w:t>; MB</w:t>
      </w:r>
    </w:p>
    <w:p w14:paraId="425AB6A6"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Pyzchiva</w:t>
      </w:r>
      <w:proofErr w:type="spellEnd"/>
      <w:r>
        <w:rPr>
          <w:rFonts w:ascii="Arial" w:hAnsi="Arial" w:cs="Arial"/>
          <w:sz w:val="22"/>
          <w:szCs w:val="22"/>
        </w:rPr>
        <w:t xml:space="preserve"> (</w:t>
      </w:r>
      <w:proofErr w:type="spellStart"/>
      <w:r>
        <w:rPr>
          <w:rFonts w:ascii="Arial" w:hAnsi="Arial" w:cs="Arial"/>
          <w:sz w:val="22"/>
          <w:szCs w:val="22"/>
        </w:rPr>
        <w:t>ustekinumab-ttwe</w:t>
      </w:r>
      <w:proofErr w:type="spellEnd"/>
      <w:r>
        <w:rPr>
          <w:rFonts w:ascii="Arial" w:hAnsi="Arial" w:cs="Arial"/>
          <w:sz w:val="22"/>
          <w:szCs w:val="22"/>
        </w:rPr>
        <w:t xml:space="preserve"> prefilled syringe) - </w:t>
      </w:r>
      <w:r>
        <w:rPr>
          <w:rFonts w:ascii="Arial" w:hAnsi="Arial" w:cs="Arial"/>
          <w:b/>
          <w:bCs/>
          <w:sz w:val="22"/>
          <w:szCs w:val="22"/>
        </w:rPr>
        <w:t>PA</w:t>
      </w:r>
    </w:p>
    <w:p w14:paraId="2D1DCC4E"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Pyzchiva</w:t>
      </w:r>
      <w:proofErr w:type="spellEnd"/>
      <w:r>
        <w:rPr>
          <w:rFonts w:ascii="Arial" w:hAnsi="Arial" w:cs="Arial"/>
          <w:sz w:val="22"/>
          <w:szCs w:val="22"/>
        </w:rPr>
        <w:t xml:space="preserve"> (</w:t>
      </w:r>
      <w:proofErr w:type="spellStart"/>
      <w:r>
        <w:rPr>
          <w:rFonts w:ascii="Arial" w:hAnsi="Arial" w:cs="Arial"/>
          <w:sz w:val="22"/>
          <w:szCs w:val="22"/>
        </w:rPr>
        <w:t>ustekinumab-ttwe</w:t>
      </w:r>
      <w:proofErr w:type="spellEnd"/>
      <w:r>
        <w:rPr>
          <w:rFonts w:ascii="Arial" w:hAnsi="Arial" w:cs="Arial"/>
          <w:sz w:val="22"/>
          <w:szCs w:val="22"/>
        </w:rPr>
        <w:t xml:space="preserve"> vial) – </w:t>
      </w:r>
      <w:r>
        <w:rPr>
          <w:rFonts w:ascii="Arial" w:hAnsi="Arial" w:cs="Arial"/>
          <w:b/>
          <w:bCs/>
          <w:sz w:val="22"/>
          <w:szCs w:val="22"/>
        </w:rPr>
        <w:t>PA</w:t>
      </w:r>
      <w:r>
        <w:rPr>
          <w:rFonts w:ascii="Arial" w:hAnsi="Arial" w:cs="Arial"/>
          <w:sz w:val="22"/>
          <w:szCs w:val="22"/>
        </w:rPr>
        <w:t>; MB</w:t>
      </w:r>
    </w:p>
    <w:p w14:paraId="6B33A98B"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Qlosi</w:t>
      </w:r>
      <w:proofErr w:type="spellEnd"/>
      <w:r>
        <w:rPr>
          <w:rFonts w:ascii="Arial" w:hAnsi="Arial" w:cs="Arial"/>
          <w:sz w:val="22"/>
          <w:szCs w:val="22"/>
        </w:rPr>
        <w:t xml:space="preserve"> (pilocarpine 0.4% ophthalmic solution) – </w:t>
      </w:r>
      <w:r>
        <w:rPr>
          <w:rFonts w:ascii="Arial" w:hAnsi="Arial" w:cs="Arial"/>
          <w:b/>
          <w:bCs/>
          <w:sz w:val="22"/>
          <w:szCs w:val="22"/>
        </w:rPr>
        <w:t>PA</w:t>
      </w:r>
    </w:p>
    <w:p w14:paraId="37FC3833"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Revuforj</w:t>
      </w:r>
      <w:proofErr w:type="spellEnd"/>
      <w:r>
        <w:rPr>
          <w:rFonts w:ascii="Arial" w:hAnsi="Arial" w:cs="Arial"/>
          <w:sz w:val="22"/>
          <w:szCs w:val="22"/>
        </w:rPr>
        <w:t xml:space="preserve"> (</w:t>
      </w:r>
      <w:proofErr w:type="spellStart"/>
      <w:r>
        <w:rPr>
          <w:rFonts w:ascii="Arial" w:hAnsi="Arial" w:cs="Arial"/>
          <w:sz w:val="22"/>
          <w:szCs w:val="22"/>
        </w:rPr>
        <w:t>revumenib</w:t>
      </w:r>
      <w:proofErr w:type="spellEnd"/>
      <w:r>
        <w:rPr>
          <w:rFonts w:ascii="Arial" w:hAnsi="Arial" w:cs="Arial"/>
          <w:sz w:val="22"/>
          <w:szCs w:val="22"/>
        </w:rPr>
        <w:t xml:space="preserve">) – </w:t>
      </w:r>
      <w:r>
        <w:rPr>
          <w:rFonts w:ascii="Arial" w:hAnsi="Arial" w:cs="Arial"/>
          <w:b/>
          <w:bCs/>
          <w:sz w:val="22"/>
          <w:szCs w:val="22"/>
        </w:rPr>
        <w:t>PA</w:t>
      </w:r>
    </w:p>
    <w:p w14:paraId="6204DC5C" w14:textId="77777777" w:rsidR="00540F53" w:rsidRDefault="00540F53" w:rsidP="00540F53">
      <w:pPr>
        <w:pStyle w:val="Default"/>
        <w:numPr>
          <w:ilvl w:val="0"/>
          <w:numId w:val="14"/>
        </w:numPr>
        <w:spacing w:line="276" w:lineRule="auto"/>
        <w:ind w:left="1080"/>
        <w:rPr>
          <w:rFonts w:ascii="Arial" w:hAnsi="Arial" w:cs="Arial"/>
          <w:b/>
          <w:bCs/>
          <w:sz w:val="22"/>
          <w:szCs w:val="22"/>
        </w:rPr>
      </w:pPr>
      <w:proofErr w:type="spellStart"/>
      <w:r>
        <w:rPr>
          <w:rFonts w:ascii="Arial" w:hAnsi="Arial" w:cs="Arial"/>
          <w:sz w:val="22"/>
          <w:szCs w:val="22"/>
        </w:rPr>
        <w:t>Ryzumvi</w:t>
      </w:r>
      <w:proofErr w:type="spellEnd"/>
      <w:r>
        <w:rPr>
          <w:rFonts w:ascii="Arial" w:hAnsi="Arial" w:cs="Arial"/>
          <w:b/>
          <w:bCs/>
          <w:sz w:val="22"/>
          <w:szCs w:val="22"/>
        </w:rPr>
        <w:t xml:space="preserve"> </w:t>
      </w:r>
      <w:r>
        <w:rPr>
          <w:rFonts w:ascii="Arial" w:hAnsi="Arial" w:cs="Arial"/>
          <w:sz w:val="22"/>
          <w:szCs w:val="22"/>
        </w:rPr>
        <w:t xml:space="preserve">(phentolamine) – </w:t>
      </w:r>
      <w:r>
        <w:rPr>
          <w:rFonts w:ascii="Arial" w:hAnsi="Arial" w:cs="Arial"/>
          <w:b/>
          <w:bCs/>
          <w:sz w:val="22"/>
          <w:szCs w:val="22"/>
        </w:rPr>
        <w:t>PA</w:t>
      </w:r>
      <w:r>
        <w:rPr>
          <w:rFonts w:ascii="Arial" w:hAnsi="Arial" w:cs="Arial"/>
          <w:sz w:val="22"/>
          <w:szCs w:val="22"/>
        </w:rPr>
        <w:t>; MB</w:t>
      </w:r>
    </w:p>
    <w:p w14:paraId="6F869B79"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Selarsdi</w:t>
      </w:r>
      <w:proofErr w:type="spellEnd"/>
      <w:r>
        <w:rPr>
          <w:rFonts w:ascii="Arial" w:hAnsi="Arial" w:cs="Arial"/>
          <w:sz w:val="22"/>
          <w:szCs w:val="22"/>
        </w:rPr>
        <w:t xml:space="preserve"> (</w:t>
      </w:r>
      <w:proofErr w:type="spellStart"/>
      <w:r>
        <w:rPr>
          <w:rFonts w:ascii="Arial" w:hAnsi="Arial" w:cs="Arial"/>
          <w:sz w:val="22"/>
          <w:szCs w:val="22"/>
        </w:rPr>
        <w:t>ustekinumab-aekn</w:t>
      </w:r>
      <w:proofErr w:type="spellEnd"/>
      <w:r>
        <w:rPr>
          <w:rFonts w:ascii="Arial" w:hAnsi="Arial" w:cs="Arial"/>
          <w:sz w:val="22"/>
          <w:szCs w:val="22"/>
        </w:rPr>
        <w:t xml:space="preserve"> prefilled syringe) –</w:t>
      </w:r>
      <w:r>
        <w:rPr>
          <w:rFonts w:ascii="Arial" w:hAnsi="Arial" w:cs="Arial"/>
          <w:b/>
          <w:bCs/>
          <w:sz w:val="22"/>
          <w:szCs w:val="22"/>
        </w:rPr>
        <w:t xml:space="preserve"> PA</w:t>
      </w:r>
    </w:p>
    <w:p w14:paraId="1A0759EF"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Selarsdi</w:t>
      </w:r>
      <w:proofErr w:type="spellEnd"/>
      <w:r>
        <w:rPr>
          <w:rFonts w:ascii="Arial" w:hAnsi="Arial" w:cs="Arial"/>
          <w:sz w:val="22"/>
          <w:szCs w:val="22"/>
        </w:rPr>
        <w:t xml:space="preserve"> (</w:t>
      </w:r>
      <w:proofErr w:type="spellStart"/>
      <w:r>
        <w:rPr>
          <w:rFonts w:ascii="Arial" w:hAnsi="Arial" w:cs="Arial"/>
          <w:sz w:val="22"/>
          <w:szCs w:val="22"/>
        </w:rPr>
        <w:t>ustekinumab-aekn</w:t>
      </w:r>
      <w:proofErr w:type="spellEnd"/>
      <w:r>
        <w:rPr>
          <w:rFonts w:ascii="Arial" w:hAnsi="Arial" w:cs="Arial"/>
          <w:sz w:val="22"/>
          <w:szCs w:val="22"/>
        </w:rPr>
        <w:t xml:space="preserve"> vial) - </w:t>
      </w:r>
      <w:r>
        <w:rPr>
          <w:rFonts w:ascii="Arial" w:hAnsi="Arial" w:cs="Arial"/>
          <w:b/>
          <w:bCs/>
          <w:sz w:val="22"/>
          <w:szCs w:val="22"/>
        </w:rPr>
        <w:t>PA</w:t>
      </w:r>
      <w:r>
        <w:rPr>
          <w:rFonts w:ascii="Arial" w:hAnsi="Arial" w:cs="Arial"/>
          <w:sz w:val="22"/>
          <w:szCs w:val="22"/>
        </w:rPr>
        <w:t>; MB</w:t>
      </w:r>
    </w:p>
    <w:p w14:paraId="2711EBBC"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Steqeyma</w:t>
      </w:r>
      <w:proofErr w:type="spellEnd"/>
      <w:r>
        <w:rPr>
          <w:rFonts w:ascii="Arial" w:hAnsi="Arial" w:cs="Arial"/>
          <w:sz w:val="22"/>
          <w:szCs w:val="22"/>
        </w:rPr>
        <w:t xml:space="preserve"> (</w:t>
      </w:r>
      <w:proofErr w:type="spellStart"/>
      <w:r>
        <w:rPr>
          <w:rFonts w:ascii="Arial" w:hAnsi="Arial" w:cs="Arial"/>
          <w:sz w:val="22"/>
          <w:szCs w:val="22"/>
        </w:rPr>
        <w:t>ustekinumab-stba</w:t>
      </w:r>
      <w:proofErr w:type="spellEnd"/>
      <w:r>
        <w:rPr>
          <w:rFonts w:ascii="Arial" w:hAnsi="Arial" w:cs="Arial"/>
          <w:sz w:val="22"/>
          <w:szCs w:val="22"/>
        </w:rPr>
        <w:t xml:space="preserve"> prefilled syringe) </w:t>
      </w:r>
      <w:r>
        <w:rPr>
          <w:rFonts w:ascii="Arial" w:hAnsi="Arial" w:cs="Arial"/>
          <w:color w:val="auto"/>
          <w:sz w:val="22"/>
          <w:szCs w:val="22"/>
        </w:rPr>
        <w:t>–</w:t>
      </w:r>
      <w:r>
        <w:rPr>
          <w:rFonts w:ascii="Arial" w:hAnsi="Arial" w:cs="Arial"/>
          <w:sz w:val="22"/>
          <w:szCs w:val="22"/>
        </w:rPr>
        <w:t xml:space="preserve"> </w:t>
      </w:r>
      <w:r>
        <w:rPr>
          <w:rFonts w:ascii="Arial" w:hAnsi="Arial" w:cs="Arial"/>
          <w:b/>
          <w:bCs/>
          <w:sz w:val="22"/>
          <w:szCs w:val="22"/>
        </w:rPr>
        <w:t>PA</w:t>
      </w:r>
    </w:p>
    <w:p w14:paraId="758D50D4"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Steqeyma</w:t>
      </w:r>
      <w:proofErr w:type="spellEnd"/>
      <w:r>
        <w:rPr>
          <w:rFonts w:ascii="Arial" w:hAnsi="Arial" w:cs="Arial"/>
          <w:sz w:val="22"/>
          <w:szCs w:val="22"/>
        </w:rPr>
        <w:t xml:space="preserve"> (</w:t>
      </w:r>
      <w:proofErr w:type="spellStart"/>
      <w:r>
        <w:rPr>
          <w:rFonts w:ascii="Arial" w:hAnsi="Arial" w:cs="Arial"/>
          <w:sz w:val="22"/>
          <w:szCs w:val="22"/>
        </w:rPr>
        <w:t>ustekinumab-stba</w:t>
      </w:r>
      <w:proofErr w:type="spellEnd"/>
      <w:r>
        <w:rPr>
          <w:rFonts w:ascii="Arial" w:hAnsi="Arial" w:cs="Arial"/>
          <w:sz w:val="22"/>
          <w:szCs w:val="22"/>
        </w:rPr>
        <w:t xml:space="preserve"> vial) – </w:t>
      </w:r>
      <w:r>
        <w:rPr>
          <w:rFonts w:ascii="Arial" w:hAnsi="Arial" w:cs="Arial"/>
          <w:b/>
          <w:bCs/>
          <w:sz w:val="22"/>
          <w:szCs w:val="22"/>
        </w:rPr>
        <w:t>PA</w:t>
      </w:r>
      <w:r>
        <w:rPr>
          <w:rFonts w:ascii="Arial" w:hAnsi="Arial" w:cs="Arial"/>
          <w:sz w:val="22"/>
          <w:szCs w:val="22"/>
        </w:rPr>
        <w:t>; MB</w:t>
      </w:r>
    </w:p>
    <w:p w14:paraId="4962C46F"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ustekinumab-aekn</w:t>
      </w:r>
      <w:proofErr w:type="spellEnd"/>
      <w:r>
        <w:rPr>
          <w:rFonts w:ascii="Arial" w:hAnsi="Arial" w:cs="Arial"/>
          <w:sz w:val="22"/>
          <w:szCs w:val="22"/>
        </w:rPr>
        <w:t xml:space="preserve">, unbranded prefilled syringe – </w:t>
      </w:r>
      <w:r>
        <w:rPr>
          <w:rFonts w:ascii="Arial" w:hAnsi="Arial" w:cs="Arial"/>
          <w:b/>
          <w:bCs/>
          <w:sz w:val="22"/>
          <w:szCs w:val="22"/>
        </w:rPr>
        <w:t>PA</w:t>
      </w:r>
    </w:p>
    <w:p w14:paraId="6D16B40F"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ustekinumab-ttwe</w:t>
      </w:r>
      <w:proofErr w:type="spellEnd"/>
      <w:r>
        <w:rPr>
          <w:rFonts w:ascii="Arial" w:hAnsi="Arial" w:cs="Arial"/>
          <w:sz w:val="22"/>
          <w:szCs w:val="22"/>
        </w:rPr>
        <w:t xml:space="preserve">, unbranded prefilled syringe – </w:t>
      </w:r>
      <w:r>
        <w:rPr>
          <w:rFonts w:ascii="Arial" w:hAnsi="Arial" w:cs="Arial"/>
          <w:b/>
          <w:bCs/>
          <w:sz w:val="22"/>
          <w:szCs w:val="22"/>
        </w:rPr>
        <w:t>PA</w:t>
      </w:r>
    </w:p>
    <w:p w14:paraId="1B068635"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ustekinumab-ttwe</w:t>
      </w:r>
      <w:proofErr w:type="spellEnd"/>
      <w:r>
        <w:rPr>
          <w:rFonts w:ascii="Arial" w:hAnsi="Arial" w:cs="Arial"/>
          <w:sz w:val="22"/>
          <w:szCs w:val="22"/>
        </w:rPr>
        <w:t xml:space="preserve">, unbranded vial – </w:t>
      </w:r>
      <w:r>
        <w:rPr>
          <w:rFonts w:ascii="Arial" w:hAnsi="Arial" w:cs="Arial"/>
          <w:b/>
          <w:bCs/>
          <w:sz w:val="22"/>
          <w:szCs w:val="22"/>
        </w:rPr>
        <w:t>PA</w:t>
      </w:r>
      <w:r>
        <w:rPr>
          <w:rFonts w:ascii="Arial" w:hAnsi="Arial" w:cs="Arial"/>
          <w:sz w:val="22"/>
          <w:szCs w:val="22"/>
        </w:rPr>
        <w:t>; MB</w:t>
      </w:r>
    </w:p>
    <w:p w14:paraId="64576250"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Xromi</w:t>
      </w:r>
      <w:proofErr w:type="spellEnd"/>
      <w:r>
        <w:rPr>
          <w:rFonts w:ascii="Arial" w:hAnsi="Arial" w:cs="Arial"/>
          <w:sz w:val="22"/>
          <w:szCs w:val="22"/>
        </w:rPr>
        <w:t xml:space="preserve"> (hydroxyurea solution) – </w:t>
      </w:r>
      <w:r>
        <w:rPr>
          <w:rFonts w:ascii="Arial" w:hAnsi="Arial" w:cs="Arial"/>
          <w:b/>
          <w:bCs/>
          <w:sz w:val="22"/>
          <w:szCs w:val="22"/>
        </w:rPr>
        <w:t>PA</w:t>
      </w:r>
      <w:r>
        <w:rPr>
          <w:rFonts w:ascii="Arial" w:hAnsi="Arial" w:cs="Arial"/>
          <w:sz w:val="22"/>
          <w:szCs w:val="22"/>
        </w:rPr>
        <w:t xml:space="preserve"> </w:t>
      </w:r>
    </w:p>
    <w:p w14:paraId="076386B6"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Yesintek</w:t>
      </w:r>
      <w:proofErr w:type="spellEnd"/>
      <w:r>
        <w:rPr>
          <w:rFonts w:ascii="Arial" w:hAnsi="Arial" w:cs="Arial"/>
          <w:sz w:val="22"/>
          <w:szCs w:val="22"/>
        </w:rPr>
        <w:t xml:space="preserve"> (</w:t>
      </w:r>
      <w:proofErr w:type="spellStart"/>
      <w:r>
        <w:rPr>
          <w:rFonts w:ascii="Arial" w:hAnsi="Arial" w:cs="Arial"/>
          <w:sz w:val="22"/>
          <w:szCs w:val="22"/>
        </w:rPr>
        <w:t>ustekinumab-kfce</w:t>
      </w:r>
      <w:proofErr w:type="spellEnd"/>
      <w:r>
        <w:rPr>
          <w:rFonts w:ascii="Arial" w:hAnsi="Arial" w:cs="Arial"/>
          <w:sz w:val="22"/>
          <w:szCs w:val="22"/>
        </w:rPr>
        <w:t xml:space="preserve"> prefilled syringe, 45 mg/0.5 mL vial) </w:t>
      </w:r>
      <w:r>
        <w:rPr>
          <w:rFonts w:ascii="Arial" w:hAnsi="Arial" w:cs="Arial"/>
          <w:color w:val="auto"/>
          <w:sz w:val="22"/>
          <w:szCs w:val="22"/>
        </w:rPr>
        <w:t>–</w:t>
      </w:r>
      <w:r>
        <w:rPr>
          <w:rFonts w:ascii="Arial" w:hAnsi="Arial" w:cs="Arial"/>
          <w:sz w:val="22"/>
          <w:szCs w:val="22"/>
        </w:rPr>
        <w:t xml:space="preserve"> </w:t>
      </w:r>
      <w:r>
        <w:rPr>
          <w:rFonts w:ascii="Arial" w:hAnsi="Arial" w:cs="Arial"/>
          <w:b/>
          <w:bCs/>
          <w:sz w:val="22"/>
          <w:szCs w:val="22"/>
        </w:rPr>
        <w:t>PA</w:t>
      </w:r>
    </w:p>
    <w:p w14:paraId="103399F6" w14:textId="77777777" w:rsidR="00540F53" w:rsidRDefault="00540F53" w:rsidP="00540F53">
      <w:pPr>
        <w:pStyle w:val="Default"/>
        <w:numPr>
          <w:ilvl w:val="0"/>
          <w:numId w:val="14"/>
        </w:numPr>
        <w:spacing w:line="276" w:lineRule="auto"/>
        <w:ind w:left="1080"/>
        <w:rPr>
          <w:rFonts w:ascii="Arial" w:hAnsi="Arial" w:cs="Arial"/>
          <w:sz w:val="22"/>
          <w:szCs w:val="22"/>
        </w:rPr>
      </w:pPr>
      <w:proofErr w:type="spellStart"/>
      <w:r>
        <w:rPr>
          <w:rFonts w:ascii="Arial" w:hAnsi="Arial" w:cs="Arial"/>
          <w:sz w:val="22"/>
          <w:szCs w:val="22"/>
        </w:rPr>
        <w:t>Yesintek</w:t>
      </w:r>
      <w:proofErr w:type="spellEnd"/>
      <w:r>
        <w:rPr>
          <w:rFonts w:ascii="Arial" w:hAnsi="Arial" w:cs="Arial"/>
          <w:sz w:val="22"/>
          <w:szCs w:val="22"/>
        </w:rPr>
        <w:t xml:space="preserve"> (</w:t>
      </w:r>
      <w:proofErr w:type="spellStart"/>
      <w:r>
        <w:rPr>
          <w:rFonts w:ascii="Arial" w:hAnsi="Arial" w:cs="Arial"/>
          <w:sz w:val="22"/>
          <w:szCs w:val="22"/>
        </w:rPr>
        <w:t>ustekinumab-kfce</w:t>
      </w:r>
      <w:proofErr w:type="spellEnd"/>
      <w:r>
        <w:rPr>
          <w:rFonts w:ascii="Arial" w:hAnsi="Arial" w:cs="Arial"/>
          <w:sz w:val="22"/>
          <w:szCs w:val="22"/>
        </w:rPr>
        <w:t xml:space="preserve"> 130 mg/26 mL vial) – </w:t>
      </w:r>
      <w:r>
        <w:rPr>
          <w:rFonts w:ascii="Arial" w:hAnsi="Arial" w:cs="Arial"/>
          <w:b/>
          <w:bCs/>
          <w:sz w:val="22"/>
          <w:szCs w:val="22"/>
        </w:rPr>
        <w:t>PA</w:t>
      </w:r>
      <w:r>
        <w:rPr>
          <w:rFonts w:ascii="Arial" w:hAnsi="Arial" w:cs="Arial"/>
          <w:sz w:val="22"/>
          <w:szCs w:val="22"/>
        </w:rPr>
        <w:t>; MB</w:t>
      </w:r>
    </w:p>
    <w:p w14:paraId="26A61B6E" w14:textId="77777777" w:rsidR="00540F53" w:rsidRDefault="00540F53" w:rsidP="00540F53">
      <w:pPr>
        <w:pStyle w:val="ListParagraph"/>
        <w:numPr>
          <w:ilvl w:val="0"/>
          <w:numId w:val="13"/>
        </w:numPr>
        <w:spacing w:line="256" w:lineRule="auto"/>
        <w:contextualSpacing/>
        <w:rPr>
          <w:rFonts w:ascii="Arial" w:hAnsi="Arial" w:cs="Arial"/>
          <w:color w:val="000000"/>
          <w:sz w:val="22"/>
          <w:szCs w:val="22"/>
        </w:rPr>
      </w:pPr>
      <w:r w:rsidRPr="0054769A">
        <w:rPr>
          <w:rFonts w:ascii="Arial" w:hAnsi="Arial" w:cs="Arial"/>
          <w:color w:val="000000"/>
          <w:sz w:val="22"/>
          <w:szCs w:val="22"/>
        </w:rPr>
        <w:t>Effective April 23, 2025, the following COVID-19 treatment agent was added to the MassHealth Drug List on July 1, 2025.</w:t>
      </w:r>
    </w:p>
    <w:p w14:paraId="41AD8788" w14:textId="2516A2F4" w:rsidR="00540F53" w:rsidRPr="0054769A" w:rsidRDefault="00540F53" w:rsidP="00540F53">
      <w:pPr>
        <w:pStyle w:val="ListParagraph"/>
        <w:numPr>
          <w:ilvl w:val="0"/>
          <w:numId w:val="16"/>
        </w:numPr>
        <w:rPr>
          <w:rFonts w:ascii="Arial" w:hAnsi="Arial" w:cs="Arial"/>
          <w:color w:val="000000"/>
          <w:sz w:val="22"/>
          <w:szCs w:val="22"/>
        </w:rPr>
      </w:pPr>
      <w:r w:rsidRPr="0054769A">
        <w:rPr>
          <w:rFonts w:ascii="Arial" w:hAnsi="Arial" w:cs="Arial"/>
          <w:color w:val="000000"/>
          <w:sz w:val="22"/>
          <w:szCs w:val="22"/>
        </w:rPr>
        <w:t xml:space="preserve">Paxlovid (nirmatrelvir/ritonavir 300/150-100 mg) </w:t>
      </w:r>
      <w:r w:rsidRPr="0054769A">
        <w:rPr>
          <w:rFonts w:ascii="Arial" w:hAnsi="Arial" w:cs="Arial"/>
          <w:color w:val="000000"/>
          <w:sz w:val="22"/>
          <w:szCs w:val="22"/>
          <w:vertAlign w:val="superscript"/>
        </w:rPr>
        <w:t>PD</w:t>
      </w:r>
    </w:p>
    <w:p w14:paraId="0B64CD5C" w14:textId="5E15222C" w:rsidR="00602498" w:rsidRDefault="00602498" w:rsidP="00905319">
      <w:pPr>
        <w:autoSpaceDE w:val="0"/>
        <w:autoSpaceDN w:val="0"/>
        <w:adjustRightInd w:val="0"/>
        <w:spacing w:line="276" w:lineRule="auto"/>
        <w:rPr>
          <w:rFonts w:ascii="Arial" w:eastAsia="Calibri" w:hAnsi="Arial" w:cs="Arial"/>
          <w:b/>
          <w:bCs/>
          <w:color w:val="000000"/>
          <w:sz w:val="22"/>
          <w:szCs w:val="22"/>
        </w:rPr>
      </w:pPr>
      <w:r>
        <w:rPr>
          <w:rFonts w:ascii="Arial" w:eastAsia="Calibri" w:hAnsi="Arial" w:cs="Arial"/>
          <w:b/>
          <w:bCs/>
          <w:color w:val="000000"/>
          <w:sz w:val="22"/>
          <w:szCs w:val="22"/>
        </w:rPr>
        <w:br w:type="page"/>
      </w:r>
    </w:p>
    <w:p w14:paraId="1C50055C" w14:textId="6110E489" w:rsidR="001E537A" w:rsidRDefault="001E537A" w:rsidP="00126536">
      <w:pPr>
        <w:pStyle w:val="Heading1"/>
        <w:spacing w:line="276" w:lineRule="auto"/>
        <w:rPr>
          <w:rFonts w:ascii="Arial" w:eastAsia="Yu Gothic Light" w:hAnsi="Arial"/>
          <w:sz w:val="24"/>
          <w:szCs w:val="24"/>
        </w:rPr>
      </w:pPr>
      <w:bookmarkStart w:id="1" w:name="_Hlk527542045"/>
      <w:r w:rsidRPr="00126536">
        <w:rPr>
          <w:rFonts w:ascii="Arial" w:eastAsia="Yu Gothic Light" w:hAnsi="Arial"/>
          <w:sz w:val="24"/>
          <w:szCs w:val="24"/>
        </w:rPr>
        <w:lastRenderedPageBreak/>
        <w:t>Updated MassHealth Brand Name Preferred Over Generic Drug List</w:t>
      </w:r>
    </w:p>
    <w:p w14:paraId="5ACD08CC" w14:textId="77777777" w:rsidR="00324D21" w:rsidRPr="00C777DA" w:rsidRDefault="00324D21" w:rsidP="00324D21">
      <w:pPr>
        <w:rPr>
          <w:rFonts w:ascii="Arial" w:hAnsi="Arial" w:cs="Arial"/>
          <w:sz w:val="22"/>
          <w:szCs w:val="22"/>
        </w:rPr>
      </w:pPr>
      <w:r w:rsidRPr="00C777DA">
        <w:rPr>
          <w:rFonts w:ascii="Arial" w:hAnsi="Arial" w:cs="Arial"/>
          <w:sz w:val="22"/>
          <w:szCs w:val="22"/>
        </w:rPr>
        <w:t>The MassHealth Brand Name Preferred Over Generic Drug List has been updated to reflect recent changes to the MassHealth Drug List.</w:t>
      </w:r>
    </w:p>
    <w:p w14:paraId="06D77299" w14:textId="77777777" w:rsidR="00324D21" w:rsidRDefault="00324D21" w:rsidP="00324D21">
      <w:pPr>
        <w:pStyle w:val="Default"/>
        <w:numPr>
          <w:ilvl w:val="0"/>
          <w:numId w:val="1"/>
        </w:numPr>
        <w:spacing w:line="276" w:lineRule="auto"/>
        <w:rPr>
          <w:rFonts w:ascii="Arial" w:hAnsi="Arial" w:cs="Arial"/>
          <w:sz w:val="22"/>
          <w:szCs w:val="21"/>
        </w:rPr>
      </w:pPr>
      <w:r>
        <w:rPr>
          <w:rFonts w:ascii="Arial" w:hAnsi="Arial" w:cs="Arial"/>
          <w:sz w:val="22"/>
          <w:szCs w:val="21"/>
        </w:rPr>
        <w:t xml:space="preserve">Effective </w:t>
      </w:r>
      <w:r>
        <w:rPr>
          <w:rFonts w:ascii="Arial" w:hAnsi="Arial" w:cs="Arial"/>
          <w:sz w:val="22"/>
          <w:szCs w:val="22"/>
        </w:rPr>
        <w:t xml:space="preserve">July 1, 2025, </w:t>
      </w:r>
      <w:r>
        <w:rPr>
          <w:rFonts w:ascii="Arial" w:hAnsi="Arial" w:cs="Arial"/>
          <w:sz w:val="22"/>
          <w:szCs w:val="21"/>
        </w:rPr>
        <w:t xml:space="preserve">the following agents will be added to the MassHealth Brand Name Preferred Over Generic Drug List. </w:t>
      </w:r>
    </w:p>
    <w:p w14:paraId="12540E0F" w14:textId="77777777" w:rsidR="00324D21" w:rsidRDefault="00324D21" w:rsidP="00324D21">
      <w:pPr>
        <w:pStyle w:val="Default"/>
        <w:numPr>
          <w:ilvl w:val="0"/>
          <w:numId w:val="17"/>
        </w:numPr>
        <w:spacing w:line="276" w:lineRule="auto"/>
        <w:ind w:left="1080"/>
        <w:rPr>
          <w:rFonts w:ascii="Arial" w:hAnsi="Arial" w:cs="Arial"/>
          <w:sz w:val="22"/>
          <w:szCs w:val="22"/>
        </w:rPr>
      </w:pPr>
      <w:bookmarkStart w:id="2" w:name="_Hlk11399419"/>
      <w:bookmarkStart w:id="3" w:name="_Hlk527542710"/>
      <w:proofErr w:type="spellStart"/>
      <w:r>
        <w:rPr>
          <w:rFonts w:ascii="Arial" w:hAnsi="Arial" w:cs="Arial"/>
          <w:sz w:val="22"/>
          <w:szCs w:val="22"/>
        </w:rPr>
        <w:t>Adzenys</w:t>
      </w:r>
      <w:proofErr w:type="spellEnd"/>
      <w:r>
        <w:rPr>
          <w:rFonts w:ascii="Arial" w:hAnsi="Arial" w:cs="Arial"/>
          <w:sz w:val="22"/>
          <w:szCs w:val="22"/>
        </w:rPr>
        <w:t xml:space="preserve"> XR-ODT (amphetamine extended-release orally disintegrating tablet) – </w:t>
      </w:r>
      <w:proofErr w:type="gramStart"/>
      <w:r>
        <w:rPr>
          <w:rFonts w:ascii="Arial" w:hAnsi="Arial" w:cs="Arial"/>
          <w:b/>
          <w:bCs/>
          <w:sz w:val="22"/>
          <w:szCs w:val="22"/>
        </w:rPr>
        <w:t>PA</w:t>
      </w:r>
      <w:r>
        <w:rPr>
          <w:rFonts w:ascii="Arial" w:hAnsi="Arial" w:cs="Arial"/>
          <w:sz w:val="22"/>
          <w:szCs w:val="22"/>
        </w:rPr>
        <w:t>;</w:t>
      </w:r>
      <w:proofErr w:type="gramEnd"/>
      <w:r>
        <w:rPr>
          <w:rFonts w:ascii="Arial" w:hAnsi="Arial" w:cs="Arial"/>
          <w:sz w:val="22"/>
          <w:szCs w:val="22"/>
        </w:rPr>
        <w:t xml:space="preserve"> BP</w:t>
      </w:r>
    </w:p>
    <w:p w14:paraId="3DAC0AF3" w14:textId="77777777" w:rsidR="00324D21" w:rsidRDefault="00324D21" w:rsidP="00324D21">
      <w:pPr>
        <w:pStyle w:val="Default"/>
        <w:numPr>
          <w:ilvl w:val="0"/>
          <w:numId w:val="17"/>
        </w:numPr>
        <w:spacing w:line="276" w:lineRule="auto"/>
        <w:ind w:left="1080"/>
        <w:rPr>
          <w:rFonts w:ascii="Arial" w:hAnsi="Arial" w:cs="Arial"/>
          <w:sz w:val="22"/>
          <w:szCs w:val="22"/>
        </w:rPr>
      </w:pPr>
      <w:r>
        <w:rPr>
          <w:rFonts w:ascii="Arial" w:hAnsi="Arial" w:cs="Arial"/>
          <w:sz w:val="22"/>
          <w:szCs w:val="22"/>
        </w:rPr>
        <w:t>Depen (penicillamine tablet); BP, A90</w:t>
      </w:r>
    </w:p>
    <w:p w14:paraId="0C2CDA48" w14:textId="77777777" w:rsidR="00324D21" w:rsidRDefault="00324D21" w:rsidP="00324D21">
      <w:pPr>
        <w:pStyle w:val="Default"/>
        <w:numPr>
          <w:ilvl w:val="0"/>
          <w:numId w:val="17"/>
        </w:numPr>
        <w:spacing w:line="276" w:lineRule="auto"/>
        <w:ind w:left="1080"/>
        <w:rPr>
          <w:rFonts w:ascii="Arial" w:hAnsi="Arial" w:cs="Arial"/>
          <w:sz w:val="22"/>
          <w:szCs w:val="22"/>
        </w:rPr>
      </w:pPr>
      <w:proofErr w:type="spellStart"/>
      <w:r>
        <w:rPr>
          <w:rFonts w:ascii="Arial" w:hAnsi="Arial" w:cs="Arial"/>
          <w:sz w:val="22"/>
          <w:szCs w:val="22"/>
        </w:rPr>
        <w:t>Ridaura</w:t>
      </w:r>
      <w:proofErr w:type="spellEnd"/>
      <w:r>
        <w:rPr>
          <w:rFonts w:ascii="Arial" w:hAnsi="Arial" w:cs="Arial"/>
          <w:sz w:val="22"/>
          <w:szCs w:val="22"/>
        </w:rPr>
        <w:t xml:space="preserve"> (auranofin); BP</w:t>
      </w:r>
    </w:p>
    <w:p w14:paraId="2FBEB301" w14:textId="77777777" w:rsidR="00324D21" w:rsidRDefault="00324D21" w:rsidP="00324D21">
      <w:pPr>
        <w:pStyle w:val="Default"/>
        <w:numPr>
          <w:ilvl w:val="0"/>
          <w:numId w:val="17"/>
        </w:numPr>
        <w:spacing w:line="276" w:lineRule="auto"/>
        <w:ind w:left="1080"/>
        <w:rPr>
          <w:rFonts w:ascii="Arial" w:hAnsi="Arial" w:cs="Arial"/>
          <w:sz w:val="22"/>
          <w:szCs w:val="22"/>
        </w:rPr>
      </w:pPr>
      <w:bookmarkStart w:id="4" w:name="_Hlk14249184"/>
      <w:bookmarkEnd w:id="2"/>
      <w:bookmarkEnd w:id="3"/>
      <w:r>
        <w:rPr>
          <w:rFonts w:ascii="Arial" w:hAnsi="Arial" w:cs="Arial"/>
          <w:sz w:val="22"/>
          <w:szCs w:val="22"/>
        </w:rPr>
        <w:t xml:space="preserve">Xeljanz (tofacitinib) – </w:t>
      </w:r>
      <w:r>
        <w:rPr>
          <w:rFonts w:ascii="Arial" w:hAnsi="Arial" w:cs="Arial"/>
          <w:b/>
          <w:bCs/>
          <w:sz w:val="22"/>
          <w:szCs w:val="22"/>
        </w:rPr>
        <w:t>PA</w:t>
      </w:r>
      <w:r>
        <w:rPr>
          <w:rFonts w:ascii="Arial" w:hAnsi="Arial" w:cs="Arial"/>
          <w:sz w:val="22"/>
          <w:szCs w:val="22"/>
        </w:rPr>
        <w:t>; BP</w:t>
      </w:r>
    </w:p>
    <w:p w14:paraId="41E605B4" w14:textId="77777777" w:rsidR="00324D21" w:rsidRDefault="00324D21" w:rsidP="00324D21">
      <w:pPr>
        <w:pStyle w:val="Default"/>
        <w:numPr>
          <w:ilvl w:val="0"/>
          <w:numId w:val="17"/>
        </w:numPr>
        <w:spacing w:line="276" w:lineRule="auto"/>
        <w:ind w:left="1080"/>
        <w:rPr>
          <w:rFonts w:ascii="Arial" w:hAnsi="Arial" w:cs="Arial"/>
          <w:sz w:val="22"/>
          <w:szCs w:val="22"/>
        </w:rPr>
      </w:pPr>
      <w:r>
        <w:rPr>
          <w:rFonts w:ascii="Arial" w:hAnsi="Arial" w:cs="Arial"/>
          <w:sz w:val="22"/>
          <w:szCs w:val="22"/>
        </w:rPr>
        <w:t xml:space="preserve">Xeljanz XR (tofacitinib extended-release) – </w:t>
      </w:r>
      <w:proofErr w:type="gramStart"/>
      <w:r>
        <w:rPr>
          <w:rFonts w:ascii="Arial" w:hAnsi="Arial" w:cs="Arial"/>
          <w:b/>
          <w:bCs/>
          <w:sz w:val="22"/>
          <w:szCs w:val="22"/>
        </w:rPr>
        <w:t>PA</w:t>
      </w:r>
      <w:r>
        <w:rPr>
          <w:rFonts w:ascii="Arial" w:hAnsi="Arial" w:cs="Arial"/>
          <w:sz w:val="22"/>
          <w:szCs w:val="22"/>
        </w:rPr>
        <w:t>;</w:t>
      </w:r>
      <w:proofErr w:type="gramEnd"/>
      <w:r>
        <w:rPr>
          <w:rFonts w:ascii="Arial" w:hAnsi="Arial" w:cs="Arial"/>
          <w:sz w:val="22"/>
          <w:szCs w:val="22"/>
        </w:rPr>
        <w:t xml:space="preserve"> BP </w:t>
      </w:r>
    </w:p>
    <w:p w14:paraId="3075AA26" w14:textId="77777777" w:rsidR="00324D21" w:rsidRDefault="00324D21" w:rsidP="00324D21">
      <w:pPr>
        <w:pStyle w:val="Default"/>
        <w:numPr>
          <w:ilvl w:val="0"/>
          <w:numId w:val="1"/>
        </w:numPr>
        <w:spacing w:line="276" w:lineRule="auto"/>
        <w:rPr>
          <w:rFonts w:ascii="Arial" w:hAnsi="Arial" w:cs="Arial"/>
          <w:sz w:val="22"/>
          <w:szCs w:val="21"/>
        </w:rPr>
      </w:pPr>
      <w:r>
        <w:rPr>
          <w:rFonts w:ascii="Arial" w:hAnsi="Arial" w:cs="Arial"/>
          <w:sz w:val="22"/>
          <w:szCs w:val="21"/>
        </w:rPr>
        <w:t xml:space="preserve">Effective </w:t>
      </w:r>
      <w:r>
        <w:rPr>
          <w:rFonts w:ascii="Arial" w:hAnsi="Arial" w:cs="Arial"/>
          <w:sz w:val="22"/>
          <w:szCs w:val="22"/>
        </w:rPr>
        <w:t xml:space="preserve">July 1, 2025, </w:t>
      </w:r>
      <w:r>
        <w:rPr>
          <w:rFonts w:ascii="Arial" w:hAnsi="Arial" w:cs="Arial"/>
          <w:sz w:val="22"/>
          <w:szCs w:val="21"/>
        </w:rPr>
        <w:t xml:space="preserve">the following agents will be removed from the MassHealth Brand Name Preferred Over Generic Drug List. </w:t>
      </w:r>
    </w:p>
    <w:bookmarkEnd w:id="4"/>
    <w:p w14:paraId="2D0D52E4" w14:textId="77777777" w:rsidR="00324D21" w:rsidRDefault="00324D21" w:rsidP="00324D21">
      <w:pPr>
        <w:pStyle w:val="ListParagraph"/>
        <w:numPr>
          <w:ilvl w:val="0"/>
          <w:numId w:val="18"/>
        </w:numPr>
        <w:spacing w:line="256" w:lineRule="auto"/>
        <w:ind w:left="1080"/>
        <w:contextualSpacing/>
        <w:rPr>
          <w:rFonts w:ascii="Arial" w:hAnsi="Arial" w:cs="Arial"/>
          <w:color w:val="000000"/>
          <w:sz w:val="22"/>
          <w:szCs w:val="22"/>
        </w:rPr>
      </w:pPr>
      <w:proofErr w:type="spellStart"/>
      <w:r w:rsidRPr="003851AF">
        <w:rPr>
          <w:rFonts w:ascii="Arial" w:hAnsi="Arial" w:cs="Arial"/>
          <w:color w:val="000000"/>
          <w:sz w:val="22"/>
          <w:szCs w:val="22"/>
        </w:rPr>
        <w:t>Dermotic</w:t>
      </w:r>
      <w:proofErr w:type="spellEnd"/>
      <w:r w:rsidRPr="003851AF">
        <w:rPr>
          <w:rFonts w:ascii="Arial" w:hAnsi="Arial" w:cs="Arial"/>
          <w:color w:val="000000"/>
          <w:sz w:val="22"/>
          <w:szCs w:val="22"/>
        </w:rPr>
        <w:t xml:space="preserve"> (fluocinolone oil, </w:t>
      </w:r>
      <w:proofErr w:type="spellStart"/>
      <w:r w:rsidRPr="003851AF">
        <w:rPr>
          <w:rFonts w:ascii="Arial" w:hAnsi="Arial" w:cs="Arial"/>
          <w:color w:val="000000"/>
          <w:sz w:val="22"/>
          <w:szCs w:val="22"/>
        </w:rPr>
        <w:t>otic</w:t>
      </w:r>
      <w:proofErr w:type="spellEnd"/>
      <w:r w:rsidRPr="003851AF">
        <w:rPr>
          <w:rFonts w:ascii="Arial" w:hAnsi="Arial" w:cs="Arial"/>
          <w:color w:val="000000"/>
          <w:sz w:val="22"/>
          <w:szCs w:val="22"/>
        </w:rPr>
        <w:t xml:space="preserve"> drops); #, A90</w:t>
      </w:r>
    </w:p>
    <w:bookmarkEnd w:id="1"/>
    <w:p w14:paraId="74740913" w14:textId="77777777" w:rsidR="0096007B" w:rsidRPr="0096007B" w:rsidRDefault="0096007B" w:rsidP="0096007B">
      <w:pPr>
        <w:keepNext/>
        <w:keepLines/>
        <w:spacing w:line="276" w:lineRule="auto"/>
        <w:ind w:left="1080"/>
        <w:outlineLvl w:val="0"/>
        <w:rPr>
          <w:rFonts w:ascii="Arial" w:eastAsia="Calibri" w:hAnsi="Arial" w:cs="Arial"/>
          <w:color w:val="000000"/>
          <w:sz w:val="22"/>
          <w:szCs w:val="21"/>
        </w:rPr>
      </w:pPr>
    </w:p>
    <w:p w14:paraId="74724DE3" w14:textId="22C91AF1" w:rsidR="00A23C6C" w:rsidRPr="00126536" w:rsidRDefault="00A23C6C" w:rsidP="00126536">
      <w:pPr>
        <w:pStyle w:val="Heading1"/>
        <w:spacing w:line="276" w:lineRule="auto"/>
        <w:rPr>
          <w:rFonts w:ascii="Arial" w:eastAsia="Yu Gothic Light" w:hAnsi="Arial"/>
          <w:sz w:val="24"/>
          <w:szCs w:val="24"/>
        </w:rPr>
      </w:pPr>
      <w:r w:rsidRPr="00126536">
        <w:rPr>
          <w:rFonts w:ascii="Arial" w:eastAsia="Yu Gothic Light" w:hAnsi="Arial"/>
          <w:sz w:val="24"/>
          <w:szCs w:val="24"/>
        </w:rPr>
        <w:t>Updated MassHealth 90-day Initiative</w:t>
      </w:r>
    </w:p>
    <w:p w14:paraId="5D6A04B7" w14:textId="77777777" w:rsidR="00494180" w:rsidRPr="00891B4C" w:rsidRDefault="00494180" w:rsidP="00494180">
      <w:pPr>
        <w:rPr>
          <w:rFonts w:ascii="Arial" w:hAnsi="Arial" w:cs="Arial"/>
          <w:sz w:val="22"/>
          <w:szCs w:val="22"/>
        </w:rPr>
      </w:pPr>
      <w:r w:rsidRPr="00891B4C">
        <w:rPr>
          <w:rFonts w:ascii="Arial" w:hAnsi="Arial" w:cs="Arial"/>
          <w:sz w:val="22"/>
          <w:szCs w:val="22"/>
        </w:rPr>
        <w:t>The MassHealth 90-day Initiative has been updated to reflect recent changes to the MassHealth Drug List.</w:t>
      </w:r>
    </w:p>
    <w:p w14:paraId="4743D3A5" w14:textId="77777777" w:rsidR="00494180" w:rsidRPr="00891B4C" w:rsidRDefault="00494180" w:rsidP="00494180">
      <w:pPr>
        <w:pStyle w:val="Default"/>
        <w:spacing w:line="276" w:lineRule="auto"/>
        <w:rPr>
          <w:rFonts w:ascii="Arial" w:hAnsi="Arial" w:cs="Arial"/>
          <w:color w:val="auto"/>
          <w:sz w:val="22"/>
          <w:szCs w:val="22"/>
        </w:rPr>
      </w:pPr>
      <w:r w:rsidRPr="00891B4C">
        <w:rPr>
          <w:rFonts w:ascii="Arial" w:hAnsi="Arial" w:cs="Arial"/>
          <w:color w:val="auto"/>
          <w:sz w:val="22"/>
          <w:szCs w:val="22"/>
        </w:rPr>
        <w:t xml:space="preserve">Effective July 1, 2025, the following agents may be allowed or mandated to be dispensed in up to a 90-day supply, as indicated below. </w:t>
      </w:r>
    </w:p>
    <w:p w14:paraId="101B41C1" w14:textId="77777777" w:rsidR="00494180" w:rsidRPr="00891B4C" w:rsidRDefault="00494180" w:rsidP="00494180">
      <w:pPr>
        <w:pStyle w:val="Default"/>
        <w:numPr>
          <w:ilvl w:val="1"/>
          <w:numId w:val="19"/>
        </w:numPr>
        <w:spacing w:line="276" w:lineRule="auto"/>
        <w:ind w:left="720"/>
        <w:rPr>
          <w:rFonts w:ascii="Arial" w:hAnsi="Arial" w:cs="Arial"/>
          <w:sz w:val="22"/>
          <w:szCs w:val="22"/>
        </w:rPr>
      </w:pPr>
      <w:proofErr w:type="spellStart"/>
      <w:r w:rsidRPr="00891B4C">
        <w:rPr>
          <w:rFonts w:ascii="Arial" w:hAnsi="Arial" w:cs="Arial"/>
          <w:sz w:val="22"/>
          <w:szCs w:val="22"/>
        </w:rPr>
        <w:t>Anoro</w:t>
      </w:r>
      <w:proofErr w:type="spellEnd"/>
      <w:r w:rsidRPr="00891B4C">
        <w:rPr>
          <w:rFonts w:ascii="Arial" w:hAnsi="Arial" w:cs="Arial"/>
          <w:sz w:val="22"/>
          <w:szCs w:val="22"/>
        </w:rPr>
        <w:t xml:space="preserve"> (umeclidinium/vilanterol); A90</w:t>
      </w:r>
    </w:p>
    <w:p w14:paraId="050D8235" w14:textId="00B6304E" w:rsidR="00EB3E62" w:rsidRPr="00891B4C" w:rsidRDefault="00494180" w:rsidP="00891B4C">
      <w:pPr>
        <w:pStyle w:val="Default"/>
        <w:numPr>
          <w:ilvl w:val="1"/>
          <w:numId w:val="19"/>
        </w:numPr>
        <w:spacing w:line="276" w:lineRule="auto"/>
        <w:ind w:left="720"/>
        <w:rPr>
          <w:rFonts w:ascii="Arial" w:hAnsi="Arial" w:cs="Arial"/>
          <w:sz w:val="22"/>
          <w:szCs w:val="22"/>
        </w:rPr>
      </w:pPr>
      <w:r w:rsidRPr="00891B4C">
        <w:rPr>
          <w:rFonts w:ascii="Arial" w:hAnsi="Arial" w:cs="Arial"/>
          <w:sz w:val="22"/>
          <w:szCs w:val="22"/>
        </w:rPr>
        <w:t>Aptiom (</w:t>
      </w:r>
      <w:proofErr w:type="spellStart"/>
      <w:r w:rsidRPr="00891B4C">
        <w:rPr>
          <w:rFonts w:ascii="Arial" w:hAnsi="Arial" w:cs="Arial"/>
          <w:sz w:val="22"/>
          <w:szCs w:val="22"/>
        </w:rPr>
        <w:t>eslicarbazepine</w:t>
      </w:r>
      <w:proofErr w:type="spellEnd"/>
      <w:r w:rsidRPr="00891B4C">
        <w:rPr>
          <w:rFonts w:ascii="Arial" w:hAnsi="Arial" w:cs="Arial"/>
          <w:sz w:val="22"/>
          <w:szCs w:val="22"/>
        </w:rPr>
        <w:t xml:space="preserve">) – </w:t>
      </w:r>
      <w:r w:rsidRPr="00891B4C">
        <w:rPr>
          <w:rFonts w:ascii="Arial" w:hAnsi="Arial" w:cs="Arial"/>
          <w:b/>
          <w:bCs/>
          <w:sz w:val="22"/>
          <w:szCs w:val="22"/>
        </w:rPr>
        <w:t>PA</w:t>
      </w:r>
      <w:r w:rsidRPr="00891B4C">
        <w:rPr>
          <w:rFonts w:ascii="Arial" w:hAnsi="Arial" w:cs="Arial"/>
          <w:sz w:val="22"/>
          <w:szCs w:val="22"/>
        </w:rPr>
        <w:t>; A90</w:t>
      </w:r>
    </w:p>
    <w:p w14:paraId="6A2DFFFF" w14:textId="77777777" w:rsidR="00494180" w:rsidRPr="00424249" w:rsidRDefault="00494180" w:rsidP="00494180">
      <w:pPr>
        <w:autoSpaceDE w:val="0"/>
        <w:autoSpaceDN w:val="0"/>
        <w:adjustRightInd w:val="0"/>
        <w:spacing w:line="276" w:lineRule="auto"/>
        <w:rPr>
          <w:rFonts w:ascii="Arial" w:eastAsia="Calibri" w:hAnsi="Arial" w:cs="Arial"/>
          <w:color w:val="000000"/>
          <w:sz w:val="20"/>
          <w:szCs w:val="20"/>
        </w:rPr>
      </w:pPr>
    </w:p>
    <w:p w14:paraId="26BC0683" w14:textId="77777777" w:rsidR="00232B02" w:rsidRPr="00891B4C" w:rsidRDefault="00232B02" w:rsidP="00891B4C">
      <w:pPr>
        <w:pStyle w:val="Heading1"/>
        <w:spacing w:line="276" w:lineRule="auto"/>
        <w:rPr>
          <w:rFonts w:ascii="Arial" w:eastAsia="Yu Gothic Light" w:hAnsi="Arial"/>
          <w:sz w:val="24"/>
          <w:szCs w:val="24"/>
        </w:rPr>
      </w:pPr>
      <w:r w:rsidRPr="00891B4C">
        <w:rPr>
          <w:rFonts w:ascii="Arial" w:eastAsia="Yu Gothic Light" w:hAnsi="Arial"/>
          <w:sz w:val="24"/>
          <w:szCs w:val="24"/>
        </w:rPr>
        <w:t>Updated MassHealth Over-the-Counter Drug List</w:t>
      </w:r>
    </w:p>
    <w:p w14:paraId="7BD61728" w14:textId="540F14AE" w:rsidR="00232B02" w:rsidRPr="003A7A64" w:rsidRDefault="00232B02" w:rsidP="003A7A64">
      <w:pPr>
        <w:spacing w:line="256" w:lineRule="auto"/>
        <w:rPr>
          <w:rFonts w:ascii="Arial" w:eastAsia="Calibri" w:hAnsi="Arial" w:cs="Arial"/>
          <w:sz w:val="22"/>
          <w:szCs w:val="21"/>
        </w:rPr>
      </w:pPr>
      <w:r w:rsidRPr="00232B02">
        <w:rPr>
          <w:rFonts w:ascii="Arial" w:eastAsia="Calibri" w:hAnsi="Arial" w:cs="Arial"/>
          <w:sz w:val="21"/>
          <w:szCs w:val="21"/>
        </w:rPr>
        <w:t xml:space="preserve">The </w:t>
      </w:r>
      <w:r w:rsidRPr="00232B02">
        <w:rPr>
          <w:rFonts w:ascii="Arial" w:eastAsia="Calibri" w:hAnsi="Arial" w:cs="Arial"/>
          <w:sz w:val="22"/>
          <w:szCs w:val="21"/>
        </w:rPr>
        <w:t>MassHealth Over-the-Counter Drug List has been updated to reflect recent changes to the MassHealth Drug List.</w:t>
      </w:r>
      <w:r w:rsidR="003A7A64">
        <w:rPr>
          <w:rFonts w:ascii="Arial" w:eastAsia="Calibri" w:hAnsi="Arial" w:cs="Arial"/>
          <w:sz w:val="22"/>
          <w:szCs w:val="21"/>
        </w:rPr>
        <w:t xml:space="preserve"> </w:t>
      </w:r>
      <w:r w:rsidRPr="00232B02">
        <w:rPr>
          <w:rFonts w:ascii="Arial" w:eastAsia="Calibri" w:hAnsi="Arial" w:cs="Arial"/>
          <w:color w:val="000000"/>
          <w:sz w:val="22"/>
          <w:szCs w:val="21"/>
        </w:rPr>
        <w:t xml:space="preserve">Effective </w:t>
      </w:r>
      <w:r w:rsidRPr="00232B02">
        <w:rPr>
          <w:rFonts w:ascii="Arial" w:eastAsia="Calibri" w:hAnsi="Arial" w:cs="Arial"/>
          <w:sz w:val="22"/>
          <w:szCs w:val="22"/>
        </w:rPr>
        <w:t xml:space="preserve">July 1, 2025, </w:t>
      </w:r>
      <w:r w:rsidRPr="00232B02">
        <w:rPr>
          <w:rFonts w:ascii="Arial" w:eastAsia="Calibri" w:hAnsi="Arial" w:cs="Arial"/>
          <w:color w:val="000000"/>
          <w:sz w:val="22"/>
          <w:szCs w:val="21"/>
        </w:rPr>
        <w:t xml:space="preserve">the following diabetic agent will no longer require PA within updated age limits. </w:t>
      </w:r>
    </w:p>
    <w:p w14:paraId="15C7547F" w14:textId="34C5523E" w:rsidR="00BC084C" w:rsidRPr="003851AF" w:rsidRDefault="00232B02" w:rsidP="003851AF">
      <w:pPr>
        <w:pStyle w:val="Default"/>
        <w:numPr>
          <w:ilvl w:val="1"/>
          <w:numId w:val="19"/>
        </w:numPr>
        <w:spacing w:line="276" w:lineRule="auto"/>
        <w:ind w:left="720"/>
        <w:rPr>
          <w:rFonts w:ascii="Arial" w:hAnsi="Arial" w:cs="Arial"/>
          <w:sz w:val="22"/>
          <w:szCs w:val="22"/>
        </w:rPr>
      </w:pPr>
      <w:r w:rsidRPr="003851AF">
        <w:rPr>
          <w:rFonts w:ascii="Arial" w:hAnsi="Arial" w:cs="Arial"/>
          <w:sz w:val="22"/>
          <w:szCs w:val="22"/>
        </w:rPr>
        <w:t>glucose products – PA ≥ 21 years; A90</w:t>
      </w:r>
    </w:p>
    <w:p w14:paraId="7DB33F67" w14:textId="77777777" w:rsidR="00232B02" w:rsidRDefault="00232B02" w:rsidP="00232B02">
      <w:pPr>
        <w:autoSpaceDE w:val="0"/>
        <w:autoSpaceDN w:val="0"/>
        <w:adjustRightInd w:val="0"/>
        <w:spacing w:line="276" w:lineRule="auto"/>
        <w:rPr>
          <w:rFonts w:eastAsia="Calibri" w:cs="Arial"/>
          <w:color w:val="000000"/>
          <w:sz w:val="20"/>
          <w:szCs w:val="20"/>
        </w:rPr>
      </w:pPr>
    </w:p>
    <w:p w14:paraId="182E27AE" w14:textId="77777777" w:rsidR="00EB7721" w:rsidRPr="00A8286A" w:rsidRDefault="00EB7721" w:rsidP="00A8286A">
      <w:pPr>
        <w:pStyle w:val="Heading1"/>
        <w:spacing w:line="276" w:lineRule="auto"/>
        <w:rPr>
          <w:rFonts w:ascii="Arial" w:eastAsia="Yu Gothic Light" w:hAnsi="Arial"/>
          <w:sz w:val="24"/>
          <w:szCs w:val="24"/>
        </w:rPr>
      </w:pPr>
      <w:r w:rsidRPr="00A8286A">
        <w:rPr>
          <w:rFonts w:ascii="Arial" w:eastAsia="Yu Gothic Light" w:hAnsi="Arial"/>
          <w:sz w:val="24"/>
          <w:szCs w:val="24"/>
        </w:rPr>
        <w:t>Updated MassHealth Supplemental Rebate/Preferred Drug List</w:t>
      </w:r>
    </w:p>
    <w:p w14:paraId="3DB5046B" w14:textId="77777777" w:rsidR="00EB7721" w:rsidRPr="00EB7721" w:rsidRDefault="00EB7721" w:rsidP="00EB7721">
      <w:pPr>
        <w:spacing w:line="256" w:lineRule="auto"/>
        <w:rPr>
          <w:rFonts w:ascii="Arial" w:eastAsia="Calibri" w:hAnsi="Arial" w:cs="Arial"/>
          <w:sz w:val="22"/>
          <w:szCs w:val="21"/>
        </w:rPr>
      </w:pPr>
      <w:r w:rsidRPr="00EB7721">
        <w:rPr>
          <w:rFonts w:ascii="Arial" w:eastAsia="Calibri" w:hAnsi="Arial" w:cs="Arial"/>
          <w:sz w:val="21"/>
          <w:szCs w:val="21"/>
        </w:rPr>
        <w:t xml:space="preserve">The </w:t>
      </w:r>
      <w:r w:rsidRPr="00EB7721">
        <w:rPr>
          <w:rFonts w:ascii="Arial" w:eastAsia="Calibri" w:hAnsi="Arial" w:cs="Arial"/>
          <w:sz w:val="22"/>
          <w:szCs w:val="21"/>
        </w:rPr>
        <w:t>MassHealth Supplemental Rebate/Preferred Drug List has been updated to reflect recent changes to the MassHealth Drug List.</w:t>
      </w:r>
    </w:p>
    <w:p w14:paraId="64775E47" w14:textId="77777777" w:rsidR="00EB7721" w:rsidRPr="00EB7721" w:rsidRDefault="00EB7721" w:rsidP="00D113A3">
      <w:pPr>
        <w:numPr>
          <w:ilvl w:val="0"/>
          <w:numId w:val="20"/>
        </w:numPr>
        <w:autoSpaceDE w:val="0"/>
        <w:autoSpaceDN w:val="0"/>
        <w:adjustRightInd w:val="0"/>
        <w:spacing w:line="276" w:lineRule="auto"/>
        <w:rPr>
          <w:rFonts w:ascii="Arial" w:eastAsia="Calibri" w:hAnsi="Arial" w:cs="Arial"/>
          <w:color w:val="000000"/>
          <w:sz w:val="22"/>
          <w:szCs w:val="22"/>
        </w:rPr>
      </w:pPr>
      <w:r w:rsidRPr="00EB7721">
        <w:rPr>
          <w:rFonts w:ascii="Arial" w:eastAsia="Calibri" w:hAnsi="Arial" w:cs="Arial"/>
          <w:color w:val="000000"/>
          <w:sz w:val="22"/>
          <w:szCs w:val="22"/>
        </w:rPr>
        <w:t xml:space="preserve">Effective April 23, 2025, the following COVID-19 treatment agent was added to the MassHealth Supplemental Rebate/Preferred Drug List. </w:t>
      </w:r>
    </w:p>
    <w:p w14:paraId="5268A8BA" w14:textId="2F802A12" w:rsidR="00EB7721" w:rsidRPr="00EB7721" w:rsidRDefault="00EB7721" w:rsidP="00D113A3">
      <w:pPr>
        <w:numPr>
          <w:ilvl w:val="0"/>
          <w:numId w:val="14"/>
        </w:numPr>
        <w:autoSpaceDE w:val="0"/>
        <w:autoSpaceDN w:val="0"/>
        <w:adjustRightInd w:val="0"/>
        <w:spacing w:line="276" w:lineRule="auto"/>
        <w:ind w:left="1080"/>
        <w:rPr>
          <w:rFonts w:ascii="Arial" w:eastAsia="Calibri" w:hAnsi="Arial" w:cs="Arial"/>
          <w:bCs/>
          <w:color w:val="000000"/>
          <w:sz w:val="22"/>
          <w:szCs w:val="22"/>
        </w:rPr>
      </w:pPr>
      <w:r w:rsidRPr="00EB7721">
        <w:rPr>
          <w:rFonts w:ascii="Arial" w:eastAsia="Calibri" w:hAnsi="Arial" w:cs="Arial"/>
          <w:bCs/>
          <w:color w:val="000000"/>
          <w:sz w:val="22"/>
          <w:szCs w:val="22"/>
        </w:rPr>
        <w:t>Paxlovid (nirmatrelvir/ritonavir 300/150-100mg)</w:t>
      </w:r>
      <w:r w:rsidR="00A8286A">
        <w:rPr>
          <w:rFonts w:ascii="Arial" w:eastAsia="Calibri" w:hAnsi="Arial" w:cs="Arial"/>
          <w:bCs/>
          <w:color w:val="000000"/>
          <w:sz w:val="22"/>
          <w:szCs w:val="22"/>
        </w:rPr>
        <w:t xml:space="preserve"> </w:t>
      </w:r>
      <w:r w:rsidRPr="00EB7721">
        <w:rPr>
          <w:rFonts w:ascii="Arial" w:eastAsia="Calibri" w:hAnsi="Arial" w:cs="Arial"/>
          <w:bCs/>
          <w:color w:val="000000"/>
          <w:sz w:val="22"/>
          <w:szCs w:val="22"/>
          <w:vertAlign w:val="superscript"/>
        </w:rPr>
        <w:t>PD</w:t>
      </w:r>
    </w:p>
    <w:p w14:paraId="141DC6BB" w14:textId="77777777" w:rsidR="00EB7721" w:rsidRPr="00EB7721" w:rsidRDefault="00EB7721" w:rsidP="00D113A3">
      <w:pPr>
        <w:numPr>
          <w:ilvl w:val="0"/>
          <w:numId w:val="20"/>
        </w:numPr>
        <w:autoSpaceDE w:val="0"/>
        <w:autoSpaceDN w:val="0"/>
        <w:adjustRightInd w:val="0"/>
        <w:spacing w:line="276" w:lineRule="auto"/>
        <w:rPr>
          <w:rFonts w:ascii="Arial" w:eastAsia="Calibri" w:hAnsi="Arial" w:cs="Arial"/>
          <w:color w:val="000000"/>
          <w:sz w:val="22"/>
          <w:szCs w:val="22"/>
        </w:rPr>
      </w:pPr>
      <w:r w:rsidRPr="00EB7721">
        <w:rPr>
          <w:rFonts w:ascii="Arial" w:eastAsia="Calibri" w:hAnsi="Arial" w:cs="Arial"/>
          <w:color w:val="000000"/>
          <w:sz w:val="22"/>
          <w:szCs w:val="22"/>
        </w:rPr>
        <w:t xml:space="preserve">Effective July 1, 2025, the following opioid dependence agent will be added to the MassHealth Supplemental Rebate/Preferred Drug List. </w:t>
      </w:r>
    </w:p>
    <w:p w14:paraId="555DC1A2" w14:textId="77777777" w:rsidR="00EB7721" w:rsidRPr="00EB7721" w:rsidRDefault="00EB7721" w:rsidP="00EB7721">
      <w:pPr>
        <w:numPr>
          <w:ilvl w:val="1"/>
          <w:numId w:val="21"/>
        </w:numPr>
        <w:autoSpaceDE w:val="0"/>
        <w:autoSpaceDN w:val="0"/>
        <w:adjustRightInd w:val="0"/>
        <w:spacing w:after="160" w:line="276" w:lineRule="auto"/>
        <w:rPr>
          <w:rFonts w:ascii="Arial" w:eastAsia="Calibri" w:hAnsi="Arial" w:cs="Arial"/>
          <w:bCs/>
          <w:color w:val="000000"/>
          <w:sz w:val="22"/>
          <w:szCs w:val="22"/>
        </w:rPr>
      </w:pPr>
      <w:proofErr w:type="spellStart"/>
      <w:r w:rsidRPr="00EB7721">
        <w:rPr>
          <w:rFonts w:ascii="Arial" w:eastAsia="Calibri" w:hAnsi="Arial" w:cs="Arial"/>
          <w:bCs/>
          <w:color w:val="000000"/>
          <w:sz w:val="22"/>
          <w:szCs w:val="22"/>
        </w:rPr>
        <w:t>Brixadi</w:t>
      </w:r>
      <w:proofErr w:type="spellEnd"/>
      <w:r w:rsidRPr="00EB7721">
        <w:rPr>
          <w:rFonts w:ascii="Arial" w:eastAsia="Calibri" w:hAnsi="Arial" w:cs="Arial"/>
          <w:bCs/>
          <w:color w:val="000000"/>
          <w:sz w:val="22"/>
          <w:szCs w:val="22"/>
        </w:rPr>
        <w:t xml:space="preserve"> (buprenorphine extended-release injection) </w:t>
      </w:r>
      <w:r w:rsidRPr="00EB7721">
        <w:rPr>
          <w:rFonts w:ascii="Arial" w:eastAsia="Calibri" w:hAnsi="Arial" w:cs="Arial"/>
          <w:bCs/>
          <w:color w:val="000000"/>
          <w:sz w:val="22"/>
          <w:szCs w:val="22"/>
          <w:vertAlign w:val="superscript"/>
        </w:rPr>
        <w:t>PD</w:t>
      </w:r>
    </w:p>
    <w:p w14:paraId="10BE2799" w14:textId="77777777" w:rsidR="003A0D24" w:rsidRPr="00126536" w:rsidRDefault="003A0D24" w:rsidP="00126536">
      <w:pPr>
        <w:pStyle w:val="Heading1"/>
        <w:spacing w:line="276" w:lineRule="auto"/>
        <w:rPr>
          <w:rFonts w:ascii="Arial" w:eastAsia="Yu Gothic Light" w:hAnsi="Arial"/>
          <w:sz w:val="24"/>
          <w:szCs w:val="24"/>
        </w:rPr>
      </w:pPr>
      <w:r w:rsidRPr="00126536">
        <w:rPr>
          <w:rFonts w:ascii="Arial" w:eastAsia="Yu Gothic Light" w:hAnsi="Arial"/>
          <w:sz w:val="24"/>
          <w:szCs w:val="24"/>
        </w:rPr>
        <w:t xml:space="preserve">Abbreviations, Acronyms, and Symbols </w:t>
      </w:r>
    </w:p>
    <w:bookmarkEnd w:id="0"/>
    <w:p w14:paraId="11CEC072" w14:textId="77777777" w:rsidR="0011469E" w:rsidRPr="0011469E" w:rsidRDefault="0011469E" w:rsidP="00864D42">
      <w:pPr>
        <w:autoSpaceDE w:val="0"/>
        <w:autoSpaceDN w:val="0"/>
        <w:adjustRightInd w:val="0"/>
        <w:spacing w:after="120"/>
        <w:rPr>
          <w:rFonts w:ascii="Arial" w:eastAsia="Calibri" w:hAnsi="Arial" w:cs="Arial"/>
          <w:color w:val="000000"/>
          <w:sz w:val="22"/>
          <w:szCs w:val="22"/>
        </w:rPr>
      </w:pPr>
      <w:r w:rsidRPr="0011469E">
        <w:rPr>
          <w:rFonts w:ascii="Arial" w:eastAsia="Calibri" w:hAnsi="Arial" w:cs="Arial"/>
          <w:b/>
          <w:bCs/>
          <w:color w:val="000000"/>
          <w:sz w:val="22"/>
          <w:szCs w:val="22"/>
        </w:rPr>
        <w:t xml:space="preserve"># </w:t>
      </w:r>
      <w:r w:rsidRPr="0011469E">
        <w:rPr>
          <w:rFonts w:ascii="Arial" w:eastAsia="Calibri" w:hAnsi="Arial" w:cs="Arial"/>
          <w:color w:val="000000"/>
          <w:sz w:val="22"/>
          <w:szCs w:val="22"/>
        </w:rPr>
        <w:t xml:space="preserve">This designates a brand-name drug with FDA “A”-rated generic equivalents. PA is required for the brand, unless a particular form of that drug (for example, tablet, capsule, or liquid) does not have an FDA “A”-rated generic equivalent. </w:t>
      </w:r>
    </w:p>
    <w:p w14:paraId="724C949C" w14:textId="77777777" w:rsidR="00495BD1" w:rsidRDefault="00ED337D" w:rsidP="00864D42">
      <w:pPr>
        <w:spacing w:after="120"/>
        <w:ind w:right="547"/>
        <w:rPr>
          <w:rFonts w:ascii="Arial" w:eastAsia="Calibri" w:hAnsi="Arial" w:cs="Arial"/>
          <w:sz w:val="22"/>
          <w:szCs w:val="22"/>
        </w:rPr>
        <w:sectPr w:rsidR="00495BD1" w:rsidSect="003D103D">
          <w:footerReference w:type="default" r:id="rId12"/>
          <w:type w:val="continuous"/>
          <w:pgSz w:w="12240" w:h="15840" w:code="1"/>
          <w:pgMar w:top="360" w:right="907" w:bottom="1080" w:left="907" w:header="720" w:footer="576" w:gutter="0"/>
          <w:cols w:sep="1" w:space="720"/>
          <w:docGrid w:linePitch="360"/>
        </w:sectPr>
      </w:pPr>
      <w:r w:rsidRPr="00ED337D">
        <w:rPr>
          <w:rFonts w:ascii="Arial" w:eastAsia="Calibri" w:hAnsi="Arial" w:cs="Arial"/>
          <w:sz w:val="22"/>
          <w:szCs w:val="22"/>
          <w:vertAlign w:val="superscript"/>
        </w:rPr>
        <w:t>CO</w:t>
      </w:r>
      <w:r>
        <w:rPr>
          <w:rFonts w:ascii="Arial" w:eastAsia="Calibri" w:hAnsi="Arial" w:cs="Arial"/>
          <w:sz w:val="22"/>
          <w:szCs w:val="22"/>
        </w:rPr>
        <w:t xml:space="preserve"> </w:t>
      </w:r>
      <w:r w:rsidRPr="00ED337D">
        <w:rPr>
          <w:rFonts w:ascii="Arial" w:eastAsia="Calibri" w:hAnsi="Arial" w:cs="Arial"/>
          <w:sz w:val="22"/>
          <w:szCs w:val="22"/>
        </w:rPr>
        <w:t xml:space="preserve">Carve-Out. This agent is listed on the Acute Hospital Carve-Out Drugs List and is subject to additional monitoring and billing requirements. All requests for one-time cell and gene therapies (as listed on the Acute Hospital Carve-Out Drug List), including for members enrolled in an Accountable </w:t>
      </w:r>
    </w:p>
    <w:p w14:paraId="061D4CA9" w14:textId="56A03637" w:rsidR="00ED337D" w:rsidRPr="00ED337D" w:rsidRDefault="00ED337D" w:rsidP="00864D42">
      <w:pPr>
        <w:spacing w:after="120"/>
        <w:ind w:right="547"/>
        <w:rPr>
          <w:rFonts w:ascii="Arial" w:eastAsia="Calibri" w:hAnsi="Arial" w:cs="Arial"/>
          <w:sz w:val="22"/>
          <w:szCs w:val="22"/>
        </w:rPr>
      </w:pPr>
      <w:proofErr w:type="gramStart"/>
      <w:r w:rsidRPr="00ED337D">
        <w:rPr>
          <w:rFonts w:ascii="Arial" w:eastAsia="Calibri" w:hAnsi="Arial" w:cs="Arial"/>
          <w:sz w:val="22"/>
          <w:szCs w:val="22"/>
        </w:rPr>
        <w:lastRenderedPageBreak/>
        <w:t>Care</w:t>
      </w:r>
      <w:proofErr w:type="gramEnd"/>
      <w:r w:rsidRPr="00ED337D">
        <w:rPr>
          <w:rFonts w:ascii="Arial" w:eastAsia="Calibri" w:hAnsi="Arial" w:cs="Arial"/>
          <w:sz w:val="22"/>
          <w:szCs w:val="22"/>
        </w:rPr>
        <w:t xml:space="preserve"> Partnership Plan (ACPP) or Managed Care Organization (MCO), will be reviewed by the MassHealth Drug Utilization Review (DUR) Program.</w:t>
      </w:r>
    </w:p>
    <w:p w14:paraId="43B9873E" w14:textId="0618F28A" w:rsidR="0011469E" w:rsidRPr="0011469E" w:rsidRDefault="0011469E" w:rsidP="00864D42">
      <w:pPr>
        <w:spacing w:after="120"/>
        <w:ind w:right="547"/>
        <w:rPr>
          <w:rFonts w:ascii="Arial" w:eastAsia="Calibri" w:hAnsi="Arial" w:cs="Arial"/>
          <w:sz w:val="22"/>
          <w:szCs w:val="22"/>
          <w:highlight w:val="yellow"/>
        </w:rPr>
      </w:pPr>
      <w:r w:rsidRPr="0011469E">
        <w:rPr>
          <w:rFonts w:ascii="Arial" w:eastAsia="Calibri" w:hAnsi="Arial" w:cs="Arial"/>
          <w:sz w:val="22"/>
          <w:szCs w:val="22"/>
          <w:vertAlign w:val="superscript"/>
        </w:rPr>
        <w:t>MB</w:t>
      </w:r>
      <w:r w:rsidRPr="0011469E">
        <w:rPr>
          <w:rFonts w:ascii="Arial" w:eastAsia="Calibri" w:hAnsi="Arial" w:cs="Arial"/>
          <w:sz w:val="22"/>
          <w:szCs w:val="22"/>
        </w:rPr>
        <w:t xml:space="preserve"> This drug is available through the healthcare professional who administers the drug or in an outpatient or inpatient hospital setting. MassHealth does not pay for this drug to be dispensed through the retail pharmacy. If listed, PA does not apply through the hospital outpatient and inpatient settings. Please refer to 130 CMR 433.408 for PA requirements for other healthcare professionals. Notwithstanding the above, this drug may be an exception to the unified pharmacy policy; please refer to respective MassHealth Accountable Care Partnership Plans (ACPPs) and Managed Care Organizations (MCOs) for PA status and criteria, if applicable.</w:t>
      </w:r>
    </w:p>
    <w:p w14:paraId="3F862758" w14:textId="77777777" w:rsidR="0011469E" w:rsidRPr="0011469E" w:rsidRDefault="0011469E" w:rsidP="00864D42">
      <w:pPr>
        <w:autoSpaceDE w:val="0"/>
        <w:autoSpaceDN w:val="0"/>
        <w:adjustRightInd w:val="0"/>
        <w:spacing w:after="120"/>
        <w:rPr>
          <w:rFonts w:ascii="Arial" w:eastAsia="Calibri" w:hAnsi="Arial" w:cs="Arial"/>
          <w:bCs/>
          <w:color w:val="000000"/>
          <w:sz w:val="22"/>
          <w:szCs w:val="22"/>
        </w:rPr>
      </w:pPr>
      <w:r w:rsidRPr="0011469E">
        <w:rPr>
          <w:rFonts w:ascii="Arial" w:eastAsia="Calibri" w:hAnsi="Arial" w:cs="Arial"/>
          <w:b/>
          <w:bCs/>
          <w:color w:val="000000"/>
          <w:sz w:val="22"/>
          <w:szCs w:val="22"/>
        </w:rPr>
        <w:t>*</w:t>
      </w:r>
      <w:r w:rsidRPr="0011469E">
        <w:rPr>
          <w:rFonts w:ascii="Arial" w:eastAsia="Calibri" w:hAnsi="Arial" w:cs="Arial"/>
          <w:bCs/>
          <w:color w:val="000000"/>
          <w:sz w:val="22"/>
          <w:szCs w:val="22"/>
        </w:rPr>
        <w:t xml:space="preserve"> The generic OTC and, if any, generic prescription versions of the drug are payable under MassHealth without PA.</w:t>
      </w:r>
    </w:p>
    <w:p w14:paraId="18A0424C" w14:textId="77777777" w:rsidR="0011469E" w:rsidRPr="0011469E" w:rsidRDefault="0011469E" w:rsidP="00864D42">
      <w:pPr>
        <w:autoSpaceDE w:val="0"/>
        <w:autoSpaceDN w:val="0"/>
        <w:adjustRightInd w:val="0"/>
        <w:spacing w:after="120"/>
        <w:rPr>
          <w:rFonts w:ascii="Arial" w:eastAsia="Calibri" w:hAnsi="Arial" w:cs="Arial"/>
          <w:color w:val="000000"/>
          <w:sz w:val="22"/>
          <w:szCs w:val="22"/>
        </w:rPr>
      </w:pPr>
      <w:r w:rsidRPr="0011469E">
        <w:rPr>
          <w:rFonts w:ascii="Arial" w:eastAsia="Calibri" w:hAnsi="Arial" w:cs="Arial"/>
          <w:b/>
          <w:bCs/>
          <w:color w:val="000000"/>
          <w:sz w:val="22"/>
          <w:szCs w:val="22"/>
        </w:rPr>
        <w:t xml:space="preserve">PA </w:t>
      </w:r>
      <w:r w:rsidRPr="0011469E">
        <w:rPr>
          <w:rFonts w:ascii="Arial" w:eastAsia="Calibri" w:hAnsi="Arial" w:cs="Arial"/>
          <w:color w:val="000000"/>
          <w:sz w:val="22"/>
          <w:szCs w:val="22"/>
        </w:rPr>
        <w:t xml:space="preserve">Prior authorization is required. The prescriber must obtain PA for the drug </w:t>
      </w:r>
      <w:proofErr w:type="gramStart"/>
      <w:r w:rsidRPr="0011469E">
        <w:rPr>
          <w:rFonts w:ascii="Arial" w:eastAsia="Calibri" w:hAnsi="Arial" w:cs="Arial"/>
          <w:color w:val="000000"/>
          <w:sz w:val="22"/>
          <w:szCs w:val="22"/>
        </w:rPr>
        <w:t>in order for</w:t>
      </w:r>
      <w:proofErr w:type="gramEnd"/>
      <w:r w:rsidRPr="0011469E">
        <w:rPr>
          <w:rFonts w:ascii="Arial" w:eastAsia="Calibri" w:hAnsi="Arial" w:cs="Arial"/>
          <w:color w:val="000000"/>
          <w:sz w:val="22"/>
          <w:szCs w:val="22"/>
        </w:rPr>
        <w:t xml:space="preserve"> the provider to receive reimbursement. Note: PA applies to both the brand-name and the FDA “A”-rated generic equivalent of listed product. </w:t>
      </w:r>
    </w:p>
    <w:p w14:paraId="571C2397" w14:textId="77777777" w:rsidR="0011469E" w:rsidRPr="0011469E" w:rsidRDefault="0011469E" w:rsidP="00864D42">
      <w:pPr>
        <w:spacing w:after="120"/>
        <w:ind w:right="547"/>
        <w:rPr>
          <w:rFonts w:ascii="Arial" w:eastAsia="Calibri" w:hAnsi="Arial" w:cs="Arial"/>
          <w:sz w:val="22"/>
          <w:szCs w:val="22"/>
        </w:rPr>
      </w:pPr>
      <w:r w:rsidRPr="0011469E">
        <w:rPr>
          <w:rFonts w:ascii="Arial" w:eastAsia="Calibri" w:hAnsi="Arial" w:cs="Arial"/>
          <w:b/>
          <w:sz w:val="22"/>
          <w:szCs w:val="22"/>
          <w:vertAlign w:val="superscript"/>
        </w:rPr>
        <w:t>A90</w:t>
      </w:r>
      <w:r w:rsidRPr="0011469E">
        <w:rPr>
          <w:rFonts w:ascii="Arial" w:eastAsia="Calibri" w:hAnsi="Arial" w:cs="Arial"/>
          <w:sz w:val="22"/>
          <w:szCs w:val="22"/>
        </w:rPr>
        <w:t xml:space="preserve"> Allowable 90-day supply. </w:t>
      </w:r>
      <w:proofErr w:type="gramStart"/>
      <w:r w:rsidRPr="0011469E">
        <w:rPr>
          <w:rFonts w:ascii="Arial" w:eastAsia="Calibri" w:hAnsi="Arial" w:cs="Arial"/>
          <w:sz w:val="22"/>
          <w:szCs w:val="22"/>
        </w:rPr>
        <w:t>Dispensing in</w:t>
      </w:r>
      <w:proofErr w:type="gramEnd"/>
      <w:r w:rsidRPr="0011469E">
        <w:rPr>
          <w:rFonts w:ascii="Arial" w:eastAsia="Calibri" w:hAnsi="Arial" w:cs="Arial"/>
          <w:sz w:val="22"/>
          <w:szCs w:val="22"/>
        </w:rPr>
        <w:t xml:space="preserve"> up to a 90-day supply is allowed. May not include all strengths or formulations. Quantity limits and other restrictions may apply. </w:t>
      </w:r>
    </w:p>
    <w:p w14:paraId="6D8E4AB8" w14:textId="77777777" w:rsidR="0011469E" w:rsidRPr="0011469E" w:rsidRDefault="0011469E" w:rsidP="00864D42">
      <w:pPr>
        <w:spacing w:after="120"/>
        <w:ind w:right="547"/>
        <w:rPr>
          <w:rFonts w:ascii="Arial" w:eastAsia="Calibri" w:hAnsi="Arial" w:cs="Arial"/>
          <w:sz w:val="22"/>
          <w:szCs w:val="22"/>
        </w:rPr>
      </w:pPr>
      <w:r w:rsidRPr="0011469E">
        <w:rPr>
          <w:rFonts w:ascii="Arial" w:eastAsia="Calibri" w:hAnsi="Arial" w:cs="Arial"/>
          <w:b/>
          <w:sz w:val="22"/>
          <w:szCs w:val="22"/>
          <w:vertAlign w:val="superscript"/>
        </w:rPr>
        <w:t>BP</w:t>
      </w:r>
      <w:r w:rsidRPr="0011469E">
        <w:rPr>
          <w:rFonts w:ascii="Arial" w:eastAsia="Calibri" w:hAnsi="Arial" w:cs="Arial"/>
          <w:sz w:val="22"/>
          <w:szCs w:val="22"/>
        </w:rPr>
        <w:t xml:space="preserve"> Brand Preferred over generic equivalents. In general, MassHealth requires a trial of the preferred drug or clinical rationale for prescribing the non-preferred drug generic equivalent.</w:t>
      </w:r>
    </w:p>
    <w:p w14:paraId="42D6231D" w14:textId="04AB314F" w:rsidR="0011469E" w:rsidRPr="0011469E" w:rsidRDefault="0011469E" w:rsidP="00864D42">
      <w:pPr>
        <w:spacing w:after="120"/>
        <w:ind w:right="547"/>
        <w:rPr>
          <w:rFonts w:ascii="Arial" w:eastAsia="Calibri" w:hAnsi="Arial" w:cs="Arial"/>
          <w:sz w:val="32"/>
          <w:szCs w:val="22"/>
        </w:rPr>
      </w:pPr>
      <w:bookmarkStart w:id="5" w:name="_Hlk99013636"/>
      <w:r w:rsidRPr="0011469E">
        <w:rPr>
          <w:rFonts w:ascii="Arial" w:eastAsia="Calibri" w:hAnsi="Arial" w:cs="Arial"/>
          <w:b/>
          <w:sz w:val="22"/>
          <w:szCs w:val="22"/>
          <w:vertAlign w:val="superscript"/>
        </w:rPr>
        <w:t>M90</w:t>
      </w:r>
      <w:r w:rsidRPr="0011469E">
        <w:rPr>
          <w:rFonts w:ascii="Arial" w:eastAsia="Calibri" w:hAnsi="Arial" w:cs="Arial"/>
          <w:sz w:val="22"/>
          <w:szCs w:val="22"/>
        </w:rPr>
        <w:t xml:space="preserve"> Mandatory 90-day supply. After dispensing up to a 30-day supply initial fill, dispensing in a 90-day supply is required. May not include all strengths or formulations. Quantity limits and other restrictions may also apply. </w:t>
      </w:r>
    </w:p>
    <w:p w14:paraId="6D7C14B6" w14:textId="09052F48" w:rsidR="00A66AFB" w:rsidRPr="00BC084C" w:rsidRDefault="0011469E" w:rsidP="00864D42">
      <w:pPr>
        <w:spacing w:after="120"/>
        <w:ind w:right="547"/>
        <w:rPr>
          <w:rFonts w:ascii="Arial" w:eastAsia="Calibri" w:hAnsi="Arial" w:cs="Arial"/>
          <w:sz w:val="22"/>
          <w:szCs w:val="22"/>
        </w:rPr>
      </w:pPr>
      <w:proofErr w:type="gramStart"/>
      <w:r w:rsidRPr="0011469E">
        <w:rPr>
          <w:rFonts w:ascii="Arial" w:eastAsia="Calibri" w:hAnsi="Arial" w:cs="Arial"/>
          <w:b/>
          <w:sz w:val="22"/>
          <w:szCs w:val="22"/>
          <w:vertAlign w:val="superscript"/>
        </w:rPr>
        <w:t>PD</w:t>
      </w:r>
      <w:proofErr w:type="gramEnd"/>
      <w:r w:rsidRPr="0011469E">
        <w:rPr>
          <w:rFonts w:ascii="Arial" w:eastAsia="Calibri" w:hAnsi="Arial" w:cs="Arial"/>
          <w:sz w:val="22"/>
          <w:szCs w:val="22"/>
        </w:rPr>
        <w:t xml:space="preserve"> Preferred Drug. In general, MassHealth requires a trial of the preferred drug or clinical rationale for prescribing a non-preferred drug within a therapeutic class.</w:t>
      </w:r>
      <w:bookmarkEnd w:id="5"/>
    </w:p>
    <w:sectPr w:rsidR="00A66AFB" w:rsidRPr="00BC084C" w:rsidSect="00495BD1">
      <w:footerReference w:type="default" r:id="rId13"/>
      <w:pgSz w:w="12240" w:h="15840" w:code="1"/>
      <w:pgMar w:top="360" w:right="907" w:bottom="1080" w:left="907" w:header="720"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2F375" w14:textId="77777777" w:rsidR="00DC28A6" w:rsidRDefault="00DC28A6" w:rsidP="00492602">
      <w:r>
        <w:separator/>
      </w:r>
    </w:p>
    <w:p w14:paraId="0152BABB" w14:textId="77777777" w:rsidR="00DC28A6" w:rsidRDefault="00DC28A6"/>
  </w:endnote>
  <w:endnote w:type="continuationSeparator" w:id="0">
    <w:p w14:paraId="6739719A" w14:textId="77777777" w:rsidR="00DC28A6" w:rsidRDefault="00DC28A6" w:rsidP="00492602">
      <w:r>
        <w:continuationSeparator/>
      </w:r>
    </w:p>
    <w:p w14:paraId="21C804D4" w14:textId="77777777" w:rsidR="00DC28A6" w:rsidRDefault="00DC28A6"/>
  </w:endnote>
  <w:endnote w:type="continuationNotice" w:id="1">
    <w:p w14:paraId="41D1470A" w14:textId="77777777" w:rsidR="00DC28A6" w:rsidRDefault="00DC28A6"/>
    <w:p w14:paraId="149F24B3" w14:textId="77777777" w:rsidR="00DC28A6" w:rsidRDefault="00DC2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FF02" w14:textId="77777777" w:rsidR="00637A67" w:rsidRDefault="006D3B5F" w:rsidP="00AF19BA">
    <w:pPr>
      <w:pStyle w:val="Foote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19E2" w14:textId="77777777" w:rsidR="00E91925" w:rsidRDefault="00E91925" w:rsidP="00E91925">
    <w:pPr>
      <w:pStyle w:val="Footer"/>
      <w:pBdr>
        <w:top w:val="single" w:sz="18" w:space="1" w:color="auto"/>
      </w:pBdr>
      <w:tabs>
        <w:tab w:val="clear" w:pos="4680"/>
        <w:tab w:val="clear" w:pos="9360"/>
        <w:tab w:val="left" w:pos="3840"/>
      </w:tabs>
      <w:spacing w:before="120"/>
    </w:pPr>
    <w:r>
      <w:tab/>
    </w:r>
  </w:p>
  <w:p w14:paraId="1D4B9191"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75C0" w14:textId="77777777" w:rsidR="001F1D64" w:rsidRDefault="001F1D64" w:rsidP="001F1D64">
    <w:pPr>
      <w:pBdr>
        <w:top w:val="single" w:sz="18" w:space="1" w:color="auto"/>
      </w:pBdr>
      <w:tabs>
        <w:tab w:val="left" w:pos="-90"/>
        <w:tab w:val="left" w:pos="530"/>
        <w:tab w:val="center" w:pos="5400"/>
      </w:tabs>
      <w:autoSpaceDE w:val="0"/>
      <w:autoSpaceDN w:val="0"/>
      <w:adjustRightInd w:val="0"/>
      <w:textAlignment w:val="baseline"/>
      <w:rPr>
        <w:rFonts w:ascii="Arial" w:hAnsi="Arial" w:cs="Arial"/>
        <w:iCs/>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278D" w14:textId="77777777" w:rsidR="00495BD1" w:rsidRDefault="00495BD1" w:rsidP="001F1D64">
    <w:pPr>
      <w:pBdr>
        <w:top w:val="single" w:sz="18" w:space="1" w:color="auto"/>
      </w:pBdr>
      <w:tabs>
        <w:tab w:val="left" w:pos="-90"/>
        <w:tab w:val="left" w:pos="530"/>
        <w:tab w:val="center" w:pos="5400"/>
      </w:tabs>
      <w:autoSpaceDE w:val="0"/>
      <w:autoSpaceDN w:val="0"/>
      <w:adjustRightInd w:val="0"/>
      <w:textAlignment w:val="baseline"/>
      <w:rPr>
        <w:rFonts w:ascii="Arial" w:hAnsi="Arial" w:cs="Arial"/>
        <w:iCs/>
        <w:sz w:val="18"/>
        <w:szCs w:val="18"/>
      </w:rPr>
    </w:pPr>
  </w:p>
  <w:p w14:paraId="22CD3067" w14:textId="77777777" w:rsidR="00495BD1" w:rsidRDefault="00495BD1" w:rsidP="001F1D64">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requests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34C6B3A3" w14:textId="77777777" w:rsidR="00495BD1" w:rsidRDefault="00495BD1" w:rsidP="001F1D64">
    <w:pPr>
      <w:tabs>
        <w:tab w:val="left" w:pos="-90"/>
      </w:tabs>
      <w:autoSpaceDE w:val="0"/>
      <w:autoSpaceDN w:val="0"/>
      <w:adjustRightInd w:val="0"/>
      <w:jc w:val="center"/>
      <w:textAlignment w:val="baseline"/>
    </w:pPr>
    <w:hyperlink r:id="rId1" w:history="1">
      <w:r w:rsidRPr="00386AF8">
        <w:rPr>
          <w:rStyle w:val="Hyperlink"/>
          <w:rFonts w:ascii="Arial" w:hAnsi="Arial" w:cs="Arial"/>
          <w:iCs/>
          <w:sz w:val="18"/>
          <w:szCs w:val="18"/>
        </w:rPr>
        <w:t>PharmFactsMA@Conduent.com</w:t>
      </w:r>
    </w:hyperlink>
    <w:r>
      <w:rPr>
        <w:rFonts w:ascii="Arial" w:hAnsi="Arial"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5DA42" w14:textId="77777777" w:rsidR="00DC28A6" w:rsidRDefault="00DC28A6" w:rsidP="00492602">
      <w:r>
        <w:separator/>
      </w:r>
    </w:p>
    <w:p w14:paraId="1CC2E999" w14:textId="77777777" w:rsidR="00DC28A6" w:rsidRDefault="00DC28A6"/>
  </w:footnote>
  <w:footnote w:type="continuationSeparator" w:id="0">
    <w:p w14:paraId="170AD00D" w14:textId="77777777" w:rsidR="00DC28A6" w:rsidRDefault="00DC28A6" w:rsidP="00492602">
      <w:r>
        <w:continuationSeparator/>
      </w:r>
    </w:p>
    <w:p w14:paraId="14DC3201" w14:textId="77777777" w:rsidR="00DC28A6" w:rsidRDefault="00DC28A6"/>
  </w:footnote>
  <w:footnote w:type="continuationNotice" w:id="1">
    <w:p w14:paraId="1A64980B" w14:textId="77777777" w:rsidR="00DC28A6" w:rsidRDefault="00DC28A6"/>
    <w:p w14:paraId="2029973E" w14:textId="77777777" w:rsidR="00DC28A6" w:rsidRDefault="00DC28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742E" w14:textId="7B42EEEB" w:rsidR="00492602" w:rsidRDefault="00FC532A" w:rsidP="00FC532A">
    <w:pPr>
      <w:pStyle w:val="Default"/>
      <w:pBdr>
        <w:bottom w:val="single" w:sz="18" w:space="1" w:color="auto"/>
      </w:pBdr>
      <w:tabs>
        <w:tab w:val="right" w:pos="10440"/>
      </w:tabs>
      <w:spacing w:after="240"/>
    </w:pPr>
    <w:r w:rsidRPr="00AD18B8">
      <w:rPr>
        <w:sz w:val="18"/>
        <w:szCs w:val="18"/>
      </w:rPr>
      <w:t>P</w:t>
    </w:r>
    <w:r>
      <w:rPr>
        <w:sz w:val="18"/>
        <w:szCs w:val="18"/>
      </w:rPr>
      <w:t>harmacy Facts, Number 2</w:t>
    </w:r>
    <w:r w:rsidR="00533E75">
      <w:rPr>
        <w:sz w:val="18"/>
        <w:szCs w:val="18"/>
      </w:rPr>
      <w:t>47</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sz w:val="18"/>
        <w:szCs w:val="18"/>
      </w:rPr>
      <w:t>2</w:t>
    </w:r>
    <w:r w:rsidRPr="00EC1948">
      <w:rPr>
        <w:noProof/>
        <w:color w:val="auto"/>
        <w:sz w:val="18"/>
        <w:szCs w:val="18"/>
      </w:rPr>
      <w:fldChar w:fldCharType="end"/>
    </w:r>
    <w:r w:rsidRPr="00EC1948">
      <w:rPr>
        <w:noProof/>
        <w:color w:val="auto"/>
        <w:sz w:val="18"/>
        <w:szCs w:val="18"/>
      </w:rPr>
      <w:t xml:space="preserve"> of </w:t>
    </w:r>
    <w:r w:rsidR="004945E1">
      <w:rPr>
        <w:noProof/>
        <w:color w:val="auto"/>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84A"/>
    <w:multiLevelType w:val="hybridMultilevel"/>
    <w:tmpl w:val="9844F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D40758"/>
    <w:multiLevelType w:val="hybridMultilevel"/>
    <w:tmpl w:val="BE52F1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B25C2"/>
    <w:multiLevelType w:val="hybridMultilevel"/>
    <w:tmpl w:val="7A243E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0F4126D"/>
    <w:multiLevelType w:val="hybridMultilevel"/>
    <w:tmpl w:val="4CC6C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5E5384"/>
    <w:multiLevelType w:val="hybridMultilevel"/>
    <w:tmpl w:val="9FB42C00"/>
    <w:lvl w:ilvl="0" w:tplc="04090019">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7101D2D"/>
    <w:multiLevelType w:val="hybridMultilevel"/>
    <w:tmpl w:val="3D6E0D9C"/>
    <w:lvl w:ilvl="0" w:tplc="8F52B0D6">
      <w:start w:val="1"/>
      <w:numFmt w:val="lowerLetter"/>
      <w:lvlText w:val="%1."/>
      <w:lvlJc w:val="left"/>
      <w:pPr>
        <w:ind w:left="720" w:hanging="360"/>
      </w:pPr>
      <w:rPr>
        <w:rFonts w:ascii="Arial" w:eastAsia="Calibri" w:hAnsi="Arial" w:cs="Arial"/>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623CE8"/>
    <w:multiLevelType w:val="hybridMultilevel"/>
    <w:tmpl w:val="939E87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861E34"/>
    <w:multiLevelType w:val="hybridMultilevel"/>
    <w:tmpl w:val="EE8626C4"/>
    <w:lvl w:ilvl="0" w:tplc="FFFFFFFF">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62F132B"/>
    <w:multiLevelType w:val="hybridMultilevel"/>
    <w:tmpl w:val="DCD45CE8"/>
    <w:lvl w:ilvl="0" w:tplc="6D74651E">
      <w:start w:val="1"/>
      <w:numFmt w:val="bullet"/>
      <w:lvlText w:val=""/>
      <w:lvlJc w:val="left"/>
      <w:pPr>
        <w:ind w:left="3240" w:hanging="360"/>
      </w:pPr>
      <w:rPr>
        <w:rFonts w:ascii="Symbol" w:hAnsi="Symbol" w:hint="default"/>
        <w:sz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14711A3"/>
    <w:multiLevelType w:val="hybridMultilevel"/>
    <w:tmpl w:val="C0BEB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74B33850"/>
    <w:multiLevelType w:val="hybridMultilevel"/>
    <w:tmpl w:val="1B5C1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F818B9"/>
    <w:multiLevelType w:val="hybridMultilevel"/>
    <w:tmpl w:val="0BFAB3F0"/>
    <w:lvl w:ilvl="0" w:tplc="9292771E">
      <w:start w:val="1"/>
      <w:numFmt w:val="bullet"/>
      <w:lvlText w:val=""/>
      <w:lvlJc w:val="left"/>
      <w:pPr>
        <w:ind w:left="720" w:hanging="360"/>
      </w:pPr>
      <w:rPr>
        <w:rFonts w:ascii="Symbol" w:hAnsi="Symbol" w:hint="default"/>
        <w:sz w:val="24"/>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54F3A45"/>
    <w:multiLevelType w:val="hybridMultilevel"/>
    <w:tmpl w:val="DDF22D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3554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6355459">
    <w:abstractNumId w:val="7"/>
  </w:num>
  <w:num w:numId="3" w16cid:durableId="1440756553">
    <w:abstractNumId w:val="9"/>
  </w:num>
  <w:num w:numId="4" w16cid:durableId="430320299">
    <w:abstractNumId w:val="8"/>
  </w:num>
  <w:num w:numId="5" w16cid:durableId="1925021050">
    <w:abstractNumId w:val="11"/>
  </w:num>
  <w:num w:numId="6" w16cid:durableId="1994794362">
    <w:abstractNumId w:val="10"/>
  </w:num>
  <w:num w:numId="7" w16cid:durableId="1587690349">
    <w:abstractNumId w:val="13"/>
  </w:num>
  <w:num w:numId="8" w16cid:durableId="62288421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4758683">
    <w:abstractNumId w:val="6"/>
  </w:num>
  <w:num w:numId="10" w16cid:durableId="1755274681">
    <w:abstractNumId w:val="1"/>
  </w:num>
  <w:num w:numId="11" w16cid:durableId="1952396013">
    <w:abstractNumId w:val="12"/>
  </w:num>
  <w:num w:numId="12" w16cid:durableId="2062509776">
    <w:abstractNumId w:val="3"/>
  </w:num>
  <w:num w:numId="13" w16cid:durableId="24716128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7287191">
    <w:abstractNumId w:val="9"/>
  </w:num>
  <w:num w:numId="15" w16cid:durableId="471563278">
    <w:abstractNumId w:val="2"/>
  </w:num>
  <w:num w:numId="16" w16cid:durableId="1297836952">
    <w:abstractNumId w:val="0"/>
  </w:num>
  <w:num w:numId="17" w16cid:durableId="214002588">
    <w:abstractNumId w:val="8"/>
  </w:num>
  <w:num w:numId="18" w16cid:durableId="716315486">
    <w:abstractNumId w:val="11"/>
  </w:num>
  <w:num w:numId="19" w16cid:durableId="309795437">
    <w:abstractNumId w:val="7"/>
  </w:num>
  <w:num w:numId="20" w16cid:durableId="4865557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816370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01072"/>
    <w:rsid w:val="00015518"/>
    <w:rsid w:val="00016D4B"/>
    <w:rsid w:val="0002770E"/>
    <w:rsid w:val="00032F24"/>
    <w:rsid w:val="00041BB3"/>
    <w:rsid w:val="000426B0"/>
    <w:rsid w:val="0005108C"/>
    <w:rsid w:val="00054839"/>
    <w:rsid w:val="000627D3"/>
    <w:rsid w:val="00065861"/>
    <w:rsid w:val="00066D40"/>
    <w:rsid w:val="00074014"/>
    <w:rsid w:val="0008078E"/>
    <w:rsid w:val="00081E8E"/>
    <w:rsid w:val="000924D7"/>
    <w:rsid w:val="000A377D"/>
    <w:rsid w:val="000A6455"/>
    <w:rsid w:val="000A7CE1"/>
    <w:rsid w:val="000B13AF"/>
    <w:rsid w:val="000B340B"/>
    <w:rsid w:val="000C4B1B"/>
    <w:rsid w:val="000C6C12"/>
    <w:rsid w:val="000D1502"/>
    <w:rsid w:val="000E15C7"/>
    <w:rsid w:val="001018B6"/>
    <w:rsid w:val="00103B6C"/>
    <w:rsid w:val="0011469E"/>
    <w:rsid w:val="00126432"/>
    <w:rsid w:val="00126536"/>
    <w:rsid w:val="0013361D"/>
    <w:rsid w:val="00136292"/>
    <w:rsid w:val="00137D3D"/>
    <w:rsid w:val="001405EC"/>
    <w:rsid w:val="00140D08"/>
    <w:rsid w:val="00147437"/>
    <w:rsid w:val="00147B32"/>
    <w:rsid w:val="00157A49"/>
    <w:rsid w:val="001721D8"/>
    <w:rsid w:val="0018192D"/>
    <w:rsid w:val="00183133"/>
    <w:rsid w:val="0018357E"/>
    <w:rsid w:val="0018410B"/>
    <w:rsid w:val="001864A9"/>
    <w:rsid w:val="0019075F"/>
    <w:rsid w:val="001A73F0"/>
    <w:rsid w:val="001B615D"/>
    <w:rsid w:val="001C1481"/>
    <w:rsid w:val="001C17CD"/>
    <w:rsid w:val="001C66AD"/>
    <w:rsid w:val="001D35B4"/>
    <w:rsid w:val="001D4CF3"/>
    <w:rsid w:val="001D78C9"/>
    <w:rsid w:val="001E0E7A"/>
    <w:rsid w:val="001E537A"/>
    <w:rsid w:val="001E7644"/>
    <w:rsid w:val="001F1D64"/>
    <w:rsid w:val="001F701D"/>
    <w:rsid w:val="001F799D"/>
    <w:rsid w:val="00232B02"/>
    <w:rsid w:val="002509E9"/>
    <w:rsid w:val="0025647E"/>
    <w:rsid w:val="00256E8B"/>
    <w:rsid w:val="00262053"/>
    <w:rsid w:val="0027289D"/>
    <w:rsid w:val="00274FFA"/>
    <w:rsid w:val="00276A80"/>
    <w:rsid w:val="00276F3A"/>
    <w:rsid w:val="002823C9"/>
    <w:rsid w:val="00284D59"/>
    <w:rsid w:val="00286CBE"/>
    <w:rsid w:val="00291313"/>
    <w:rsid w:val="002C2242"/>
    <w:rsid w:val="002C3126"/>
    <w:rsid w:val="002C3773"/>
    <w:rsid w:val="002C54C4"/>
    <w:rsid w:val="002C690F"/>
    <w:rsid w:val="002C7C67"/>
    <w:rsid w:val="002D390F"/>
    <w:rsid w:val="002D7292"/>
    <w:rsid w:val="002D738C"/>
    <w:rsid w:val="002E5ED1"/>
    <w:rsid w:val="002E6A28"/>
    <w:rsid w:val="002F0ACB"/>
    <w:rsid w:val="002F5C29"/>
    <w:rsid w:val="002F7813"/>
    <w:rsid w:val="003062E4"/>
    <w:rsid w:val="003152DA"/>
    <w:rsid w:val="00324D21"/>
    <w:rsid w:val="0033053B"/>
    <w:rsid w:val="00352CE6"/>
    <w:rsid w:val="0035740B"/>
    <w:rsid w:val="00360067"/>
    <w:rsid w:val="00363377"/>
    <w:rsid w:val="0036343A"/>
    <w:rsid w:val="00364DA1"/>
    <w:rsid w:val="0037373E"/>
    <w:rsid w:val="003742C0"/>
    <w:rsid w:val="003818C8"/>
    <w:rsid w:val="00381A1E"/>
    <w:rsid w:val="00382054"/>
    <w:rsid w:val="00383A87"/>
    <w:rsid w:val="003851AF"/>
    <w:rsid w:val="003A0D24"/>
    <w:rsid w:val="003A7A64"/>
    <w:rsid w:val="003B3B03"/>
    <w:rsid w:val="003B6839"/>
    <w:rsid w:val="003C525F"/>
    <w:rsid w:val="003D103D"/>
    <w:rsid w:val="003D1841"/>
    <w:rsid w:val="004005D7"/>
    <w:rsid w:val="00400D00"/>
    <w:rsid w:val="00402C3A"/>
    <w:rsid w:val="00410B13"/>
    <w:rsid w:val="00412B95"/>
    <w:rsid w:val="00417EB4"/>
    <w:rsid w:val="00424249"/>
    <w:rsid w:val="00426464"/>
    <w:rsid w:val="00435431"/>
    <w:rsid w:val="0043707B"/>
    <w:rsid w:val="004417DC"/>
    <w:rsid w:val="004421F0"/>
    <w:rsid w:val="0044714D"/>
    <w:rsid w:val="00447A5F"/>
    <w:rsid w:val="00447C59"/>
    <w:rsid w:val="00464DAC"/>
    <w:rsid w:val="004664D3"/>
    <w:rsid w:val="00466A33"/>
    <w:rsid w:val="0047632A"/>
    <w:rsid w:val="00476ACE"/>
    <w:rsid w:val="0048705C"/>
    <w:rsid w:val="00487D51"/>
    <w:rsid w:val="0049118A"/>
    <w:rsid w:val="00492602"/>
    <w:rsid w:val="00494180"/>
    <w:rsid w:val="0049421E"/>
    <w:rsid w:val="004945E1"/>
    <w:rsid w:val="00495BD1"/>
    <w:rsid w:val="004A1D1C"/>
    <w:rsid w:val="004A3BAA"/>
    <w:rsid w:val="004A7395"/>
    <w:rsid w:val="004B4902"/>
    <w:rsid w:val="004C4924"/>
    <w:rsid w:val="004D4593"/>
    <w:rsid w:val="004D73F0"/>
    <w:rsid w:val="004F5612"/>
    <w:rsid w:val="0050063A"/>
    <w:rsid w:val="00503A62"/>
    <w:rsid w:val="00516394"/>
    <w:rsid w:val="0051726C"/>
    <w:rsid w:val="00522E88"/>
    <w:rsid w:val="005314A6"/>
    <w:rsid w:val="00533E75"/>
    <w:rsid w:val="00540F53"/>
    <w:rsid w:val="0054769A"/>
    <w:rsid w:val="005502E1"/>
    <w:rsid w:val="00551597"/>
    <w:rsid w:val="00552F50"/>
    <w:rsid w:val="0056481B"/>
    <w:rsid w:val="00571898"/>
    <w:rsid w:val="00574F07"/>
    <w:rsid w:val="00581E50"/>
    <w:rsid w:val="005842A0"/>
    <w:rsid w:val="00587A3E"/>
    <w:rsid w:val="005958DD"/>
    <w:rsid w:val="005A0EB2"/>
    <w:rsid w:val="005A57BA"/>
    <w:rsid w:val="005C1B4C"/>
    <w:rsid w:val="005C6454"/>
    <w:rsid w:val="005D4363"/>
    <w:rsid w:val="005D6832"/>
    <w:rsid w:val="005E479A"/>
    <w:rsid w:val="005E608B"/>
    <w:rsid w:val="005E77E2"/>
    <w:rsid w:val="005E7C55"/>
    <w:rsid w:val="005F00EF"/>
    <w:rsid w:val="005F3677"/>
    <w:rsid w:val="00602498"/>
    <w:rsid w:val="00603517"/>
    <w:rsid w:val="006161A5"/>
    <w:rsid w:val="00617A9C"/>
    <w:rsid w:val="006220AB"/>
    <w:rsid w:val="00623469"/>
    <w:rsid w:val="00627D3C"/>
    <w:rsid w:val="006302EF"/>
    <w:rsid w:val="00637A67"/>
    <w:rsid w:val="006408FB"/>
    <w:rsid w:val="006421B9"/>
    <w:rsid w:val="006431A3"/>
    <w:rsid w:val="00647298"/>
    <w:rsid w:val="00650095"/>
    <w:rsid w:val="00651CA7"/>
    <w:rsid w:val="00652261"/>
    <w:rsid w:val="00661841"/>
    <w:rsid w:val="00663BDB"/>
    <w:rsid w:val="00666BCC"/>
    <w:rsid w:val="00674418"/>
    <w:rsid w:val="00674428"/>
    <w:rsid w:val="006807BE"/>
    <w:rsid w:val="00681858"/>
    <w:rsid w:val="00683A24"/>
    <w:rsid w:val="00686C26"/>
    <w:rsid w:val="00690023"/>
    <w:rsid w:val="00692C5C"/>
    <w:rsid w:val="006967F6"/>
    <w:rsid w:val="0069772F"/>
    <w:rsid w:val="006A5BB5"/>
    <w:rsid w:val="006D3092"/>
    <w:rsid w:val="006D3B5F"/>
    <w:rsid w:val="006D4545"/>
    <w:rsid w:val="006D6CDE"/>
    <w:rsid w:val="006E0C20"/>
    <w:rsid w:val="006E22A3"/>
    <w:rsid w:val="006E5120"/>
    <w:rsid w:val="006E6E6D"/>
    <w:rsid w:val="006F35F9"/>
    <w:rsid w:val="007006BD"/>
    <w:rsid w:val="007319D7"/>
    <w:rsid w:val="00731FAF"/>
    <w:rsid w:val="007326EC"/>
    <w:rsid w:val="007339DB"/>
    <w:rsid w:val="007426BF"/>
    <w:rsid w:val="00742D9C"/>
    <w:rsid w:val="007465A9"/>
    <w:rsid w:val="00747274"/>
    <w:rsid w:val="00753C90"/>
    <w:rsid w:val="00760FDF"/>
    <w:rsid w:val="00763D9D"/>
    <w:rsid w:val="00770E52"/>
    <w:rsid w:val="00772667"/>
    <w:rsid w:val="007757E7"/>
    <w:rsid w:val="00776768"/>
    <w:rsid w:val="0078485C"/>
    <w:rsid w:val="00796A47"/>
    <w:rsid w:val="007A1603"/>
    <w:rsid w:val="007A41F5"/>
    <w:rsid w:val="007A71F0"/>
    <w:rsid w:val="007B1196"/>
    <w:rsid w:val="007B5A33"/>
    <w:rsid w:val="007B7425"/>
    <w:rsid w:val="007C290F"/>
    <w:rsid w:val="007C2BFD"/>
    <w:rsid w:val="007C6D14"/>
    <w:rsid w:val="007D0656"/>
    <w:rsid w:val="007E6327"/>
    <w:rsid w:val="007F5417"/>
    <w:rsid w:val="007F7D28"/>
    <w:rsid w:val="00810468"/>
    <w:rsid w:val="00812480"/>
    <w:rsid w:val="00817B74"/>
    <w:rsid w:val="00821937"/>
    <w:rsid w:val="008403CA"/>
    <w:rsid w:val="008535D0"/>
    <w:rsid w:val="0085395A"/>
    <w:rsid w:val="00853F8E"/>
    <w:rsid w:val="00861844"/>
    <w:rsid w:val="00864D42"/>
    <w:rsid w:val="0086789A"/>
    <w:rsid w:val="00867F92"/>
    <w:rsid w:val="00871BCF"/>
    <w:rsid w:val="00872E7F"/>
    <w:rsid w:val="00877164"/>
    <w:rsid w:val="00880FA9"/>
    <w:rsid w:val="00885320"/>
    <w:rsid w:val="008855ED"/>
    <w:rsid w:val="00891B4C"/>
    <w:rsid w:val="008930F1"/>
    <w:rsid w:val="00893F45"/>
    <w:rsid w:val="008978FF"/>
    <w:rsid w:val="008B348F"/>
    <w:rsid w:val="008C0A6E"/>
    <w:rsid w:val="008C5414"/>
    <w:rsid w:val="008D22A2"/>
    <w:rsid w:val="008D3088"/>
    <w:rsid w:val="008D5FB9"/>
    <w:rsid w:val="008E62B4"/>
    <w:rsid w:val="008F0130"/>
    <w:rsid w:val="008F11E0"/>
    <w:rsid w:val="008F2307"/>
    <w:rsid w:val="008F2E4C"/>
    <w:rsid w:val="008F6D47"/>
    <w:rsid w:val="00905319"/>
    <w:rsid w:val="009055BF"/>
    <w:rsid w:val="00906EEC"/>
    <w:rsid w:val="009166DF"/>
    <w:rsid w:val="00916A44"/>
    <w:rsid w:val="009204C7"/>
    <w:rsid w:val="00922030"/>
    <w:rsid w:val="009224AE"/>
    <w:rsid w:val="00941258"/>
    <w:rsid w:val="00942245"/>
    <w:rsid w:val="00944DD4"/>
    <w:rsid w:val="00956812"/>
    <w:rsid w:val="0096007B"/>
    <w:rsid w:val="00960771"/>
    <w:rsid w:val="00965293"/>
    <w:rsid w:val="00967518"/>
    <w:rsid w:val="009725E5"/>
    <w:rsid w:val="00973ACB"/>
    <w:rsid w:val="00981567"/>
    <w:rsid w:val="0098420C"/>
    <w:rsid w:val="009B5A36"/>
    <w:rsid w:val="009C3981"/>
    <w:rsid w:val="009D4391"/>
    <w:rsid w:val="009D6AAA"/>
    <w:rsid w:val="009E14EE"/>
    <w:rsid w:val="009F0440"/>
    <w:rsid w:val="00A01DE3"/>
    <w:rsid w:val="00A11371"/>
    <w:rsid w:val="00A120E1"/>
    <w:rsid w:val="00A217D3"/>
    <w:rsid w:val="00A23C6C"/>
    <w:rsid w:val="00A262A2"/>
    <w:rsid w:val="00A330FD"/>
    <w:rsid w:val="00A343A9"/>
    <w:rsid w:val="00A405B4"/>
    <w:rsid w:val="00A43679"/>
    <w:rsid w:val="00A4506A"/>
    <w:rsid w:val="00A5239C"/>
    <w:rsid w:val="00A53E9B"/>
    <w:rsid w:val="00A61734"/>
    <w:rsid w:val="00A643FC"/>
    <w:rsid w:val="00A650DC"/>
    <w:rsid w:val="00A65633"/>
    <w:rsid w:val="00A66AFB"/>
    <w:rsid w:val="00A71D25"/>
    <w:rsid w:val="00A76696"/>
    <w:rsid w:val="00A8286A"/>
    <w:rsid w:val="00A84255"/>
    <w:rsid w:val="00A87E7D"/>
    <w:rsid w:val="00A91725"/>
    <w:rsid w:val="00A94DDA"/>
    <w:rsid w:val="00AA3257"/>
    <w:rsid w:val="00AC1AC7"/>
    <w:rsid w:val="00AD18B8"/>
    <w:rsid w:val="00AD2D59"/>
    <w:rsid w:val="00AD4750"/>
    <w:rsid w:val="00AD7369"/>
    <w:rsid w:val="00AE21FC"/>
    <w:rsid w:val="00AE46EB"/>
    <w:rsid w:val="00AF19BA"/>
    <w:rsid w:val="00AF1D89"/>
    <w:rsid w:val="00AF3D5A"/>
    <w:rsid w:val="00AF69C8"/>
    <w:rsid w:val="00B00CF0"/>
    <w:rsid w:val="00B01BAA"/>
    <w:rsid w:val="00B035D4"/>
    <w:rsid w:val="00B07BD7"/>
    <w:rsid w:val="00B07DC0"/>
    <w:rsid w:val="00B22A91"/>
    <w:rsid w:val="00B30158"/>
    <w:rsid w:val="00B3099B"/>
    <w:rsid w:val="00B44F14"/>
    <w:rsid w:val="00B546A9"/>
    <w:rsid w:val="00B54AB5"/>
    <w:rsid w:val="00B57DFD"/>
    <w:rsid w:val="00B631BF"/>
    <w:rsid w:val="00B6603B"/>
    <w:rsid w:val="00B74286"/>
    <w:rsid w:val="00B76668"/>
    <w:rsid w:val="00B81D29"/>
    <w:rsid w:val="00B91A99"/>
    <w:rsid w:val="00B92C96"/>
    <w:rsid w:val="00B94980"/>
    <w:rsid w:val="00BA68F0"/>
    <w:rsid w:val="00BB7087"/>
    <w:rsid w:val="00BB7F64"/>
    <w:rsid w:val="00BC084C"/>
    <w:rsid w:val="00BC0A49"/>
    <w:rsid w:val="00BD08CA"/>
    <w:rsid w:val="00BD49EE"/>
    <w:rsid w:val="00BF08BA"/>
    <w:rsid w:val="00BF2B67"/>
    <w:rsid w:val="00BF5D2E"/>
    <w:rsid w:val="00C04879"/>
    <w:rsid w:val="00C10F29"/>
    <w:rsid w:val="00C222D9"/>
    <w:rsid w:val="00C27842"/>
    <w:rsid w:val="00C30531"/>
    <w:rsid w:val="00C31421"/>
    <w:rsid w:val="00C33282"/>
    <w:rsid w:val="00C33753"/>
    <w:rsid w:val="00C35B94"/>
    <w:rsid w:val="00C57A08"/>
    <w:rsid w:val="00C671DE"/>
    <w:rsid w:val="00C736EA"/>
    <w:rsid w:val="00C75718"/>
    <w:rsid w:val="00C777DA"/>
    <w:rsid w:val="00C82FA4"/>
    <w:rsid w:val="00C937F1"/>
    <w:rsid w:val="00C959A1"/>
    <w:rsid w:val="00CA0669"/>
    <w:rsid w:val="00CA42D3"/>
    <w:rsid w:val="00CB0030"/>
    <w:rsid w:val="00CB7178"/>
    <w:rsid w:val="00CC3C2D"/>
    <w:rsid w:val="00CC57AC"/>
    <w:rsid w:val="00CC59DC"/>
    <w:rsid w:val="00CC776C"/>
    <w:rsid w:val="00CD01A5"/>
    <w:rsid w:val="00CD6B42"/>
    <w:rsid w:val="00CE1E17"/>
    <w:rsid w:val="00CF561D"/>
    <w:rsid w:val="00D05E85"/>
    <w:rsid w:val="00D113A3"/>
    <w:rsid w:val="00D1692F"/>
    <w:rsid w:val="00D2695E"/>
    <w:rsid w:val="00D4030C"/>
    <w:rsid w:val="00D42F5E"/>
    <w:rsid w:val="00D45E4A"/>
    <w:rsid w:val="00D63E59"/>
    <w:rsid w:val="00D66A89"/>
    <w:rsid w:val="00D746F5"/>
    <w:rsid w:val="00D81121"/>
    <w:rsid w:val="00D826DE"/>
    <w:rsid w:val="00D829A3"/>
    <w:rsid w:val="00D83755"/>
    <w:rsid w:val="00D90C7C"/>
    <w:rsid w:val="00D93833"/>
    <w:rsid w:val="00DA36E5"/>
    <w:rsid w:val="00DC0CC0"/>
    <w:rsid w:val="00DC28A6"/>
    <w:rsid w:val="00DC2D01"/>
    <w:rsid w:val="00E01E67"/>
    <w:rsid w:val="00E06AFA"/>
    <w:rsid w:val="00E24139"/>
    <w:rsid w:val="00E37E21"/>
    <w:rsid w:val="00E444BA"/>
    <w:rsid w:val="00E53D5C"/>
    <w:rsid w:val="00E57F33"/>
    <w:rsid w:val="00E60ABB"/>
    <w:rsid w:val="00E60C41"/>
    <w:rsid w:val="00E67713"/>
    <w:rsid w:val="00E7413C"/>
    <w:rsid w:val="00E80EF9"/>
    <w:rsid w:val="00E90EB0"/>
    <w:rsid w:val="00E91925"/>
    <w:rsid w:val="00E92E47"/>
    <w:rsid w:val="00E9576D"/>
    <w:rsid w:val="00EA56F9"/>
    <w:rsid w:val="00EA7D9D"/>
    <w:rsid w:val="00EB05D9"/>
    <w:rsid w:val="00EB3BFD"/>
    <w:rsid w:val="00EB3E62"/>
    <w:rsid w:val="00EB7721"/>
    <w:rsid w:val="00EC08AC"/>
    <w:rsid w:val="00EC2856"/>
    <w:rsid w:val="00EC2E80"/>
    <w:rsid w:val="00EC5D2D"/>
    <w:rsid w:val="00EC7E0A"/>
    <w:rsid w:val="00ED337D"/>
    <w:rsid w:val="00ED50CA"/>
    <w:rsid w:val="00EE1C40"/>
    <w:rsid w:val="00EF7C8A"/>
    <w:rsid w:val="00F038F7"/>
    <w:rsid w:val="00F03AE8"/>
    <w:rsid w:val="00F053E2"/>
    <w:rsid w:val="00F12759"/>
    <w:rsid w:val="00F12AD7"/>
    <w:rsid w:val="00F16B33"/>
    <w:rsid w:val="00F16F41"/>
    <w:rsid w:val="00F21C6C"/>
    <w:rsid w:val="00F25E7F"/>
    <w:rsid w:val="00F318BF"/>
    <w:rsid w:val="00F33C53"/>
    <w:rsid w:val="00F537EB"/>
    <w:rsid w:val="00F614AC"/>
    <w:rsid w:val="00F7659F"/>
    <w:rsid w:val="00F76BED"/>
    <w:rsid w:val="00F76D69"/>
    <w:rsid w:val="00F80EEE"/>
    <w:rsid w:val="00F82DDB"/>
    <w:rsid w:val="00F85F2A"/>
    <w:rsid w:val="00F906CF"/>
    <w:rsid w:val="00F9387A"/>
    <w:rsid w:val="00FA5147"/>
    <w:rsid w:val="00FB0C11"/>
    <w:rsid w:val="00FB39E3"/>
    <w:rsid w:val="00FC445C"/>
    <w:rsid w:val="00FC532A"/>
    <w:rsid w:val="00FD4894"/>
    <w:rsid w:val="00FD6869"/>
    <w:rsid w:val="00FE5DF5"/>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252B2"/>
  <w15:docId w15:val="{356940B0-4368-4379-8B24-C08FD4D8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Subtitle"/>
    <w:next w:val="Normal"/>
    <w:link w:val="Heading1Char"/>
    <w:qFormat/>
    <w:rsid w:val="00E37E21"/>
    <w:pPr>
      <w:spacing w:before="0"/>
      <w:outlineLvl w:val="0"/>
    </w:pPr>
    <w:rPr>
      <w:rFonts w:cs="Arial"/>
      <w:b/>
      <w:bCs/>
      <w:color w:val="auto"/>
      <w:sz w:val="28"/>
      <w:szCs w:val="28"/>
    </w:rPr>
  </w:style>
  <w:style w:type="paragraph" w:styleId="Heading2">
    <w:name w:val="heading 2"/>
    <w:basedOn w:val="Normal"/>
    <w:next w:val="Normal"/>
    <w:link w:val="Heading2Char"/>
    <w:semiHidden/>
    <w:unhideWhenUsed/>
    <w:qFormat/>
    <w:rsid w:val="00CA42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character" w:customStyle="1" w:styleId="Heading2Char">
    <w:name w:val="Heading 2 Char"/>
    <w:basedOn w:val="DefaultParagraphFont"/>
    <w:link w:val="Heading2"/>
    <w:semiHidden/>
    <w:rsid w:val="00CA42D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semiHidden/>
    <w:unhideWhenUsed/>
    <w:rsid w:val="00CA42D3"/>
    <w:rPr>
      <w:sz w:val="16"/>
      <w:szCs w:val="16"/>
    </w:rPr>
  </w:style>
  <w:style w:type="paragraph" w:styleId="CommentText">
    <w:name w:val="annotation text"/>
    <w:basedOn w:val="Normal"/>
    <w:link w:val="CommentTextChar"/>
    <w:unhideWhenUsed/>
    <w:rsid w:val="00CA42D3"/>
    <w:rPr>
      <w:sz w:val="20"/>
      <w:szCs w:val="20"/>
    </w:rPr>
  </w:style>
  <w:style w:type="character" w:customStyle="1" w:styleId="CommentTextChar">
    <w:name w:val="Comment Text Char"/>
    <w:basedOn w:val="DefaultParagraphFont"/>
    <w:link w:val="CommentText"/>
    <w:rsid w:val="00CA42D3"/>
  </w:style>
  <w:style w:type="paragraph" w:styleId="ListParagraph">
    <w:name w:val="List Paragraph"/>
    <w:basedOn w:val="Normal"/>
    <w:uiPriority w:val="34"/>
    <w:qFormat/>
    <w:rsid w:val="00CA42D3"/>
    <w:pPr>
      <w:ind w:left="720"/>
    </w:pPr>
  </w:style>
  <w:style w:type="table" w:customStyle="1" w:styleId="TableGrid1">
    <w:name w:val="Table Grid1"/>
    <w:basedOn w:val="TableNormal"/>
    <w:next w:val="TableGrid"/>
    <w:uiPriority w:val="39"/>
    <w:rsid w:val="00CA42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14AC"/>
    <w:rPr>
      <w:sz w:val="24"/>
      <w:szCs w:val="24"/>
    </w:rPr>
  </w:style>
  <w:style w:type="paragraph" w:styleId="CommentSubject">
    <w:name w:val="annotation subject"/>
    <w:basedOn w:val="CommentText"/>
    <w:next w:val="CommentText"/>
    <w:link w:val="CommentSubjectChar"/>
    <w:semiHidden/>
    <w:unhideWhenUsed/>
    <w:rsid w:val="00F614AC"/>
    <w:rPr>
      <w:b/>
      <w:bCs/>
    </w:rPr>
  </w:style>
  <w:style w:type="character" w:customStyle="1" w:styleId="CommentSubjectChar">
    <w:name w:val="Comment Subject Char"/>
    <w:basedOn w:val="CommentTextChar"/>
    <w:link w:val="CommentSubject"/>
    <w:semiHidden/>
    <w:rsid w:val="00F614AC"/>
    <w:rPr>
      <w:b/>
      <w:bCs/>
    </w:rPr>
  </w:style>
  <w:style w:type="character" w:customStyle="1" w:styleId="Heading1Char">
    <w:name w:val="Heading 1 Char"/>
    <w:basedOn w:val="DefaultParagraphFont"/>
    <w:link w:val="Heading1"/>
    <w:rsid w:val="00E37E21"/>
    <w:rPr>
      <w:rFonts w:ascii="Arial Black" w:hAnsi="Arial Black" w:cs="Arial"/>
      <w:b/>
      <w:bCs/>
      <w:sz w:val="28"/>
      <w:szCs w:val="28"/>
    </w:rPr>
  </w:style>
  <w:style w:type="character" w:styleId="FollowedHyperlink">
    <w:name w:val="FollowedHyperlink"/>
    <w:basedOn w:val="DefaultParagraphFont"/>
    <w:semiHidden/>
    <w:unhideWhenUsed/>
    <w:rsid w:val="005E608B"/>
    <w:rPr>
      <w:color w:val="800080" w:themeColor="followedHyperlink"/>
      <w:u w:val="single"/>
    </w:rPr>
  </w:style>
  <w:style w:type="paragraph" w:styleId="Title">
    <w:name w:val="Title"/>
    <w:basedOn w:val="Heading1"/>
    <w:next w:val="Normal"/>
    <w:link w:val="TitleChar"/>
    <w:qFormat/>
    <w:rsid w:val="00E37E21"/>
  </w:style>
  <w:style w:type="character" w:customStyle="1" w:styleId="TitleChar">
    <w:name w:val="Title Char"/>
    <w:basedOn w:val="DefaultParagraphFont"/>
    <w:link w:val="Title"/>
    <w:rsid w:val="00E37E21"/>
    <w:rPr>
      <w:rFonts w:ascii="Arial Black" w:hAnsi="Arial Black" w:cs="Arial"/>
      <w:b/>
      <w:bCs/>
      <w:sz w:val="28"/>
      <w:szCs w:val="28"/>
    </w:rPr>
  </w:style>
  <w:style w:type="character" w:styleId="UnresolvedMention">
    <w:name w:val="Unresolved Mention"/>
    <w:basedOn w:val="DefaultParagraphFont"/>
    <w:uiPriority w:val="99"/>
    <w:semiHidden/>
    <w:unhideWhenUsed/>
    <w:rsid w:val="00357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1636">
      <w:bodyDiv w:val="1"/>
      <w:marLeft w:val="0"/>
      <w:marRight w:val="0"/>
      <w:marTop w:val="0"/>
      <w:marBottom w:val="0"/>
      <w:divBdr>
        <w:top w:val="none" w:sz="0" w:space="0" w:color="auto"/>
        <w:left w:val="none" w:sz="0" w:space="0" w:color="auto"/>
        <w:bottom w:val="none" w:sz="0" w:space="0" w:color="auto"/>
        <w:right w:val="none" w:sz="0" w:space="0" w:color="auto"/>
      </w:divBdr>
    </w:div>
    <w:div w:id="81069314">
      <w:bodyDiv w:val="1"/>
      <w:marLeft w:val="0"/>
      <w:marRight w:val="0"/>
      <w:marTop w:val="0"/>
      <w:marBottom w:val="0"/>
      <w:divBdr>
        <w:top w:val="none" w:sz="0" w:space="0" w:color="auto"/>
        <w:left w:val="none" w:sz="0" w:space="0" w:color="auto"/>
        <w:bottom w:val="none" w:sz="0" w:space="0" w:color="auto"/>
        <w:right w:val="none" w:sz="0" w:space="0" w:color="auto"/>
      </w:divBdr>
    </w:div>
    <w:div w:id="123739763">
      <w:bodyDiv w:val="1"/>
      <w:marLeft w:val="0"/>
      <w:marRight w:val="0"/>
      <w:marTop w:val="0"/>
      <w:marBottom w:val="0"/>
      <w:divBdr>
        <w:top w:val="none" w:sz="0" w:space="0" w:color="auto"/>
        <w:left w:val="none" w:sz="0" w:space="0" w:color="auto"/>
        <w:bottom w:val="none" w:sz="0" w:space="0" w:color="auto"/>
        <w:right w:val="none" w:sz="0" w:space="0" w:color="auto"/>
      </w:divBdr>
    </w:div>
    <w:div w:id="185556711">
      <w:bodyDiv w:val="1"/>
      <w:marLeft w:val="0"/>
      <w:marRight w:val="0"/>
      <w:marTop w:val="0"/>
      <w:marBottom w:val="0"/>
      <w:divBdr>
        <w:top w:val="none" w:sz="0" w:space="0" w:color="auto"/>
        <w:left w:val="none" w:sz="0" w:space="0" w:color="auto"/>
        <w:bottom w:val="none" w:sz="0" w:space="0" w:color="auto"/>
        <w:right w:val="none" w:sz="0" w:space="0" w:color="auto"/>
      </w:divBdr>
    </w:div>
    <w:div w:id="222639744">
      <w:bodyDiv w:val="1"/>
      <w:marLeft w:val="0"/>
      <w:marRight w:val="0"/>
      <w:marTop w:val="0"/>
      <w:marBottom w:val="0"/>
      <w:divBdr>
        <w:top w:val="none" w:sz="0" w:space="0" w:color="auto"/>
        <w:left w:val="none" w:sz="0" w:space="0" w:color="auto"/>
        <w:bottom w:val="none" w:sz="0" w:space="0" w:color="auto"/>
        <w:right w:val="none" w:sz="0" w:space="0" w:color="auto"/>
      </w:divBdr>
    </w:div>
    <w:div w:id="235751713">
      <w:bodyDiv w:val="1"/>
      <w:marLeft w:val="0"/>
      <w:marRight w:val="0"/>
      <w:marTop w:val="0"/>
      <w:marBottom w:val="0"/>
      <w:divBdr>
        <w:top w:val="none" w:sz="0" w:space="0" w:color="auto"/>
        <w:left w:val="none" w:sz="0" w:space="0" w:color="auto"/>
        <w:bottom w:val="none" w:sz="0" w:space="0" w:color="auto"/>
        <w:right w:val="none" w:sz="0" w:space="0" w:color="auto"/>
      </w:divBdr>
      <w:divsChild>
        <w:div w:id="525413700">
          <w:marLeft w:val="0"/>
          <w:marRight w:val="0"/>
          <w:marTop w:val="0"/>
          <w:marBottom w:val="0"/>
          <w:divBdr>
            <w:top w:val="none" w:sz="0" w:space="0" w:color="auto"/>
            <w:left w:val="none" w:sz="0" w:space="0" w:color="auto"/>
            <w:bottom w:val="none" w:sz="0" w:space="0" w:color="auto"/>
            <w:right w:val="none" w:sz="0" w:space="0" w:color="auto"/>
          </w:divBdr>
          <w:divsChild>
            <w:div w:id="1484617443">
              <w:marLeft w:val="0"/>
              <w:marRight w:val="0"/>
              <w:marTop w:val="0"/>
              <w:marBottom w:val="0"/>
              <w:divBdr>
                <w:top w:val="none" w:sz="0" w:space="0" w:color="auto"/>
                <w:left w:val="none" w:sz="0" w:space="0" w:color="auto"/>
                <w:bottom w:val="none" w:sz="0" w:space="0" w:color="auto"/>
                <w:right w:val="none" w:sz="0" w:space="0" w:color="auto"/>
              </w:divBdr>
            </w:div>
          </w:divsChild>
        </w:div>
        <w:div w:id="684524231">
          <w:marLeft w:val="0"/>
          <w:marRight w:val="0"/>
          <w:marTop w:val="0"/>
          <w:marBottom w:val="0"/>
          <w:divBdr>
            <w:top w:val="none" w:sz="0" w:space="0" w:color="auto"/>
            <w:left w:val="none" w:sz="0" w:space="0" w:color="auto"/>
            <w:bottom w:val="none" w:sz="0" w:space="0" w:color="auto"/>
            <w:right w:val="none" w:sz="0" w:space="0" w:color="auto"/>
          </w:divBdr>
        </w:div>
      </w:divsChild>
    </w:div>
    <w:div w:id="256640765">
      <w:bodyDiv w:val="1"/>
      <w:marLeft w:val="0"/>
      <w:marRight w:val="0"/>
      <w:marTop w:val="0"/>
      <w:marBottom w:val="0"/>
      <w:divBdr>
        <w:top w:val="none" w:sz="0" w:space="0" w:color="auto"/>
        <w:left w:val="none" w:sz="0" w:space="0" w:color="auto"/>
        <w:bottom w:val="none" w:sz="0" w:space="0" w:color="auto"/>
        <w:right w:val="none" w:sz="0" w:space="0" w:color="auto"/>
      </w:divBdr>
    </w:div>
    <w:div w:id="293944264">
      <w:bodyDiv w:val="1"/>
      <w:marLeft w:val="0"/>
      <w:marRight w:val="0"/>
      <w:marTop w:val="0"/>
      <w:marBottom w:val="0"/>
      <w:divBdr>
        <w:top w:val="none" w:sz="0" w:space="0" w:color="auto"/>
        <w:left w:val="none" w:sz="0" w:space="0" w:color="auto"/>
        <w:bottom w:val="none" w:sz="0" w:space="0" w:color="auto"/>
        <w:right w:val="none" w:sz="0" w:space="0" w:color="auto"/>
      </w:divBdr>
    </w:div>
    <w:div w:id="364601346">
      <w:bodyDiv w:val="1"/>
      <w:marLeft w:val="0"/>
      <w:marRight w:val="0"/>
      <w:marTop w:val="0"/>
      <w:marBottom w:val="0"/>
      <w:divBdr>
        <w:top w:val="none" w:sz="0" w:space="0" w:color="auto"/>
        <w:left w:val="none" w:sz="0" w:space="0" w:color="auto"/>
        <w:bottom w:val="none" w:sz="0" w:space="0" w:color="auto"/>
        <w:right w:val="none" w:sz="0" w:space="0" w:color="auto"/>
      </w:divBdr>
    </w:div>
    <w:div w:id="372732076">
      <w:bodyDiv w:val="1"/>
      <w:marLeft w:val="0"/>
      <w:marRight w:val="0"/>
      <w:marTop w:val="0"/>
      <w:marBottom w:val="0"/>
      <w:divBdr>
        <w:top w:val="none" w:sz="0" w:space="0" w:color="auto"/>
        <w:left w:val="none" w:sz="0" w:space="0" w:color="auto"/>
        <w:bottom w:val="none" w:sz="0" w:space="0" w:color="auto"/>
        <w:right w:val="none" w:sz="0" w:space="0" w:color="auto"/>
      </w:divBdr>
    </w:div>
    <w:div w:id="380638161">
      <w:bodyDiv w:val="1"/>
      <w:marLeft w:val="0"/>
      <w:marRight w:val="0"/>
      <w:marTop w:val="0"/>
      <w:marBottom w:val="0"/>
      <w:divBdr>
        <w:top w:val="none" w:sz="0" w:space="0" w:color="auto"/>
        <w:left w:val="none" w:sz="0" w:space="0" w:color="auto"/>
        <w:bottom w:val="none" w:sz="0" w:space="0" w:color="auto"/>
        <w:right w:val="none" w:sz="0" w:space="0" w:color="auto"/>
      </w:divBdr>
    </w:div>
    <w:div w:id="396243028">
      <w:bodyDiv w:val="1"/>
      <w:marLeft w:val="0"/>
      <w:marRight w:val="0"/>
      <w:marTop w:val="0"/>
      <w:marBottom w:val="0"/>
      <w:divBdr>
        <w:top w:val="none" w:sz="0" w:space="0" w:color="auto"/>
        <w:left w:val="none" w:sz="0" w:space="0" w:color="auto"/>
        <w:bottom w:val="none" w:sz="0" w:space="0" w:color="auto"/>
        <w:right w:val="none" w:sz="0" w:space="0" w:color="auto"/>
      </w:divBdr>
    </w:div>
    <w:div w:id="409347123">
      <w:bodyDiv w:val="1"/>
      <w:marLeft w:val="0"/>
      <w:marRight w:val="0"/>
      <w:marTop w:val="0"/>
      <w:marBottom w:val="0"/>
      <w:divBdr>
        <w:top w:val="none" w:sz="0" w:space="0" w:color="auto"/>
        <w:left w:val="none" w:sz="0" w:space="0" w:color="auto"/>
        <w:bottom w:val="none" w:sz="0" w:space="0" w:color="auto"/>
        <w:right w:val="none" w:sz="0" w:space="0" w:color="auto"/>
      </w:divBdr>
    </w:div>
    <w:div w:id="416560165">
      <w:bodyDiv w:val="1"/>
      <w:marLeft w:val="0"/>
      <w:marRight w:val="0"/>
      <w:marTop w:val="0"/>
      <w:marBottom w:val="0"/>
      <w:divBdr>
        <w:top w:val="none" w:sz="0" w:space="0" w:color="auto"/>
        <w:left w:val="none" w:sz="0" w:space="0" w:color="auto"/>
        <w:bottom w:val="none" w:sz="0" w:space="0" w:color="auto"/>
        <w:right w:val="none" w:sz="0" w:space="0" w:color="auto"/>
      </w:divBdr>
    </w:div>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456412787">
      <w:bodyDiv w:val="1"/>
      <w:marLeft w:val="0"/>
      <w:marRight w:val="0"/>
      <w:marTop w:val="0"/>
      <w:marBottom w:val="0"/>
      <w:divBdr>
        <w:top w:val="none" w:sz="0" w:space="0" w:color="auto"/>
        <w:left w:val="none" w:sz="0" w:space="0" w:color="auto"/>
        <w:bottom w:val="none" w:sz="0" w:space="0" w:color="auto"/>
        <w:right w:val="none" w:sz="0" w:space="0" w:color="auto"/>
      </w:divBdr>
    </w:div>
    <w:div w:id="536238674">
      <w:bodyDiv w:val="1"/>
      <w:marLeft w:val="0"/>
      <w:marRight w:val="0"/>
      <w:marTop w:val="0"/>
      <w:marBottom w:val="0"/>
      <w:divBdr>
        <w:top w:val="none" w:sz="0" w:space="0" w:color="auto"/>
        <w:left w:val="none" w:sz="0" w:space="0" w:color="auto"/>
        <w:bottom w:val="none" w:sz="0" w:space="0" w:color="auto"/>
        <w:right w:val="none" w:sz="0" w:space="0" w:color="auto"/>
      </w:divBdr>
    </w:div>
    <w:div w:id="591015336">
      <w:bodyDiv w:val="1"/>
      <w:marLeft w:val="0"/>
      <w:marRight w:val="0"/>
      <w:marTop w:val="0"/>
      <w:marBottom w:val="0"/>
      <w:divBdr>
        <w:top w:val="none" w:sz="0" w:space="0" w:color="auto"/>
        <w:left w:val="none" w:sz="0" w:space="0" w:color="auto"/>
        <w:bottom w:val="none" w:sz="0" w:space="0" w:color="auto"/>
        <w:right w:val="none" w:sz="0" w:space="0" w:color="auto"/>
      </w:divBdr>
    </w:div>
    <w:div w:id="786241471">
      <w:bodyDiv w:val="1"/>
      <w:marLeft w:val="0"/>
      <w:marRight w:val="0"/>
      <w:marTop w:val="0"/>
      <w:marBottom w:val="0"/>
      <w:divBdr>
        <w:top w:val="none" w:sz="0" w:space="0" w:color="auto"/>
        <w:left w:val="none" w:sz="0" w:space="0" w:color="auto"/>
        <w:bottom w:val="none" w:sz="0" w:space="0" w:color="auto"/>
        <w:right w:val="none" w:sz="0" w:space="0" w:color="auto"/>
      </w:divBdr>
    </w:div>
    <w:div w:id="789857450">
      <w:bodyDiv w:val="1"/>
      <w:marLeft w:val="0"/>
      <w:marRight w:val="0"/>
      <w:marTop w:val="0"/>
      <w:marBottom w:val="0"/>
      <w:divBdr>
        <w:top w:val="none" w:sz="0" w:space="0" w:color="auto"/>
        <w:left w:val="none" w:sz="0" w:space="0" w:color="auto"/>
        <w:bottom w:val="none" w:sz="0" w:space="0" w:color="auto"/>
        <w:right w:val="none" w:sz="0" w:space="0" w:color="auto"/>
      </w:divBdr>
    </w:div>
    <w:div w:id="822164684">
      <w:bodyDiv w:val="1"/>
      <w:marLeft w:val="0"/>
      <w:marRight w:val="0"/>
      <w:marTop w:val="0"/>
      <w:marBottom w:val="0"/>
      <w:divBdr>
        <w:top w:val="none" w:sz="0" w:space="0" w:color="auto"/>
        <w:left w:val="none" w:sz="0" w:space="0" w:color="auto"/>
        <w:bottom w:val="none" w:sz="0" w:space="0" w:color="auto"/>
        <w:right w:val="none" w:sz="0" w:space="0" w:color="auto"/>
      </w:divBdr>
    </w:div>
    <w:div w:id="841894581">
      <w:bodyDiv w:val="1"/>
      <w:marLeft w:val="0"/>
      <w:marRight w:val="0"/>
      <w:marTop w:val="0"/>
      <w:marBottom w:val="0"/>
      <w:divBdr>
        <w:top w:val="none" w:sz="0" w:space="0" w:color="auto"/>
        <w:left w:val="none" w:sz="0" w:space="0" w:color="auto"/>
        <w:bottom w:val="none" w:sz="0" w:space="0" w:color="auto"/>
        <w:right w:val="none" w:sz="0" w:space="0" w:color="auto"/>
      </w:divBdr>
    </w:div>
    <w:div w:id="845168341">
      <w:bodyDiv w:val="1"/>
      <w:marLeft w:val="0"/>
      <w:marRight w:val="0"/>
      <w:marTop w:val="0"/>
      <w:marBottom w:val="0"/>
      <w:divBdr>
        <w:top w:val="none" w:sz="0" w:space="0" w:color="auto"/>
        <w:left w:val="none" w:sz="0" w:space="0" w:color="auto"/>
        <w:bottom w:val="none" w:sz="0" w:space="0" w:color="auto"/>
        <w:right w:val="none" w:sz="0" w:space="0" w:color="auto"/>
      </w:divBdr>
    </w:div>
    <w:div w:id="846291631">
      <w:bodyDiv w:val="1"/>
      <w:marLeft w:val="0"/>
      <w:marRight w:val="0"/>
      <w:marTop w:val="0"/>
      <w:marBottom w:val="0"/>
      <w:divBdr>
        <w:top w:val="none" w:sz="0" w:space="0" w:color="auto"/>
        <w:left w:val="none" w:sz="0" w:space="0" w:color="auto"/>
        <w:bottom w:val="none" w:sz="0" w:space="0" w:color="auto"/>
        <w:right w:val="none" w:sz="0" w:space="0" w:color="auto"/>
      </w:divBdr>
    </w:div>
    <w:div w:id="869495422">
      <w:bodyDiv w:val="1"/>
      <w:marLeft w:val="0"/>
      <w:marRight w:val="0"/>
      <w:marTop w:val="0"/>
      <w:marBottom w:val="0"/>
      <w:divBdr>
        <w:top w:val="none" w:sz="0" w:space="0" w:color="auto"/>
        <w:left w:val="none" w:sz="0" w:space="0" w:color="auto"/>
        <w:bottom w:val="none" w:sz="0" w:space="0" w:color="auto"/>
        <w:right w:val="none" w:sz="0" w:space="0" w:color="auto"/>
      </w:divBdr>
    </w:div>
    <w:div w:id="880097400">
      <w:bodyDiv w:val="1"/>
      <w:marLeft w:val="0"/>
      <w:marRight w:val="0"/>
      <w:marTop w:val="0"/>
      <w:marBottom w:val="0"/>
      <w:divBdr>
        <w:top w:val="none" w:sz="0" w:space="0" w:color="auto"/>
        <w:left w:val="none" w:sz="0" w:space="0" w:color="auto"/>
        <w:bottom w:val="none" w:sz="0" w:space="0" w:color="auto"/>
        <w:right w:val="none" w:sz="0" w:space="0" w:color="auto"/>
      </w:divBdr>
    </w:div>
    <w:div w:id="939727712">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946039942">
      <w:bodyDiv w:val="1"/>
      <w:marLeft w:val="0"/>
      <w:marRight w:val="0"/>
      <w:marTop w:val="0"/>
      <w:marBottom w:val="0"/>
      <w:divBdr>
        <w:top w:val="none" w:sz="0" w:space="0" w:color="auto"/>
        <w:left w:val="none" w:sz="0" w:space="0" w:color="auto"/>
        <w:bottom w:val="none" w:sz="0" w:space="0" w:color="auto"/>
        <w:right w:val="none" w:sz="0" w:space="0" w:color="auto"/>
      </w:divBdr>
    </w:div>
    <w:div w:id="959143512">
      <w:bodyDiv w:val="1"/>
      <w:marLeft w:val="0"/>
      <w:marRight w:val="0"/>
      <w:marTop w:val="0"/>
      <w:marBottom w:val="0"/>
      <w:divBdr>
        <w:top w:val="none" w:sz="0" w:space="0" w:color="auto"/>
        <w:left w:val="none" w:sz="0" w:space="0" w:color="auto"/>
        <w:bottom w:val="none" w:sz="0" w:space="0" w:color="auto"/>
        <w:right w:val="none" w:sz="0" w:space="0" w:color="auto"/>
      </w:divBdr>
    </w:div>
    <w:div w:id="973486538">
      <w:bodyDiv w:val="1"/>
      <w:marLeft w:val="0"/>
      <w:marRight w:val="0"/>
      <w:marTop w:val="0"/>
      <w:marBottom w:val="0"/>
      <w:divBdr>
        <w:top w:val="none" w:sz="0" w:space="0" w:color="auto"/>
        <w:left w:val="none" w:sz="0" w:space="0" w:color="auto"/>
        <w:bottom w:val="none" w:sz="0" w:space="0" w:color="auto"/>
        <w:right w:val="none" w:sz="0" w:space="0" w:color="auto"/>
      </w:divBdr>
    </w:div>
    <w:div w:id="1015375834">
      <w:bodyDiv w:val="1"/>
      <w:marLeft w:val="0"/>
      <w:marRight w:val="0"/>
      <w:marTop w:val="0"/>
      <w:marBottom w:val="0"/>
      <w:divBdr>
        <w:top w:val="none" w:sz="0" w:space="0" w:color="auto"/>
        <w:left w:val="none" w:sz="0" w:space="0" w:color="auto"/>
        <w:bottom w:val="none" w:sz="0" w:space="0" w:color="auto"/>
        <w:right w:val="none" w:sz="0" w:space="0" w:color="auto"/>
      </w:divBdr>
    </w:div>
    <w:div w:id="1082751226">
      <w:bodyDiv w:val="1"/>
      <w:marLeft w:val="0"/>
      <w:marRight w:val="0"/>
      <w:marTop w:val="0"/>
      <w:marBottom w:val="0"/>
      <w:divBdr>
        <w:top w:val="none" w:sz="0" w:space="0" w:color="auto"/>
        <w:left w:val="none" w:sz="0" w:space="0" w:color="auto"/>
        <w:bottom w:val="none" w:sz="0" w:space="0" w:color="auto"/>
        <w:right w:val="none" w:sz="0" w:space="0" w:color="auto"/>
      </w:divBdr>
    </w:div>
    <w:div w:id="1103765064">
      <w:bodyDiv w:val="1"/>
      <w:marLeft w:val="0"/>
      <w:marRight w:val="0"/>
      <w:marTop w:val="0"/>
      <w:marBottom w:val="0"/>
      <w:divBdr>
        <w:top w:val="none" w:sz="0" w:space="0" w:color="auto"/>
        <w:left w:val="none" w:sz="0" w:space="0" w:color="auto"/>
        <w:bottom w:val="none" w:sz="0" w:space="0" w:color="auto"/>
        <w:right w:val="none" w:sz="0" w:space="0" w:color="auto"/>
      </w:divBdr>
    </w:div>
    <w:div w:id="1132752859">
      <w:bodyDiv w:val="1"/>
      <w:marLeft w:val="0"/>
      <w:marRight w:val="0"/>
      <w:marTop w:val="0"/>
      <w:marBottom w:val="0"/>
      <w:divBdr>
        <w:top w:val="none" w:sz="0" w:space="0" w:color="auto"/>
        <w:left w:val="none" w:sz="0" w:space="0" w:color="auto"/>
        <w:bottom w:val="none" w:sz="0" w:space="0" w:color="auto"/>
        <w:right w:val="none" w:sz="0" w:space="0" w:color="auto"/>
      </w:divBdr>
      <w:divsChild>
        <w:div w:id="1368288184">
          <w:marLeft w:val="0"/>
          <w:marRight w:val="0"/>
          <w:marTop w:val="0"/>
          <w:marBottom w:val="0"/>
          <w:divBdr>
            <w:top w:val="none" w:sz="0" w:space="0" w:color="auto"/>
            <w:left w:val="none" w:sz="0" w:space="0" w:color="auto"/>
            <w:bottom w:val="none" w:sz="0" w:space="0" w:color="auto"/>
            <w:right w:val="none" w:sz="0" w:space="0" w:color="auto"/>
          </w:divBdr>
          <w:divsChild>
            <w:div w:id="487946110">
              <w:marLeft w:val="0"/>
              <w:marRight w:val="0"/>
              <w:marTop w:val="0"/>
              <w:marBottom w:val="0"/>
              <w:divBdr>
                <w:top w:val="none" w:sz="0" w:space="0" w:color="auto"/>
                <w:left w:val="none" w:sz="0" w:space="0" w:color="auto"/>
                <w:bottom w:val="none" w:sz="0" w:space="0" w:color="auto"/>
                <w:right w:val="none" w:sz="0" w:space="0" w:color="auto"/>
              </w:divBdr>
            </w:div>
          </w:divsChild>
        </w:div>
        <w:div w:id="598103351">
          <w:marLeft w:val="0"/>
          <w:marRight w:val="0"/>
          <w:marTop w:val="0"/>
          <w:marBottom w:val="0"/>
          <w:divBdr>
            <w:top w:val="none" w:sz="0" w:space="0" w:color="auto"/>
            <w:left w:val="none" w:sz="0" w:space="0" w:color="auto"/>
            <w:bottom w:val="none" w:sz="0" w:space="0" w:color="auto"/>
            <w:right w:val="none" w:sz="0" w:space="0" w:color="auto"/>
          </w:divBdr>
        </w:div>
      </w:divsChild>
    </w:div>
    <w:div w:id="1141651286">
      <w:bodyDiv w:val="1"/>
      <w:marLeft w:val="0"/>
      <w:marRight w:val="0"/>
      <w:marTop w:val="0"/>
      <w:marBottom w:val="0"/>
      <w:divBdr>
        <w:top w:val="none" w:sz="0" w:space="0" w:color="auto"/>
        <w:left w:val="none" w:sz="0" w:space="0" w:color="auto"/>
        <w:bottom w:val="none" w:sz="0" w:space="0" w:color="auto"/>
        <w:right w:val="none" w:sz="0" w:space="0" w:color="auto"/>
      </w:divBdr>
    </w:div>
    <w:div w:id="1144197000">
      <w:bodyDiv w:val="1"/>
      <w:marLeft w:val="0"/>
      <w:marRight w:val="0"/>
      <w:marTop w:val="0"/>
      <w:marBottom w:val="0"/>
      <w:divBdr>
        <w:top w:val="none" w:sz="0" w:space="0" w:color="auto"/>
        <w:left w:val="none" w:sz="0" w:space="0" w:color="auto"/>
        <w:bottom w:val="none" w:sz="0" w:space="0" w:color="auto"/>
        <w:right w:val="none" w:sz="0" w:space="0" w:color="auto"/>
      </w:divBdr>
    </w:div>
    <w:div w:id="1170175527">
      <w:bodyDiv w:val="1"/>
      <w:marLeft w:val="0"/>
      <w:marRight w:val="0"/>
      <w:marTop w:val="0"/>
      <w:marBottom w:val="0"/>
      <w:divBdr>
        <w:top w:val="none" w:sz="0" w:space="0" w:color="auto"/>
        <w:left w:val="none" w:sz="0" w:space="0" w:color="auto"/>
        <w:bottom w:val="none" w:sz="0" w:space="0" w:color="auto"/>
        <w:right w:val="none" w:sz="0" w:space="0" w:color="auto"/>
      </w:divBdr>
    </w:div>
    <w:div w:id="1178226640">
      <w:bodyDiv w:val="1"/>
      <w:marLeft w:val="0"/>
      <w:marRight w:val="0"/>
      <w:marTop w:val="0"/>
      <w:marBottom w:val="0"/>
      <w:divBdr>
        <w:top w:val="none" w:sz="0" w:space="0" w:color="auto"/>
        <w:left w:val="none" w:sz="0" w:space="0" w:color="auto"/>
        <w:bottom w:val="none" w:sz="0" w:space="0" w:color="auto"/>
        <w:right w:val="none" w:sz="0" w:space="0" w:color="auto"/>
      </w:divBdr>
    </w:div>
    <w:div w:id="1276869275">
      <w:bodyDiv w:val="1"/>
      <w:marLeft w:val="0"/>
      <w:marRight w:val="0"/>
      <w:marTop w:val="0"/>
      <w:marBottom w:val="0"/>
      <w:divBdr>
        <w:top w:val="none" w:sz="0" w:space="0" w:color="auto"/>
        <w:left w:val="none" w:sz="0" w:space="0" w:color="auto"/>
        <w:bottom w:val="none" w:sz="0" w:space="0" w:color="auto"/>
        <w:right w:val="none" w:sz="0" w:space="0" w:color="auto"/>
      </w:divBdr>
    </w:div>
    <w:div w:id="1361903776">
      <w:bodyDiv w:val="1"/>
      <w:marLeft w:val="0"/>
      <w:marRight w:val="0"/>
      <w:marTop w:val="0"/>
      <w:marBottom w:val="0"/>
      <w:divBdr>
        <w:top w:val="none" w:sz="0" w:space="0" w:color="auto"/>
        <w:left w:val="none" w:sz="0" w:space="0" w:color="auto"/>
        <w:bottom w:val="none" w:sz="0" w:space="0" w:color="auto"/>
        <w:right w:val="none" w:sz="0" w:space="0" w:color="auto"/>
      </w:divBdr>
    </w:div>
    <w:div w:id="1371152367">
      <w:bodyDiv w:val="1"/>
      <w:marLeft w:val="0"/>
      <w:marRight w:val="0"/>
      <w:marTop w:val="0"/>
      <w:marBottom w:val="0"/>
      <w:divBdr>
        <w:top w:val="none" w:sz="0" w:space="0" w:color="auto"/>
        <w:left w:val="none" w:sz="0" w:space="0" w:color="auto"/>
        <w:bottom w:val="none" w:sz="0" w:space="0" w:color="auto"/>
        <w:right w:val="none" w:sz="0" w:space="0" w:color="auto"/>
      </w:divBdr>
    </w:div>
    <w:div w:id="1386754229">
      <w:bodyDiv w:val="1"/>
      <w:marLeft w:val="0"/>
      <w:marRight w:val="0"/>
      <w:marTop w:val="0"/>
      <w:marBottom w:val="0"/>
      <w:divBdr>
        <w:top w:val="none" w:sz="0" w:space="0" w:color="auto"/>
        <w:left w:val="none" w:sz="0" w:space="0" w:color="auto"/>
        <w:bottom w:val="none" w:sz="0" w:space="0" w:color="auto"/>
        <w:right w:val="none" w:sz="0" w:space="0" w:color="auto"/>
      </w:divBdr>
    </w:div>
    <w:div w:id="1436097502">
      <w:bodyDiv w:val="1"/>
      <w:marLeft w:val="0"/>
      <w:marRight w:val="0"/>
      <w:marTop w:val="0"/>
      <w:marBottom w:val="0"/>
      <w:divBdr>
        <w:top w:val="none" w:sz="0" w:space="0" w:color="auto"/>
        <w:left w:val="none" w:sz="0" w:space="0" w:color="auto"/>
        <w:bottom w:val="none" w:sz="0" w:space="0" w:color="auto"/>
        <w:right w:val="none" w:sz="0" w:space="0" w:color="auto"/>
      </w:divBdr>
    </w:div>
    <w:div w:id="1447382094">
      <w:bodyDiv w:val="1"/>
      <w:marLeft w:val="0"/>
      <w:marRight w:val="0"/>
      <w:marTop w:val="0"/>
      <w:marBottom w:val="0"/>
      <w:divBdr>
        <w:top w:val="none" w:sz="0" w:space="0" w:color="auto"/>
        <w:left w:val="none" w:sz="0" w:space="0" w:color="auto"/>
        <w:bottom w:val="none" w:sz="0" w:space="0" w:color="auto"/>
        <w:right w:val="none" w:sz="0" w:space="0" w:color="auto"/>
      </w:divBdr>
    </w:div>
    <w:div w:id="1459492486">
      <w:bodyDiv w:val="1"/>
      <w:marLeft w:val="0"/>
      <w:marRight w:val="0"/>
      <w:marTop w:val="0"/>
      <w:marBottom w:val="0"/>
      <w:divBdr>
        <w:top w:val="none" w:sz="0" w:space="0" w:color="auto"/>
        <w:left w:val="none" w:sz="0" w:space="0" w:color="auto"/>
        <w:bottom w:val="none" w:sz="0" w:space="0" w:color="auto"/>
        <w:right w:val="none" w:sz="0" w:space="0" w:color="auto"/>
      </w:divBdr>
    </w:div>
    <w:div w:id="1497188212">
      <w:bodyDiv w:val="1"/>
      <w:marLeft w:val="0"/>
      <w:marRight w:val="0"/>
      <w:marTop w:val="0"/>
      <w:marBottom w:val="0"/>
      <w:divBdr>
        <w:top w:val="none" w:sz="0" w:space="0" w:color="auto"/>
        <w:left w:val="none" w:sz="0" w:space="0" w:color="auto"/>
        <w:bottom w:val="none" w:sz="0" w:space="0" w:color="auto"/>
        <w:right w:val="none" w:sz="0" w:space="0" w:color="auto"/>
      </w:divBdr>
    </w:div>
    <w:div w:id="1544519204">
      <w:bodyDiv w:val="1"/>
      <w:marLeft w:val="0"/>
      <w:marRight w:val="0"/>
      <w:marTop w:val="0"/>
      <w:marBottom w:val="0"/>
      <w:divBdr>
        <w:top w:val="none" w:sz="0" w:space="0" w:color="auto"/>
        <w:left w:val="none" w:sz="0" w:space="0" w:color="auto"/>
        <w:bottom w:val="none" w:sz="0" w:space="0" w:color="auto"/>
        <w:right w:val="none" w:sz="0" w:space="0" w:color="auto"/>
      </w:divBdr>
    </w:div>
    <w:div w:id="1553810073">
      <w:bodyDiv w:val="1"/>
      <w:marLeft w:val="0"/>
      <w:marRight w:val="0"/>
      <w:marTop w:val="0"/>
      <w:marBottom w:val="0"/>
      <w:divBdr>
        <w:top w:val="none" w:sz="0" w:space="0" w:color="auto"/>
        <w:left w:val="none" w:sz="0" w:space="0" w:color="auto"/>
        <w:bottom w:val="none" w:sz="0" w:space="0" w:color="auto"/>
        <w:right w:val="none" w:sz="0" w:space="0" w:color="auto"/>
      </w:divBdr>
    </w:div>
    <w:div w:id="1554466462">
      <w:bodyDiv w:val="1"/>
      <w:marLeft w:val="0"/>
      <w:marRight w:val="0"/>
      <w:marTop w:val="0"/>
      <w:marBottom w:val="0"/>
      <w:divBdr>
        <w:top w:val="none" w:sz="0" w:space="0" w:color="auto"/>
        <w:left w:val="none" w:sz="0" w:space="0" w:color="auto"/>
        <w:bottom w:val="none" w:sz="0" w:space="0" w:color="auto"/>
        <w:right w:val="none" w:sz="0" w:space="0" w:color="auto"/>
      </w:divBdr>
    </w:div>
    <w:div w:id="1557161074">
      <w:bodyDiv w:val="1"/>
      <w:marLeft w:val="0"/>
      <w:marRight w:val="0"/>
      <w:marTop w:val="0"/>
      <w:marBottom w:val="0"/>
      <w:divBdr>
        <w:top w:val="none" w:sz="0" w:space="0" w:color="auto"/>
        <w:left w:val="none" w:sz="0" w:space="0" w:color="auto"/>
        <w:bottom w:val="none" w:sz="0" w:space="0" w:color="auto"/>
        <w:right w:val="none" w:sz="0" w:space="0" w:color="auto"/>
      </w:divBdr>
    </w:div>
    <w:div w:id="1608344050">
      <w:bodyDiv w:val="1"/>
      <w:marLeft w:val="0"/>
      <w:marRight w:val="0"/>
      <w:marTop w:val="0"/>
      <w:marBottom w:val="0"/>
      <w:divBdr>
        <w:top w:val="none" w:sz="0" w:space="0" w:color="auto"/>
        <w:left w:val="none" w:sz="0" w:space="0" w:color="auto"/>
        <w:bottom w:val="none" w:sz="0" w:space="0" w:color="auto"/>
        <w:right w:val="none" w:sz="0" w:space="0" w:color="auto"/>
      </w:divBdr>
    </w:div>
    <w:div w:id="1626084473">
      <w:bodyDiv w:val="1"/>
      <w:marLeft w:val="0"/>
      <w:marRight w:val="0"/>
      <w:marTop w:val="0"/>
      <w:marBottom w:val="0"/>
      <w:divBdr>
        <w:top w:val="none" w:sz="0" w:space="0" w:color="auto"/>
        <w:left w:val="none" w:sz="0" w:space="0" w:color="auto"/>
        <w:bottom w:val="none" w:sz="0" w:space="0" w:color="auto"/>
        <w:right w:val="none" w:sz="0" w:space="0" w:color="auto"/>
      </w:divBdr>
    </w:div>
    <w:div w:id="1648629840">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694259349">
      <w:bodyDiv w:val="1"/>
      <w:marLeft w:val="0"/>
      <w:marRight w:val="0"/>
      <w:marTop w:val="0"/>
      <w:marBottom w:val="0"/>
      <w:divBdr>
        <w:top w:val="none" w:sz="0" w:space="0" w:color="auto"/>
        <w:left w:val="none" w:sz="0" w:space="0" w:color="auto"/>
        <w:bottom w:val="none" w:sz="0" w:space="0" w:color="auto"/>
        <w:right w:val="none" w:sz="0" w:space="0" w:color="auto"/>
      </w:divBdr>
    </w:div>
    <w:div w:id="1744795005">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75436178">
      <w:bodyDiv w:val="1"/>
      <w:marLeft w:val="0"/>
      <w:marRight w:val="0"/>
      <w:marTop w:val="0"/>
      <w:marBottom w:val="0"/>
      <w:divBdr>
        <w:top w:val="none" w:sz="0" w:space="0" w:color="auto"/>
        <w:left w:val="none" w:sz="0" w:space="0" w:color="auto"/>
        <w:bottom w:val="none" w:sz="0" w:space="0" w:color="auto"/>
        <w:right w:val="none" w:sz="0" w:space="0" w:color="auto"/>
      </w:divBdr>
    </w:div>
    <w:div w:id="1823697703">
      <w:bodyDiv w:val="1"/>
      <w:marLeft w:val="0"/>
      <w:marRight w:val="0"/>
      <w:marTop w:val="0"/>
      <w:marBottom w:val="0"/>
      <w:divBdr>
        <w:top w:val="none" w:sz="0" w:space="0" w:color="auto"/>
        <w:left w:val="none" w:sz="0" w:space="0" w:color="auto"/>
        <w:bottom w:val="none" w:sz="0" w:space="0" w:color="auto"/>
        <w:right w:val="none" w:sz="0" w:space="0" w:color="auto"/>
      </w:divBdr>
      <w:divsChild>
        <w:div w:id="1005592384">
          <w:marLeft w:val="0"/>
          <w:marRight w:val="0"/>
          <w:marTop w:val="0"/>
          <w:marBottom w:val="0"/>
          <w:divBdr>
            <w:top w:val="none" w:sz="0" w:space="0" w:color="auto"/>
            <w:left w:val="none" w:sz="0" w:space="0" w:color="auto"/>
            <w:bottom w:val="none" w:sz="0" w:space="0" w:color="auto"/>
            <w:right w:val="none" w:sz="0" w:space="0" w:color="auto"/>
          </w:divBdr>
          <w:divsChild>
            <w:div w:id="617495181">
              <w:marLeft w:val="0"/>
              <w:marRight w:val="0"/>
              <w:marTop w:val="0"/>
              <w:marBottom w:val="0"/>
              <w:divBdr>
                <w:top w:val="none" w:sz="0" w:space="0" w:color="auto"/>
                <w:left w:val="none" w:sz="0" w:space="0" w:color="auto"/>
                <w:bottom w:val="none" w:sz="0" w:space="0" w:color="auto"/>
                <w:right w:val="none" w:sz="0" w:space="0" w:color="auto"/>
              </w:divBdr>
            </w:div>
          </w:divsChild>
        </w:div>
        <w:div w:id="1700625016">
          <w:marLeft w:val="0"/>
          <w:marRight w:val="0"/>
          <w:marTop w:val="0"/>
          <w:marBottom w:val="0"/>
          <w:divBdr>
            <w:top w:val="none" w:sz="0" w:space="0" w:color="auto"/>
            <w:left w:val="none" w:sz="0" w:space="0" w:color="auto"/>
            <w:bottom w:val="none" w:sz="0" w:space="0" w:color="auto"/>
            <w:right w:val="none" w:sz="0" w:space="0" w:color="auto"/>
          </w:divBdr>
        </w:div>
      </w:divsChild>
    </w:div>
    <w:div w:id="1890680608">
      <w:bodyDiv w:val="1"/>
      <w:marLeft w:val="0"/>
      <w:marRight w:val="0"/>
      <w:marTop w:val="0"/>
      <w:marBottom w:val="0"/>
      <w:divBdr>
        <w:top w:val="none" w:sz="0" w:space="0" w:color="auto"/>
        <w:left w:val="none" w:sz="0" w:space="0" w:color="auto"/>
        <w:bottom w:val="none" w:sz="0" w:space="0" w:color="auto"/>
        <w:right w:val="none" w:sz="0" w:space="0" w:color="auto"/>
      </w:divBdr>
    </w:div>
    <w:div w:id="1896815057">
      <w:bodyDiv w:val="1"/>
      <w:marLeft w:val="0"/>
      <w:marRight w:val="0"/>
      <w:marTop w:val="0"/>
      <w:marBottom w:val="0"/>
      <w:divBdr>
        <w:top w:val="none" w:sz="0" w:space="0" w:color="auto"/>
        <w:left w:val="none" w:sz="0" w:space="0" w:color="auto"/>
        <w:bottom w:val="none" w:sz="0" w:space="0" w:color="auto"/>
        <w:right w:val="none" w:sz="0" w:space="0" w:color="auto"/>
      </w:divBdr>
    </w:div>
    <w:div w:id="1907950471">
      <w:bodyDiv w:val="1"/>
      <w:marLeft w:val="0"/>
      <w:marRight w:val="0"/>
      <w:marTop w:val="0"/>
      <w:marBottom w:val="0"/>
      <w:divBdr>
        <w:top w:val="none" w:sz="0" w:space="0" w:color="auto"/>
        <w:left w:val="none" w:sz="0" w:space="0" w:color="auto"/>
        <w:bottom w:val="none" w:sz="0" w:space="0" w:color="auto"/>
        <w:right w:val="none" w:sz="0" w:space="0" w:color="auto"/>
      </w:divBdr>
    </w:div>
    <w:div w:id="1925216203">
      <w:bodyDiv w:val="1"/>
      <w:marLeft w:val="0"/>
      <w:marRight w:val="0"/>
      <w:marTop w:val="0"/>
      <w:marBottom w:val="0"/>
      <w:divBdr>
        <w:top w:val="none" w:sz="0" w:space="0" w:color="auto"/>
        <w:left w:val="none" w:sz="0" w:space="0" w:color="auto"/>
        <w:bottom w:val="none" w:sz="0" w:space="0" w:color="auto"/>
        <w:right w:val="none" w:sz="0" w:space="0" w:color="auto"/>
      </w:divBdr>
    </w:div>
    <w:div w:id="1931115614">
      <w:bodyDiv w:val="1"/>
      <w:marLeft w:val="0"/>
      <w:marRight w:val="0"/>
      <w:marTop w:val="0"/>
      <w:marBottom w:val="0"/>
      <w:divBdr>
        <w:top w:val="none" w:sz="0" w:space="0" w:color="auto"/>
        <w:left w:val="none" w:sz="0" w:space="0" w:color="auto"/>
        <w:bottom w:val="none" w:sz="0" w:space="0" w:color="auto"/>
        <w:right w:val="none" w:sz="0" w:space="0" w:color="auto"/>
      </w:divBdr>
    </w:div>
    <w:div w:id="1931700023">
      <w:bodyDiv w:val="1"/>
      <w:marLeft w:val="0"/>
      <w:marRight w:val="0"/>
      <w:marTop w:val="0"/>
      <w:marBottom w:val="0"/>
      <w:divBdr>
        <w:top w:val="none" w:sz="0" w:space="0" w:color="auto"/>
        <w:left w:val="none" w:sz="0" w:space="0" w:color="auto"/>
        <w:bottom w:val="none" w:sz="0" w:space="0" w:color="auto"/>
        <w:right w:val="none" w:sz="0" w:space="0" w:color="auto"/>
      </w:divBdr>
      <w:divsChild>
        <w:div w:id="35742556">
          <w:marLeft w:val="0"/>
          <w:marRight w:val="0"/>
          <w:marTop w:val="0"/>
          <w:marBottom w:val="0"/>
          <w:divBdr>
            <w:top w:val="none" w:sz="0" w:space="0" w:color="auto"/>
            <w:left w:val="none" w:sz="0" w:space="0" w:color="auto"/>
            <w:bottom w:val="none" w:sz="0" w:space="0" w:color="auto"/>
            <w:right w:val="none" w:sz="0" w:space="0" w:color="auto"/>
          </w:divBdr>
          <w:divsChild>
            <w:div w:id="1998268419">
              <w:marLeft w:val="0"/>
              <w:marRight w:val="0"/>
              <w:marTop w:val="0"/>
              <w:marBottom w:val="0"/>
              <w:divBdr>
                <w:top w:val="none" w:sz="0" w:space="0" w:color="auto"/>
                <w:left w:val="none" w:sz="0" w:space="0" w:color="auto"/>
                <w:bottom w:val="none" w:sz="0" w:space="0" w:color="auto"/>
                <w:right w:val="none" w:sz="0" w:space="0" w:color="auto"/>
              </w:divBdr>
            </w:div>
          </w:divsChild>
        </w:div>
        <w:div w:id="1607152416">
          <w:marLeft w:val="0"/>
          <w:marRight w:val="0"/>
          <w:marTop w:val="0"/>
          <w:marBottom w:val="0"/>
          <w:divBdr>
            <w:top w:val="none" w:sz="0" w:space="0" w:color="auto"/>
            <w:left w:val="none" w:sz="0" w:space="0" w:color="auto"/>
            <w:bottom w:val="none" w:sz="0" w:space="0" w:color="auto"/>
            <w:right w:val="none" w:sz="0" w:space="0" w:color="auto"/>
          </w:divBdr>
        </w:div>
      </w:divsChild>
    </w:div>
    <w:div w:id="1949701415">
      <w:bodyDiv w:val="1"/>
      <w:marLeft w:val="0"/>
      <w:marRight w:val="0"/>
      <w:marTop w:val="0"/>
      <w:marBottom w:val="0"/>
      <w:divBdr>
        <w:top w:val="none" w:sz="0" w:space="0" w:color="auto"/>
        <w:left w:val="none" w:sz="0" w:space="0" w:color="auto"/>
        <w:bottom w:val="none" w:sz="0" w:space="0" w:color="auto"/>
        <w:right w:val="none" w:sz="0" w:space="0" w:color="auto"/>
      </w:divBdr>
    </w:div>
    <w:div w:id="1974168111">
      <w:bodyDiv w:val="1"/>
      <w:marLeft w:val="0"/>
      <w:marRight w:val="0"/>
      <w:marTop w:val="0"/>
      <w:marBottom w:val="0"/>
      <w:divBdr>
        <w:top w:val="none" w:sz="0" w:space="0" w:color="auto"/>
        <w:left w:val="none" w:sz="0" w:space="0" w:color="auto"/>
        <w:bottom w:val="none" w:sz="0" w:space="0" w:color="auto"/>
        <w:right w:val="none" w:sz="0" w:space="0" w:color="auto"/>
      </w:divBdr>
    </w:div>
    <w:div w:id="1974940749">
      <w:bodyDiv w:val="1"/>
      <w:marLeft w:val="0"/>
      <w:marRight w:val="0"/>
      <w:marTop w:val="0"/>
      <w:marBottom w:val="0"/>
      <w:divBdr>
        <w:top w:val="none" w:sz="0" w:space="0" w:color="auto"/>
        <w:left w:val="none" w:sz="0" w:space="0" w:color="auto"/>
        <w:bottom w:val="none" w:sz="0" w:space="0" w:color="auto"/>
        <w:right w:val="none" w:sz="0" w:space="0" w:color="auto"/>
      </w:divBdr>
    </w:div>
    <w:div w:id="1978103785">
      <w:bodyDiv w:val="1"/>
      <w:marLeft w:val="0"/>
      <w:marRight w:val="0"/>
      <w:marTop w:val="0"/>
      <w:marBottom w:val="0"/>
      <w:divBdr>
        <w:top w:val="none" w:sz="0" w:space="0" w:color="auto"/>
        <w:left w:val="none" w:sz="0" w:space="0" w:color="auto"/>
        <w:bottom w:val="none" w:sz="0" w:space="0" w:color="auto"/>
        <w:right w:val="none" w:sz="0" w:space="0" w:color="auto"/>
      </w:divBdr>
    </w:div>
    <w:div w:id="1995717903">
      <w:bodyDiv w:val="1"/>
      <w:marLeft w:val="0"/>
      <w:marRight w:val="0"/>
      <w:marTop w:val="0"/>
      <w:marBottom w:val="0"/>
      <w:divBdr>
        <w:top w:val="none" w:sz="0" w:space="0" w:color="auto"/>
        <w:left w:val="none" w:sz="0" w:space="0" w:color="auto"/>
        <w:bottom w:val="none" w:sz="0" w:space="0" w:color="auto"/>
        <w:right w:val="none" w:sz="0" w:space="0" w:color="auto"/>
      </w:divBdr>
    </w:div>
    <w:div w:id="2006929369">
      <w:bodyDiv w:val="1"/>
      <w:marLeft w:val="0"/>
      <w:marRight w:val="0"/>
      <w:marTop w:val="0"/>
      <w:marBottom w:val="0"/>
      <w:divBdr>
        <w:top w:val="none" w:sz="0" w:space="0" w:color="auto"/>
        <w:left w:val="none" w:sz="0" w:space="0" w:color="auto"/>
        <w:bottom w:val="none" w:sz="0" w:space="0" w:color="auto"/>
        <w:right w:val="none" w:sz="0" w:space="0" w:color="auto"/>
      </w:divBdr>
    </w:div>
    <w:div w:id="2059011547">
      <w:bodyDiv w:val="1"/>
      <w:marLeft w:val="0"/>
      <w:marRight w:val="0"/>
      <w:marTop w:val="0"/>
      <w:marBottom w:val="0"/>
      <w:divBdr>
        <w:top w:val="none" w:sz="0" w:space="0" w:color="auto"/>
        <w:left w:val="none" w:sz="0" w:space="0" w:color="auto"/>
        <w:bottom w:val="none" w:sz="0" w:space="0" w:color="auto"/>
        <w:right w:val="none" w:sz="0" w:space="0" w:color="auto"/>
      </w:divBdr>
    </w:div>
    <w:div w:id="210410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3F95-AA02-4047-8BF3-1E5A2E8CC77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846</Words>
  <Characters>5121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Eisan, Jenna (EHS)</dc:creator>
  <cp:lastModifiedBy>Eisan, Jenna (EHS)</cp:lastModifiedBy>
  <cp:revision>13</cp:revision>
  <cp:lastPrinted>2025-02-06T18:47:00Z</cp:lastPrinted>
  <dcterms:created xsi:type="dcterms:W3CDTF">2025-06-18T16:45:00Z</dcterms:created>
  <dcterms:modified xsi:type="dcterms:W3CDTF">2025-06-18T17:05:00Z</dcterms:modified>
</cp:coreProperties>
</file>