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329F5711" w:rsidR="008F2307" w:rsidRPr="00F80EEE" w:rsidRDefault="006431A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59264" behindDoc="1" locked="0" layoutInCell="1" allowOverlap="1" wp14:anchorId="665DCAF1" wp14:editId="710006EA">
            <wp:simplePos x="0" y="0"/>
            <wp:positionH relativeFrom="column">
              <wp:posOffset>0</wp:posOffset>
            </wp:positionH>
            <wp:positionV relativeFrom="paragraph">
              <wp:posOffset>0</wp:posOffset>
            </wp:positionV>
            <wp:extent cx="6611112" cy="1847088"/>
            <wp:effectExtent l="0" t="0" r="0" b="1270"/>
            <wp:wrapNone/>
            <wp:docPr id="121357806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8066" name="Picture 1" descr="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1112" cy="1847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w:t>
      </w:r>
      <w:r w:rsidR="00C31E2C">
        <w:rPr>
          <w:rFonts w:ascii="Arial Narrow" w:hAnsi="Arial Narrow"/>
          <w:b/>
          <w:color w:val="auto"/>
          <w:sz w:val="20"/>
          <w:szCs w:val="20"/>
        </w:rPr>
        <w:t>50</w:t>
      </w:r>
      <w:r w:rsidR="008F2307" w:rsidRPr="00F80EEE">
        <w:rPr>
          <w:rFonts w:ascii="Arial Narrow" w:hAnsi="Arial Narrow"/>
          <w:b/>
          <w:color w:val="auto"/>
          <w:sz w:val="20"/>
          <w:szCs w:val="20"/>
        </w:rPr>
        <w:t xml:space="preserve">, </w:t>
      </w:r>
      <w:r w:rsidR="00821356">
        <w:rPr>
          <w:rFonts w:ascii="Arial Narrow" w:hAnsi="Arial Narrow"/>
          <w:b/>
          <w:color w:val="auto"/>
          <w:sz w:val="20"/>
          <w:szCs w:val="20"/>
        </w:rPr>
        <w:t>August</w:t>
      </w:r>
      <w:r w:rsidR="00256E8B">
        <w:rPr>
          <w:rFonts w:ascii="Arial Narrow" w:hAnsi="Arial Narrow"/>
          <w:b/>
          <w:color w:val="auto"/>
          <w:sz w:val="20"/>
          <w:szCs w:val="20"/>
        </w:rPr>
        <w:t xml:space="preserve"> </w:t>
      </w:r>
      <w:r w:rsidR="000001BE">
        <w:rPr>
          <w:rFonts w:ascii="Arial Narrow" w:hAnsi="Arial Narrow"/>
          <w:b/>
          <w:color w:val="auto"/>
          <w:sz w:val="20"/>
          <w:szCs w:val="20"/>
        </w:rPr>
        <w:t>1</w:t>
      </w:r>
      <w:r w:rsidR="00A4506A">
        <w:rPr>
          <w:rFonts w:ascii="Arial Narrow" w:hAnsi="Arial Narrow"/>
          <w:b/>
          <w:color w:val="auto"/>
          <w:sz w:val="20"/>
          <w:szCs w:val="20"/>
        </w:rPr>
        <w:t>,</w:t>
      </w:r>
      <w:r w:rsidR="00256E8B">
        <w:rPr>
          <w:rFonts w:ascii="Arial Narrow" w:hAnsi="Arial Narrow"/>
          <w:b/>
          <w:color w:val="auto"/>
          <w:sz w:val="20"/>
          <w:szCs w:val="20"/>
        </w:rPr>
        <w:t xml:space="preserve"> 2025</w:t>
      </w:r>
    </w:p>
    <w:p w14:paraId="50A17C1C" w14:textId="18B4A816"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default" r:id="rId9"/>
          <w:footerReference w:type="default" r:id="rId10"/>
          <w:footerReference w:type="first" r:id="rId11"/>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743960F3" w14:textId="77777777" w:rsidR="00256E8B" w:rsidRPr="00E37E21" w:rsidRDefault="00256E8B" w:rsidP="00E37E21">
      <w:pPr>
        <w:pStyle w:val="Title"/>
      </w:pPr>
      <w:bookmarkStart w:id="0" w:name="_Hlk179280234"/>
      <w:r w:rsidRPr="00E37E21">
        <w:t>MassHealth Drug List Update</w:t>
      </w:r>
    </w:p>
    <w:p w14:paraId="0F4527C4" w14:textId="12C9FB9F" w:rsidR="00256E8B" w:rsidRDefault="00256E8B" w:rsidP="00E37E21">
      <w:pPr>
        <w:rPr>
          <w:rFonts w:ascii="Arial" w:hAnsi="Arial" w:cs="Arial"/>
          <w:sz w:val="22"/>
          <w:szCs w:val="22"/>
        </w:rPr>
      </w:pPr>
      <w:r w:rsidRPr="00E37E21">
        <w:rPr>
          <w:rFonts w:ascii="Arial" w:hAnsi="Arial" w:cs="Arial"/>
          <w:sz w:val="22"/>
          <w:szCs w:val="22"/>
        </w:rPr>
        <w:t xml:space="preserve">Below are updates to the MassHealth Drug List (MHDL). See </w:t>
      </w:r>
      <w:proofErr w:type="gramStart"/>
      <w:r w:rsidRPr="00E37E21">
        <w:rPr>
          <w:rFonts w:ascii="Arial" w:hAnsi="Arial" w:cs="Arial"/>
          <w:sz w:val="22"/>
          <w:szCs w:val="22"/>
        </w:rPr>
        <w:t>the MHDL</w:t>
      </w:r>
      <w:proofErr w:type="gramEnd"/>
      <w:r w:rsidR="000A7CE1">
        <w:rPr>
          <w:rFonts w:ascii="Arial" w:hAnsi="Arial" w:cs="Arial"/>
          <w:sz w:val="22"/>
          <w:szCs w:val="22"/>
        </w:rPr>
        <w:t xml:space="preserve"> </w:t>
      </w:r>
      <w:r w:rsidRPr="00E37E21">
        <w:rPr>
          <w:rFonts w:ascii="Arial" w:hAnsi="Arial" w:cs="Arial"/>
          <w:sz w:val="22"/>
          <w:szCs w:val="22"/>
        </w:rPr>
        <w:t>for a complete listing of updates.</w:t>
      </w:r>
    </w:p>
    <w:p w14:paraId="250BA479" w14:textId="77777777" w:rsidR="00742D9C" w:rsidRDefault="00742D9C" w:rsidP="00E37E21"/>
    <w:p w14:paraId="4A49FE61" w14:textId="1BC0CED0" w:rsidR="00692C5C" w:rsidRPr="00E37E21" w:rsidRDefault="00692C5C" w:rsidP="00E37E21">
      <w:pPr>
        <w:pStyle w:val="Heading1"/>
        <w:spacing w:line="276" w:lineRule="auto"/>
        <w:rPr>
          <w:rFonts w:ascii="Arial" w:eastAsia="Yu Gothic Light" w:hAnsi="Arial"/>
          <w:sz w:val="24"/>
          <w:szCs w:val="24"/>
        </w:rPr>
      </w:pPr>
      <w:r w:rsidRPr="00E37E21">
        <w:rPr>
          <w:rFonts w:ascii="Arial" w:eastAsia="Yu Gothic Light" w:hAnsi="Arial"/>
          <w:sz w:val="24"/>
          <w:szCs w:val="24"/>
        </w:rPr>
        <w:t>Additions</w:t>
      </w:r>
    </w:p>
    <w:p w14:paraId="3C38D567" w14:textId="77777777" w:rsidR="0061735E" w:rsidRPr="0061735E" w:rsidRDefault="0061735E" w:rsidP="0061735E">
      <w:pPr>
        <w:autoSpaceDE w:val="0"/>
        <w:autoSpaceDN w:val="0"/>
        <w:adjustRightInd w:val="0"/>
        <w:rPr>
          <w:rFonts w:ascii="Arial" w:eastAsia="Calibri" w:hAnsi="Arial" w:cs="Arial"/>
          <w:color w:val="000000"/>
          <w:sz w:val="22"/>
          <w:szCs w:val="21"/>
        </w:rPr>
      </w:pPr>
      <w:r w:rsidRPr="0061735E">
        <w:rPr>
          <w:rFonts w:ascii="Arial" w:eastAsia="Calibri" w:hAnsi="Arial" w:cs="Arial"/>
          <w:color w:val="000000"/>
          <w:sz w:val="22"/>
          <w:szCs w:val="22"/>
        </w:rPr>
        <w:t>Effective August 11, 2025, the</w:t>
      </w:r>
      <w:r w:rsidRPr="0061735E">
        <w:rPr>
          <w:rFonts w:ascii="Arial" w:eastAsia="Calibri" w:hAnsi="Arial" w:cs="Arial"/>
          <w:color w:val="000000"/>
          <w:sz w:val="22"/>
          <w:szCs w:val="21"/>
        </w:rPr>
        <w:t xml:space="preserve"> following newly marketed drugs have been added to the MassHealth Drug List. </w:t>
      </w:r>
    </w:p>
    <w:p w14:paraId="6B5FB379"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bookmarkStart w:id="1" w:name="_Hlk86933353"/>
      <w:proofErr w:type="spellStart"/>
      <w:r w:rsidRPr="0061735E">
        <w:rPr>
          <w:rFonts w:ascii="Arial" w:eastAsia="Calibri" w:hAnsi="Arial" w:cs="Arial"/>
          <w:color w:val="000000"/>
          <w:sz w:val="22"/>
          <w:szCs w:val="22"/>
        </w:rPr>
        <w:t>Grafapex</w:t>
      </w:r>
      <w:proofErr w:type="spellEnd"/>
      <w:r w:rsidRPr="0061735E">
        <w:rPr>
          <w:rFonts w:ascii="Arial" w:eastAsia="Calibri" w:hAnsi="Arial" w:cs="Arial"/>
          <w:color w:val="000000"/>
          <w:sz w:val="22"/>
          <w:szCs w:val="22"/>
        </w:rPr>
        <w:t xml:space="preserve"> (</w:t>
      </w:r>
      <w:proofErr w:type="spellStart"/>
      <w:r w:rsidRPr="0061735E">
        <w:rPr>
          <w:rFonts w:ascii="Arial" w:eastAsia="Calibri" w:hAnsi="Arial" w:cs="Arial"/>
          <w:color w:val="000000"/>
          <w:sz w:val="22"/>
          <w:szCs w:val="22"/>
        </w:rPr>
        <w:t>treosulfan</w:t>
      </w:r>
      <w:proofErr w:type="spellEnd"/>
      <w:r w:rsidRPr="0061735E">
        <w:rPr>
          <w:rFonts w:ascii="Arial" w:eastAsia="Calibri" w:hAnsi="Arial" w:cs="Arial"/>
          <w:color w:val="000000"/>
          <w:sz w:val="22"/>
          <w:szCs w:val="22"/>
        </w:rPr>
        <w:t xml:space="preserve">) – </w:t>
      </w:r>
      <w:r w:rsidRPr="0061735E">
        <w:rPr>
          <w:rFonts w:ascii="Arial" w:eastAsia="Calibri" w:hAnsi="Arial" w:cs="Arial"/>
          <w:b/>
          <w:bCs/>
          <w:color w:val="000000"/>
          <w:sz w:val="22"/>
          <w:szCs w:val="22"/>
        </w:rPr>
        <w:t>PA</w:t>
      </w:r>
      <w:r w:rsidRPr="0061735E">
        <w:rPr>
          <w:rFonts w:ascii="Arial" w:eastAsia="Calibri" w:hAnsi="Arial" w:cs="Arial"/>
          <w:color w:val="000000"/>
          <w:sz w:val="22"/>
          <w:szCs w:val="22"/>
        </w:rPr>
        <w:t>; MB</w:t>
      </w:r>
    </w:p>
    <w:p w14:paraId="517507BE"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r w:rsidRPr="0061735E">
        <w:rPr>
          <w:rFonts w:ascii="Arial" w:eastAsia="Calibri" w:hAnsi="Arial" w:cs="Arial"/>
          <w:color w:val="000000"/>
          <w:sz w:val="22"/>
          <w:szCs w:val="22"/>
        </w:rPr>
        <w:t>Ivra (melphalan hydrochloride injection); MB</w:t>
      </w:r>
    </w:p>
    <w:p w14:paraId="11B6D553"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proofErr w:type="spellStart"/>
      <w:r w:rsidRPr="0061735E">
        <w:rPr>
          <w:rFonts w:ascii="Arial" w:eastAsia="Calibri" w:hAnsi="Arial" w:cs="Arial"/>
          <w:color w:val="000000"/>
          <w:sz w:val="22"/>
          <w:szCs w:val="22"/>
        </w:rPr>
        <w:t>Niktimvo</w:t>
      </w:r>
      <w:proofErr w:type="spellEnd"/>
      <w:r w:rsidRPr="0061735E">
        <w:rPr>
          <w:rFonts w:ascii="Arial" w:eastAsia="Calibri" w:hAnsi="Arial" w:cs="Arial"/>
          <w:color w:val="000000"/>
          <w:sz w:val="22"/>
          <w:szCs w:val="22"/>
        </w:rPr>
        <w:t xml:space="preserve"> (</w:t>
      </w:r>
      <w:proofErr w:type="spellStart"/>
      <w:r w:rsidRPr="0061735E">
        <w:rPr>
          <w:rFonts w:ascii="Arial" w:eastAsia="Calibri" w:hAnsi="Arial" w:cs="Arial"/>
          <w:color w:val="000000"/>
          <w:sz w:val="22"/>
          <w:szCs w:val="22"/>
        </w:rPr>
        <w:t>axatilimab-csfr</w:t>
      </w:r>
      <w:proofErr w:type="spellEnd"/>
      <w:r w:rsidRPr="0061735E">
        <w:rPr>
          <w:rFonts w:ascii="Arial" w:eastAsia="Calibri" w:hAnsi="Arial" w:cs="Arial"/>
          <w:color w:val="000000"/>
          <w:sz w:val="22"/>
          <w:szCs w:val="22"/>
        </w:rPr>
        <w:t>) –</w:t>
      </w:r>
      <w:r w:rsidRPr="0061735E">
        <w:rPr>
          <w:rFonts w:ascii="Arial" w:eastAsia="Calibri" w:hAnsi="Arial" w:cs="Arial"/>
          <w:b/>
          <w:bCs/>
          <w:color w:val="000000"/>
          <w:sz w:val="22"/>
          <w:szCs w:val="22"/>
        </w:rPr>
        <w:t xml:space="preserve"> PA</w:t>
      </w:r>
      <w:r w:rsidRPr="0061735E">
        <w:rPr>
          <w:rFonts w:ascii="Arial" w:eastAsia="Calibri" w:hAnsi="Arial" w:cs="Arial"/>
          <w:color w:val="000000"/>
          <w:sz w:val="22"/>
          <w:szCs w:val="22"/>
        </w:rPr>
        <w:t xml:space="preserve">; MB </w:t>
      </w:r>
    </w:p>
    <w:p w14:paraId="2E2287B4"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proofErr w:type="spellStart"/>
      <w:r w:rsidRPr="0061735E">
        <w:rPr>
          <w:rFonts w:ascii="Arial" w:eastAsia="Calibri" w:hAnsi="Arial" w:cs="Arial"/>
          <w:color w:val="000000"/>
          <w:sz w:val="22"/>
          <w:szCs w:val="22"/>
        </w:rPr>
        <w:t>Raldesy</w:t>
      </w:r>
      <w:proofErr w:type="spellEnd"/>
      <w:r w:rsidRPr="0061735E">
        <w:rPr>
          <w:rFonts w:ascii="Arial" w:eastAsia="Calibri" w:hAnsi="Arial" w:cs="Arial"/>
          <w:color w:val="000000"/>
          <w:sz w:val="22"/>
          <w:szCs w:val="22"/>
        </w:rPr>
        <w:t xml:space="preserve"> (trazodone solution) – </w:t>
      </w:r>
      <w:r w:rsidRPr="0061735E">
        <w:rPr>
          <w:rFonts w:ascii="Arial" w:eastAsia="Calibri" w:hAnsi="Arial" w:cs="Arial"/>
          <w:b/>
          <w:bCs/>
          <w:color w:val="000000"/>
          <w:sz w:val="22"/>
          <w:szCs w:val="22"/>
        </w:rPr>
        <w:t>PA</w:t>
      </w:r>
    </w:p>
    <w:p w14:paraId="7DBCC0DB"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b/>
          <w:bCs/>
          <w:color w:val="000000"/>
          <w:sz w:val="22"/>
          <w:szCs w:val="22"/>
        </w:rPr>
      </w:pPr>
      <w:proofErr w:type="spellStart"/>
      <w:r w:rsidRPr="0061735E">
        <w:rPr>
          <w:rFonts w:ascii="Arial" w:eastAsia="Calibri" w:hAnsi="Arial" w:cs="Arial"/>
          <w:color w:val="000000"/>
          <w:sz w:val="22"/>
          <w:szCs w:val="22"/>
        </w:rPr>
        <w:t>Romvimza</w:t>
      </w:r>
      <w:proofErr w:type="spellEnd"/>
      <w:r w:rsidRPr="0061735E">
        <w:rPr>
          <w:rFonts w:ascii="Arial" w:eastAsia="Calibri" w:hAnsi="Arial" w:cs="Arial"/>
          <w:color w:val="000000"/>
          <w:sz w:val="22"/>
          <w:szCs w:val="22"/>
        </w:rPr>
        <w:t xml:space="preserve"> (</w:t>
      </w:r>
      <w:proofErr w:type="spellStart"/>
      <w:r w:rsidRPr="0061735E">
        <w:rPr>
          <w:rFonts w:ascii="Arial" w:eastAsia="Calibri" w:hAnsi="Arial" w:cs="Arial"/>
          <w:color w:val="000000"/>
          <w:sz w:val="22"/>
          <w:szCs w:val="22"/>
        </w:rPr>
        <w:t>vimseltinib</w:t>
      </w:r>
      <w:proofErr w:type="spellEnd"/>
      <w:r w:rsidRPr="0061735E">
        <w:rPr>
          <w:rFonts w:ascii="Arial" w:eastAsia="Calibri" w:hAnsi="Arial" w:cs="Arial"/>
          <w:color w:val="000000"/>
          <w:sz w:val="22"/>
          <w:szCs w:val="22"/>
        </w:rPr>
        <w:t>) –</w:t>
      </w:r>
      <w:r w:rsidRPr="0061735E">
        <w:rPr>
          <w:rFonts w:ascii="Arial" w:eastAsia="Calibri" w:hAnsi="Arial" w:cs="Arial"/>
          <w:b/>
          <w:bCs/>
          <w:color w:val="000000"/>
          <w:sz w:val="22"/>
          <w:szCs w:val="22"/>
        </w:rPr>
        <w:t xml:space="preserve"> PA</w:t>
      </w:r>
    </w:p>
    <w:p w14:paraId="4D3F81CD"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proofErr w:type="spellStart"/>
      <w:r w:rsidRPr="0061735E">
        <w:rPr>
          <w:rFonts w:ascii="Arial" w:eastAsia="Calibri" w:hAnsi="Arial" w:cs="Arial"/>
          <w:color w:val="000000"/>
          <w:sz w:val="22"/>
          <w:szCs w:val="22"/>
        </w:rPr>
        <w:t>Tryngolza</w:t>
      </w:r>
      <w:proofErr w:type="spellEnd"/>
      <w:r w:rsidRPr="0061735E">
        <w:rPr>
          <w:rFonts w:ascii="Arial" w:eastAsia="Calibri" w:hAnsi="Arial" w:cs="Arial"/>
          <w:color w:val="000000"/>
          <w:sz w:val="22"/>
          <w:szCs w:val="22"/>
        </w:rPr>
        <w:t xml:space="preserve"> (</w:t>
      </w:r>
      <w:proofErr w:type="spellStart"/>
      <w:r w:rsidRPr="0061735E">
        <w:rPr>
          <w:rFonts w:ascii="Arial" w:eastAsia="Calibri" w:hAnsi="Arial" w:cs="Arial"/>
          <w:color w:val="000000"/>
          <w:sz w:val="22"/>
          <w:szCs w:val="22"/>
        </w:rPr>
        <w:t>olezarsen</w:t>
      </w:r>
      <w:proofErr w:type="spellEnd"/>
      <w:r w:rsidRPr="0061735E">
        <w:rPr>
          <w:rFonts w:ascii="Arial" w:eastAsia="Calibri" w:hAnsi="Arial" w:cs="Arial"/>
          <w:color w:val="000000"/>
          <w:sz w:val="22"/>
          <w:szCs w:val="22"/>
        </w:rPr>
        <w:t xml:space="preserve">) – </w:t>
      </w:r>
      <w:r w:rsidRPr="0061735E">
        <w:rPr>
          <w:rFonts w:ascii="Arial" w:eastAsia="Calibri" w:hAnsi="Arial" w:cs="Arial"/>
          <w:b/>
          <w:bCs/>
          <w:color w:val="000000"/>
          <w:sz w:val="22"/>
          <w:szCs w:val="22"/>
        </w:rPr>
        <w:t>PA</w:t>
      </w:r>
      <w:bookmarkEnd w:id="1"/>
    </w:p>
    <w:p w14:paraId="18637336"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proofErr w:type="spellStart"/>
      <w:r w:rsidRPr="0061735E">
        <w:rPr>
          <w:rFonts w:ascii="Arial" w:eastAsia="Calibri" w:hAnsi="Arial" w:cs="Arial"/>
          <w:color w:val="000000"/>
          <w:sz w:val="22"/>
          <w:szCs w:val="22"/>
        </w:rPr>
        <w:t>ustekinumab</w:t>
      </w:r>
      <w:proofErr w:type="spellEnd"/>
      <w:r w:rsidRPr="0061735E">
        <w:rPr>
          <w:rFonts w:ascii="Arial" w:eastAsia="Calibri" w:hAnsi="Arial" w:cs="Arial"/>
          <w:color w:val="000000"/>
          <w:sz w:val="22"/>
          <w:szCs w:val="22"/>
        </w:rPr>
        <w:t xml:space="preserve">, unbranded prefilled syringe, 45 mg/0.5 mL vial – </w:t>
      </w:r>
      <w:r w:rsidRPr="0061735E">
        <w:rPr>
          <w:rFonts w:ascii="Arial" w:eastAsia="Calibri" w:hAnsi="Arial" w:cs="Arial"/>
          <w:b/>
          <w:bCs/>
          <w:color w:val="000000"/>
          <w:sz w:val="22"/>
          <w:szCs w:val="22"/>
        </w:rPr>
        <w:t>PA</w:t>
      </w:r>
    </w:p>
    <w:p w14:paraId="3A479B03" w14:textId="77777777" w:rsidR="0061735E" w:rsidRPr="0061735E" w:rsidRDefault="0061735E" w:rsidP="0061735E">
      <w:pPr>
        <w:numPr>
          <w:ilvl w:val="0"/>
          <w:numId w:val="13"/>
        </w:numPr>
        <w:autoSpaceDE w:val="0"/>
        <w:autoSpaceDN w:val="0"/>
        <w:adjustRightInd w:val="0"/>
        <w:spacing w:line="276" w:lineRule="auto"/>
        <w:rPr>
          <w:rFonts w:ascii="Arial" w:eastAsia="Calibri" w:hAnsi="Arial" w:cs="Arial"/>
          <w:color w:val="000000"/>
          <w:sz w:val="22"/>
          <w:szCs w:val="22"/>
        </w:rPr>
      </w:pPr>
      <w:proofErr w:type="spellStart"/>
      <w:r w:rsidRPr="0061735E">
        <w:rPr>
          <w:rFonts w:ascii="Arial" w:eastAsia="Calibri" w:hAnsi="Arial" w:cs="Arial"/>
          <w:color w:val="000000"/>
          <w:sz w:val="22"/>
          <w:szCs w:val="22"/>
        </w:rPr>
        <w:t>ustekinumab</w:t>
      </w:r>
      <w:proofErr w:type="spellEnd"/>
      <w:r w:rsidRPr="0061735E">
        <w:rPr>
          <w:rFonts w:ascii="Arial" w:eastAsia="Calibri" w:hAnsi="Arial" w:cs="Arial"/>
          <w:color w:val="000000"/>
          <w:sz w:val="22"/>
          <w:szCs w:val="22"/>
        </w:rPr>
        <w:t xml:space="preserve">, unbranded 130 mg/26 mL vial – </w:t>
      </w:r>
      <w:r w:rsidRPr="0061735E">
        <w:rPr>
          <w:rFonts w:ascii="Arial" w:eastAsia="Calibri" w:hAnsi="Arial" w:cs="Arial"/>
          <w:b/>
          <w:bCs/>
          <w:color w:val="000000"/>
          <w:sz w:val="22"/>
          <w:szCs w:val="22"/>
        </w:rPr>
        <w:t xml:space="preserve">PA; </w:t>
      </w:r>
      <w:r w:rsidRPr="0061735E">
        <w:rPr>
          <w:rFonts w:ascii="Arial" w:eastAsia="Calibri" w:hAnsi="Arial" w:cs="Arial"/>
          <w:color w:val="000000"/>
          <w:sz w:val="22"/>
          <w:szCs w:val="22"/>
        </w:rPr>
        <w:t>MB</w:t>
      </w:r>
    </w:p>
    <w:p w14:paraId="57D1A1BF" w14:textId="77777777" w:rsidR="00BA4AD6" w:rsidRDefault="00BA4AD6" w:rsidP="002111A1">
      <w:pPr>
        <w:autoSpaceDE w:val="0"/>
        <w:autoSpaceDN w:val="0"/>
        <w:adjustRightInd w:val="0"/>
        <w:spacing w:line="276" w:lineRule="auto"/>
        <w:rPr>
          <w:rFonts w:ascii="Arial" w:eastAsia="Calibri" w:hAnsi="Arial" w:cs="Arial"/>
          <w:b/>
          <w:bCs/>
          <w:color w:val="000000"/>
          <w:sz w:val="22"/>
          <w:szCs w:val="22"/>
        </w:rPr>
      </w:pPr>
    </w:p>
    <w:p w14:paraId="4EFD6A5C" w14:textId="77777777" w:rsidR="00BA4AD6" w:rsidRPr="00BA4AD6" w:rsidRDefault="00BA4AD6" w:rsidP="00BA4AD6">
      <w:pPr>
        <w:keepNext/>
        <w:keepLines/>
        <w:spacing w:line="276" w:lineRule="auto"/>
        <w:outlineLvl w:val="0"/>
        <w:rPr>
          <w:rFonts w:ascii="Arial" w:eastAsia="Yu Gothic Light" w:hAnsi="Arial"/>
          <w:b/>
          <w:szCs w:val="32"/>
        </w:rPr>
      </w:pPr>
      <w:r w:rsidRPr="00BA4AD6">
        <w:rPr>
          <w:rFonts w:ascii="Arial" w:eastAsia="Yu Gothic Light" w:hAnsi="Arial"/>
          <w:b/>
          <w:szCs w:val="32"/>
        </w:rPr>
        <w:t>Change in Prior Authorization Status</w:t>
      </w:r>
    </w:p>
    <w:p w14:paraId="6AE6191F" w14:textId="77777777" w:rsidR="00BA4AD6" w:rsidRPr="00BA4AD6" w:rsidRDefault="00BA4AD6" w:rsidP="00BA4AD6">
      <w:pPr>
        <w:numPr>
          <w:ilvl w:val="0"/>
          <w:numId w:val="17"/>
        </w:numPr>
        <w:spacing w:line="276" w:lineRule="auto"/>
        <w:contextualSpacing/>
        <w:rPr>
          <w:rFonts w:ascii="Arial" w:eastAsia="Calibri" w:hAnsi="Arial" w:cs="Arial"/>
          <w:sz w:val="22"/>
          <w:szCs w:val="22"/>
        </w:rPr>
      </w:pPr>
      <w:bookmarkStart w:id="2" w:name="_Hlk98931753"/>
      <w:bookmarkStart w:id="3" w:name="_Hlk30086979"/>
      <w:r w:rsidRPr="00BA4AD6">
        <w:rPr>
          <w:rFonts w:ascii="Arial" w:eastAsia="Calibri" w:hAnsi="Arial" w:cs="Arial"/>
          <w:sz w:val="22"/>
          <w:szCs w:val="22"/>
        </w:rPr>
        <w:t xml:space="preserve">Effective August 11, 2025, the following constipation agent will no longer require PA within established quantity limits. </w:t>
      </w:r>
    </w:p>
    <w:p w14:paraId="185EA1F7"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Trulance</w:t>
      </w:r>
      <w:proofErr w:type="spellEnd"/>
      <w:r w:rsidRPr="00BA4AD6">
        <w:rPr>
          <w:rFonts w:ascii="Arial" w:eastAsia="Calibri" w:hAnsi="Arial" w:cs="Arial"/>
          <w:sz w:val="22"/>
          <w:szCs w:val="22"/>
        </w:rPr>
        <w:t xml:space="preserve"> (</w:t>
      </w:r>
      <w:proofErr w:type="spellStart"/>
      <w:r w:rsidRPr="00BA4AD6">
        <w:rPr>
          <w:rFonts w:ascii="Arial" w:eastAsia="Calibri" w:hAnsi="Arial" w:cs="Arial"/>
          <w:sz w:val="22"/>
          <w:szCs w:val="22"/>
        </w:rPr>
        <w:t>plecanatide</w:t>
      </w:r>
      <w:proofErr w:type="spellEnd"/>
      <w:r w:rsidRPr="00BA4AD6">
        <w:rPr>
          <w:rFonts w:ascii="Arial" w:eastAsia="Calibri" w:hAnsi="Arial" w:cs="Arial"/>
          <w:sz w:val="22"/>
          <w:szCs w:val="22"/>
        </w:rPr>
        <w:t xml:space="preserve">) – </w:t>
      </w:r>
      <w:r w:rsidRPr="00BA4AD6">
        <w:rPr>
          <w:rFonts w:ascii="Arial" w:eastAsia="Calibri" w:hAnsi="Arial" w:cs="Arial"/>
          <w:b/>
          <w:bCs/>
          <w:sz w:val="22"/>
          <w:szCs w:val="22"/>
        </w:rPr>
        <w:t>PA &gt; 1 unit/day</w:t>
      </w:r>
    </w:p>
    <w:p w14:paraId="01784332" w14:textId="3B0AC4E3" w:rsidR="00BA4AD6" w:rsidRPr="00BA4AD6" w:rsidRDefault="00BA4AD6" w:rsidP="00BA4AD6">
      <w:pPr>
        <w:numPr>
          <w:ilvl w:val="0"/>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 xml:space="preserve">Effective August 11, 2025, the </w:t>
      </w:r>
      <w:r w:rsidR="00887A7D">
        <w:rPr>
          <w:rFonts w:ascii="Arial" w:eastAsia="Calibri" w:hAnsi="Arial" w:cs="Arial"/>
          <w:sz w:val="22"/>
          <w:szCs w:val="22"/>
        </w:rPr>
        <w:t xml:space="preserve">following </w:t>
      </w:r>
      <w:r w:rsidRPr="00BA4AD6">
        <w:rPr>
          <w:rFonts w:ascii="Arial" w:eastAsia="Calibri" w:hAnsi="Arial" w:cs="Arial"/>
          <w:sz w:val="22"/>
          <w:szCs w:val="22"/>
        </w:rPr>
        <w:t xml:space="preserve">iron chelating agents will require PA. </w:t>
      </w:r>
    </w:p>
    <w:p w14:paraId="7DB68D0F" w14:textId="77777777" w:rsidR="00BA4AD6" w:rsidRPr="00BA4AD6" w:rsidRDefault="00BA4AD6" w:rsidP="00BA4AD6">
      <w:pPr>
        <w:numPr>
          <w:ilvl w:val="1"/>
          <w:numId w:val="17"/>
        </w:numPr>
        <w:spacing w:after="160" w:line="256" w:lineRule="auto"/>
        <w:contextualSpacing/>
        <w:rPr>
          <w:rFonts w:ascii="Arial" w:eastAsia="Calibri" w:hAnsi="Arial" w:cs="Arial"/>
          <w:sz w:val="22"/>
          <w:szCs w:val="22"/>
        </w:rPr>
      </w:pPr>
      <w:proofErr w:type="spellStart"/>
      <w:r w:rsidRPr="00BA4AD6">
        <w:rPr>
          <w:rFonts w:ascii="Arial" w:eastAsia="Calibri" w:hAnsi="Arial" w:cs="Arial"/>
          <w:sz w:val="22"/>
          <w:szCs w:val="22"/>
        </w:rPr>
        <w:t>Exjade</w:t>
      </w:r>
      <w:proofErr w:type="spellEnd"/>
      <w:r w:rsidRPr="00BA4AD6">
        <w:rPr>
          <w:rFonts w:ascii="Arial" w:eastAsia="Calibri" w:hAnsi="Arial" w:cs="Arial"/>
          <w:sz w:val="22"/>
          <w:szCs w:val="22"/>
        </w:rPr>
        <w:t xml:space="preserve"> (deferasirox dispersible tablet) – </w:t>
      </w:r>
      <w:r w:rsidRPr="00BA4AD6">
        <w:rPr>
          <w:rFonts w:ascii="Arial" w:eastAsia="Calibri" w:hAnsi="Arial" w:cs="Arial"/>
          <w:b/>
          <w:bCs/>
          <w:sz w:val="22"/>
          <w:szCs w:val="22"/>
        </w:rPr>
        <w:t>PA</w:t>
      </w:r>
      <w:r w:rsidRPr="00BA4AD6">
        <w:rPr>
          <w:rFonts w:ascii="Arial" w:eastAsia="Calibri" w:hAnsi="Arial" w:cs="Arial"/>
          <w:sz w:val="22"/>
          <w:szCs w:val="22"/>
        </w:rPr>
        <w:t>; BP, A90</w:t>
      </w:r>
    </w:p>
    <w:p w14:paraId="5F4E659F" w14:textId="77777777" w:rsidR="00BA4AD6" w:rsidRPr="00BA4AD6" w:rsidRDefault="00BA4AD6" w:rsidP="00BA4AD6">
      <w:pPr>
        <w:numPr>
          <w:ilvl w:val="1"/>
          <w:numId w:val="17"/>
        </w:numPr>
        <w:spacing w:after="160" w:line="256" w:lineRule="auto"/>
        <w:contextualSpacing/>
        <w:rPr>
          <w:rFonts w:ascii="Arial" w:eastAsia="Calibri" w:hAnsi="Arial" w:cs="Arial"/>
          <w:sz w:val="22"/>
          <w:szCs w:val="22"/>
        </w:rPr>
      </w:pPr>
      <w:proofErr w:type="spellStart"/>
      <w:r w:rsidRPr="00BA4AD6">
        <w:rPr>
          <w:rFonts w:ascii="Arial" w:eastAsia="Calibri" w:hAnsi="Arial" w:cs="Arial"/>
          <w:sz w:val="22"/>
          <w:szCs w:val="22"/>
        </w:rPr>
        <w:t>Jadenu</w:t>
      </w:r>
      <w:proofErr w:type="spellEnd"/>
      <w:r w:rsidRPr="00BA4AD6">
        <w:rPr>
          <w:rFonts w:ascii="Arial" w:eastAsia="Calibri" w:hAnsi="Arial" w:cs="Arial"/>
          <w:sz w:val="22"/>
          <w:szCs w:val="22"/>
        </w:rPr>
        <w:t xml:space="preserve"> (deferasirox granule packet) – </w:t>
      </w:r>
      <w:r w:rsidRPr="00BA4AD6">
        <w:rPr>
          <w:rFonts w:ascii="Arial" w:eastAsia="Calibri" w:hAnsi="Arial" w:cs="Arial"/>
          <w:b/>
          <w:bCs/>
          <w:sz w:val="22"/>
          <w:szCs w:val="22"/>
        </w:rPr>
        <w:t>PA</w:t>
      </w:r>
      <w:r w:rsidRPr="00BA4AD6">
        <w:rPr>
          <w:rFonts w:ascii="Arial" w:eastAsia="Calibri" w:hAnsi="Arial" w:cs="Arial"/>
          <w:sz w:val="22"/>
          <w:szCs w:val="22"/>
        </w:rPr>
        <w:t>; A90</w:t>
      </w:r>
    </w:p>
    <w:p w14:paraId="5D9D5CCD" w14:textId="77777777" w:rsidR="00BA4AD6" w:rsidRPr="00BA4AD6" w:rsidRDefault="00BA4AD6" w:rsidP="00BA4AD6">
      <w:pPr>
        <w:numPr>
          <w:ilvl w:val="0"/>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 xml:space="preserve">Effective August 11, 2025, the following iron agents will no longer require PA. </w:t>
      </w:r>
    </w:p>
    <w:p w14:paraId="78FE0EB8"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Feraheme</w:t>
      </w:r>
      <w:proofErr w:type="spellEnd"/>
      <w:r w:rsidRPr="00BA4AD6">
        <w:rPr>
          <w:rFonts w:ascii="Arial" w:eastAsia="Calibri" w:hAnsi="Arial" w:cs="Arial"/>
          <w:sz w:val="22"/>
          <w:szCs w:val="22"/>
        </w:rPr>
        <w:t xml:space="preserve"> (</w:t>
      </w:r>
      <w:proofErr w:type="spellStart"/>
      <w:r w:rsidRPr="00BA4AD6">
        <w:rPr>
          <w:rFonts w:ascii="Arial" w:eastAsia="Calibri" w:hAnsi="Arial" w:cs="Arial"/>
          <w:sz w:val="22"/>
          <w:szCs w:val="22"/>
        </w:rPr>
        <w:t>ferumoxytol</w:t>
      </w:r>
      <w:proofErr w:type="spellEnd"/>
      <w:r w:rsidRPr="00BA4AD6">
        <w:rPr>
          <w:rFonts w:ascii="Arial" w:eastAsia="Calibri" w:hAnsi="Arial" w:cs="Arial"/>
          <w:sz w:val="22"/>
          <w:szCs w:val="22"/>
        </w:rPr>
        <w:t>)</w:t>
      </w:r>
    </w:p>
    <w:p w14:paraId="45879869"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Injectafer</w:t>
      </w:r>
      <w:proofErr w:type="spellEnd"/>
      <w:r w:rsidRPr="00BA4AD6">
        <w:rPr>
          <w:rFonts w:ascii="Arial" w:eastAsia="Calibri" w:hAnsi="Arial" w:cs="Arial"/>
          <w:sz w:val="22"/>
          <w:szCs w:val="22"/>
        </w:rPr>
        <w:t xml:space="preserve"> (ferric </w:t>
      </w:r>
      <w:proofErr w:type="spellStart"/>
      <w:r w:rsidRPr="00BA4AD6">
        <w:rPr>
          <w:rFonts w:ascii="Arial" w:eastAsia="Calibri" w:hAnsi="Arial" w:cs="Arial"/>
          <w:sz w:val="22"/>
          <w:szCs w:val="22"/>
        </w:rPr>
        <w:t>carboxymaltose</w:t>
      </w:r>
      <w:proofErr w:type="spellEnd"/>
      <w:r w:rsidRPr="00BA4AD6">
        <w:rPr>
          <w:rFonts w:ascii="Arial" w:eastAsia="Calibri" w:hAnsi="Arial" w:cs="Arial"/>
          <w:sz w:val="22"/>
          <w:szCs w:val="22"/>
        </w:rPr>
        <w:t xml:space="preserve"> injection); MB</w:t>
      </w:r>
    </w:p>
    <w:p w14:paraId="7DEEDFD0"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Monoferric</w:t>
      </w:r>
      <w:proofErr w:type="spellEnd"/>
      <w:r w:rsidRPr="00BA4AD6">
        <w:rPr>
          <w:rFonts w:ascii="Arial" w:eastAsia="Calibri" w:hAnsi="Arial" w:cs="Arial"/>
          <w:sz w:val="22"/>
          <w:szCs w:val="22"/>
        </w:rPr>
        <w:t xml:space="preserve"> (ferric </w:t>
      </w:r>
      <w:proofErr w:type="spellStart"/>
      <w:r w:rsidRPr="00BA4AD6">
        <w:rPr>
          <w:rFonts w:ascii="Arial" w:eastAsia="Calibri" w:hAnsi="Arial" w:cs="Arial"/>
          <w:sz w:val="22"/>
          <w:szCs w:val="22"/>
        </w:rPr>
        <w:t>derisomaltose</w:t>
      </w:r>
      <w:proofErr w:type="spellEnd"/>
      <w:r w:rsidRPr="00BA4AD6">
        <w:rPr>
          <w:rFonts w:ascii="Arial" w:eastAsia="Calibri" w:hAnsi="Arial" w:cs="Arial"/>
          <w:sz w:val="22"/>
          <w:szCs w:val="22"/>
        </w:rPr>
        <w:t>)</w:t>
      </w:r>
    </w:p>
    <w:p w14:paraId="500D2F70" w14:textId="77777777" w:rsidR="00BA4AD6" w:rsidRPr="00BA4AD6" w:rsidRDefault="00BA4AD6" w:rsidP="00BA4AD6">
      <w:pPr>
        <w:numPr>
          <w:ilvl w:val="0"/>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 xml:space="preserve">Effective August 11, 2025, the following injectable antibiotic agents will no longer require PA. </w:t>
      </w:r>
    </w:p>
    <w:p w14:paraId="24E1C5B7"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Dalvance</w:t>
      </w:r>
      <w:proofErr w:type="spellEnd"/>
      <w:r w:rsidRPr="00BA4AD6">
        <w:rPr>
          <w:rFonts w:ascii="Arial" w:eastAsia="Calibri" w:hAnsi="Arial" w:cs="Arial"/>
          <w:sz w:val="22"/>
          <w:szCs w:val="22"/>
        </w:rPr>
        <w:t xml:space="preserve"> (dalbavancin)</w:t>
      </w:r>
    </w:p>
    <w:p w14:paraId="046AB1C9"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Zyvox</w:t>
      </w:r>
      <w:proofErr w:type="spellEnd"/>
      <w:r w:rsidRPr="00BA4AD6">
        <w:rPr>
          <w:rFonts w:ascii="Arial" w:eastAsia="Calibri" w:hAnsi="Arial" w:cs="Arial"/>
          <w:sz w:val="22"/>
          <w:szCs w:val="22"/>
        </w:rPr>
        <w:t xml:space="preserve"> (linezolid injection); #</w:t>
      </w:r>
    </w:p>
    <w:p w14:paraId="0C331742" w14:textId="77777777" w:rsidR="00BA4AD6" w:rsidRPr="00BA4AD6" w:rsidRDefault="00BA4AD6" w:rsidP="00BA4AD6">
      <w:pPr>
        <w:numPr>
          <w:ilvl w:val="0"/>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 xml:space="preserve">Effective August 11, 2025, the following cardiovascular agent will no longer require PA. </w:t>
      </w:r>
    </w:p>
    <w:p w14:paraId="1F0FEB09"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proofErr w:type="spellStart"/>
      <w:r w:rsidRPr="00BA4AD6">
        <w:rPr>
          <w:rFonts w:ascii="Arial" w:eastAsia="Calibri" w:hAnsi="Arial" w:cs="Arial"/>
          <w:sz w:val="22"/>
          <w:szCs w:val="22"/>
        </w:rPr>
        <w:t>Veletri</w:t>
      </w:r>
      <w:proofErr w:type="spellEnd"/>
      <w:r w:rsidRPr="00BA4AD6">
        <w:rPr>
          <w:rFonts w:ascii="Arial" w:eastAsia="Calibri" w:hAnsi="Arial" w:cs="Arial"/>
          <w:sz w:val="22"/>
          <w:szCs w:val="22"/>
        </w:rPr>
        <w:t xml:space="preserve"> (</w:t>
      </w:r>
      <w:proofErr w:type="spellStart"/>
      <w:r w:rsidRPr="00BA4AD6">
        <w:rPr>
          <w:rFonts w:ascii="Arial" w:eastAsia="Calibri" w:hAnsi="Arial" w:cs="Arial"/>
          <w:sz w:val="22"/>
          <w:szCs w:val="22"/>
        </w:rPr>
        <w:t>epoprostenol</w:t>
      </w:r>
      <w:proofErr w:type="spellEnd"/>
      <w:r w:rsidRPr="00BA4AD6">
        <w:rPr>
          <w:rFonts w:ascii="Arial" w:eastAsia="Calibri" w:hAnsi="Arial" w:cs="Arial"/>
          <w:sz w:val="22"/>
          <w:szCs w:val="22"/>
        </w:rPr>
        <w:t>); #</w:t>
      </w:r>
    </w:p>
    <w:p w14:paraId="40B88A9E" w14:textId="77777777" w:rsidR="00BA4AD6" w:rsidRPr="00BA4AD6" w:rsidRDefault="00BA4AD6" w:rsidP="00BA4AD6">
      <w:pPr>
        <w:numPr>
          <w:ilvl w:val="0"/>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 xml:space="preserve">Effective August 11, 2025, the following anti-tubercular agent will require PA within newly established quantity limits. </w:t>
      </w:r>
    </w:p>
    <w:p w14:paraId="02AA9AC8" w14:textId="77777777" w:rsidR="00BA4AD6" w:rsidRPr="00BA4AD6" w:rsidRDefault="00BA4AD6" w:rsidP="00BA4AD6">
      <w:pPr>
        <w:numPr>
          <w:ilvl w:val="1"/>
          <w:numId w:val="17"/>
        </w:numPr>
        <w:autoSpaceDE w:val="0"/>
        <w:autoSpaceDN w:val="0"/>
        <w:adjustRightInd w:val="0"/>
        <w:spacing w:line="276" w:lineRule="auto"/>
        <w:rPr>
          <w:rFonts w:ascii="Arial" w:eastAsia="Calibri" w:hAnsi="Arial" w:cs="Arial"/>
          <w:sz w:val="22"/>
          <w:szCs w:val="22"/>
        </w:rPr>
      </w:pPr>
      <w:proofErr w:type="spellStart"/>
      <w:r w:rsidRPr="00BA4AD6">
        <w:rPr>
          <w:rFonts w:ascii="Arial" w:eastAsia="Calibri" w:hAnsi="Arial" w:cs="Arial"/>
          <w:sz w:val="22"/>
          <w:szCs w:val="22"/>
        </w:rPr>
        <w:t>pretomanid</w:t>
      </w:r>
      <w:proofErr w:type="spellEnd"/>
      <w:r w:rsidRPr="00BA4AD6">
        <w:rPr>
          <w:rFonts w:ascii="Arial" w:eastAsia="Calibri" w:hAnsi="Arial" w:cs="Arial"/>
          <w:sz w:val="22"/>
          <w:szCs w:val="22"/>
        </w:rPr>
        <w:t xml:space="preserve"> – </w:t>
      </w:r>
      <w:r w:rsidRPr="00BA4AD6">
        <w:rPr>
          <w:rFonts w:ascii="Arial" w:eastAsia="Calibri" w:hAnsi="Arial" w:cs="Arial"/>
          <w:b/>
          <w:bCs/>
          <w:sz w:val="22"/>
          <w:szCs w:val="22"/>
        </w:rPr>
        <w:t>PA &gt; 1 unit/day</w:t>
      </w:r>
      <w:r w:rsidRPr="00BA4AD6">
        <w:rPr>
          <w:rFonts w:ascii="Arial" w:eastAsia="Calibri" w:hAnsi="Arial" w:cs="Arial"/>
          <w:sz w:val="22"/>
          <w:szCs w:val="22"/>
        </w:rPr>
        <w:t>; A90</w:t>
      </w:r>
    </w:p>
    <w:p w14:paraId="660093CA" w14:textId="77777777" w:rsidR="00BA4AD6" w:rsidRPr="00BA4AD6" w:rsidRDefault="00BA4AD6" w:rsidP="00BA4AD6">
      <w:pPr>
        <w:numPr>
          <w:ilvl w:val="0"/>
          <w:numId w:val="17"/>
        </w:numPr>
        <w:spacing w:after="160" w:line="276" w:lineRule="auto"/>
        <w:contextualSpacing/>
        <w:rPr>
          <w:rFonts w:ascii="Arial" w:eastAsia="Calibri" w:hAnsi="Arial" w:cs="Arial"/>
          <w:sz w:val="22"/>
          <w:szCs w:val="22"/>
        </w:rPr>
      </w:pPr>
      <w:r w:rsidRPr="00BA4AD6">
        <w:rPr>
          <w:rFonts w:ascii="Arial" w:eastAsia="Calibri" w:hAnsi="Arial" w:cs="Arial"/>
          <w:sz w:val="22"/>
          <w:szCs w:val="22"/>
        </w:rPr>
        <w:t>Effective August 11, 2025, the following antidiabetic agents will require PA.</w:t>
      </w:r>
    </w:p>
    <w:p w14:paraId="3F32A1E0"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Byetta (exenatide injection) –</w:t>
      </w:r>
      <w:r w:rsidRPr="00BA4AD6">
        <w:rPr>
          <w:rFonts w:ascii="Arial" w:eastAsia="Calibri" w:hAnsi="Arial" w:cs="Arial"/>
          <w:b/>
          <w:bCs/>
          <w:sz w:val="22"/>
          <w:szCs w:val="22"/>
        </w:rPr>
        <w:t xml:space="preserve"> PA</w:t>
      </w:r>
      <w:r w:rsidRPr="00BA4AD6">
        <w:rPr>
          <w:rFonts w:ascii="Arial" w:eastAsia="Calibri" w:hAnsi="Arial" w:cs="Arial"/>
          <w:sz w:val="22"/>
          <w:szCs w:val="22"/>
        </w:rPr>
        <w:t>; BP</w:t>
      </w:r>
    </w:p>
    <w:p w14:paraId="1478D1AA"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Trulicity (dulaglutide)</w:t>
      </w:r>
      <w:r w:rsidRPr="00BA4AD6">
        <w:rPr>
          <w:rFonts w:ascii="Arial" w:eastAsia="Calibri" w:hAnsi="Arial" w:cs="Arial"/>
          <w:sz w:val="22"/>
          <w:szCs w:val="22"/>
          <w:vertAlign w:val="superscript"/>
        </w:rPr>
        <w:t>PD</w:t>
      </w:r>
      <w:r w:rsidRPr="00BA4AD6">
        <w:rPr>
          <w:rFonts w:ascii="Arial" w:eastAsia="Calibri" w:hAnsi="Arial" w:cs="Arial"/>
          <w:sz w:val="22"/>
          <w:szCs w:val="22"/>
        </w:rPr>
        <w:t xml:space="preserve"> – </w:t>
      </w:r>
      <w:r w:rsidRPr="00BA4AD6">
        <w:rPr>
          <w:rFonts w:ascii="Arial" w:eastAsia="Calibri" w:hAnsi="Arial" w:cs="Arial"/>
          <w:b/>
          <w:bCs/>
          <w:sz w:val="22"/>
          <w:szCs w:val="22"/>
        </w:rPr>
        <w:t>PA</w:t>
      </w:r>
      <w:bookmarkEnd w:id="2"/>
      <w:bookmarkEnd w:id="3"/>
    </w:p>
    <w:p w14:paraId="7A101E94"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lastRenderedPageBreak/>
        <w:t>Victoza (liraglutide) –</w:t>
      </w:r>
      <w:r w:rsidRPr="00BA4AD6">
        <w:rPr>
          <w:rFonts w:ascii="Arial" w:eastAsia="Calibri" w:hAnsi="Arial" w:cs="Arial"/>
          <w:b/>
          <w:bCs/>
          <w:sz w:val="22"/>
          <w:szCs w:val="22"/>
        </w:rPr>
        <w:t xml:space="preserve"> PA</w:t>
      </w:r>
      <w:r w:rsidRPr="00BA4AD6">
        <w:rPr>
          <w:rFonts w:ascii="Arial" w:eastAsia="Calibri" w:hAnsi="Arial" w:cs="Arial"/>
          <w:sz w:val="22"/>
          <w:szCs w:val="22"/>
        </w:rPr>
        <w:t>; BP</w:t>
      </w:r>
    </w:p>
    <w:p w14:paraId="5771F9F7" w14:textId="77777777" w:rsidR="00BA4AD6" w:rsidRPr="00BA4AD6" w:rsidRDefault="00BA4AD6" w:rsidP="00BA4AD6">
      <w:pPr>
        <w:numPr>
          <w:ilvl w:val="0"/>
          <w:numId w:val="17"/>
        </w:numPr>
        <w:spacing w:after="160" w:line="276" w:lineRule="auto"/>
        <w:contextualSpacing/>
        <w:rPr>
          <w:rFonts w:ascii="Arial" w:eastAsia="Calibri" w:hAnsi="Arial" w:cs="Arial"/>
          <w:sz w:val="22"/>
          <w:szCs w:val="22"/>
        </w:rPr>
      </w:pPr>
      <w:r w:rsidRPr="00BA4AD6">
        <w:rPr>
          <w:rFonts w:ascii="Arial" w:eastAsia="Calibri" w:hAnsi="Arial" w:cs="Arial"/>
          <w:sz w:val="22"/>
          <w:szCs w:val="22"/>
        </w:rPr>
        <w:t>Effective August 11, 2025, the following COVID-19 treatment agent will require PA within newly established age and quantity limits.</w:t>
      </w:r>
    </w:p>
    <w:p w14:paraId="4A8F6FA4" w14:textId="77777777" w:rsidR="00BA4AD6" w:rsidRPr="00BA4AD6" w:rsidRDefault="00BA4AD6" w:rsidP="00BA4AD6">
      <w:pPr>
        <w:numPr>
          <w:ilvl w:val="1"/>
          <w:numId w:val="17"/>
        </w:numPr>
        <w:spacing w:line="276" w:lineRule="auto"/>
        <w:contextualSpacing/>
        <w:rPr>
          <w:rFonts w:ascii="Arial" w:eastAsia="Calibri" w:hAnsi="Arial" w:cs="Arial"/>
          <w:sz w:val="22"/>
          <w:szCs w:val="22"/>
        </w:rPr>
      </w:pPr>
      <w:r w:rsidRPr="00BA4AD6">
        <w:rPr>
          <w:rFonts w:ascii="Arial" w:eastAsia="Calibri" w:hAnsi="Arial" w:cs="Arial"/>
          <w:sz w:val="22"/>
          <w:szCs w:val="22"/>
        </w:rPr>
        <w:t xml:space="preserve">Paxlovid (nirmatrelvir/ritonavir 300/150-100 </w:t>
      </w:r>
      <w:proofErr w:type="gramStart"/>
      <w:r w:rsidRPr="00BA4AD6">
        <w:rPr>
          <w:rFonts w:ascii="Arial" w:eastAsia="Calibri" w:hAnsi="Arial" w:cs="Arial"/>
          <w:sz w:val="22"/>
          <w:szCs w:val="22"/>
        </w:rPr>
        <w:t>mg)</w:t>
      </w:r>
      <w:r w:rsidRPr="00BA4AD6">
        <w:rPr>
          <w:rFonts w:ascii="Arial" w:eastAsia="Calibri" w:hAnsi="Arial" w:cs="Arial"/>
          <w:sz w:val="22"/>
          <w:szCs w:val="22"/>
          <w:vertAlign w:val="superscript"/>
        </w:rPr>
        <w:t>PD</w:t>
      </w:r>
      <w:proofErr w:type="gramEnd"/>
      <w:r w:rsidRPr="00BA4AD6">
        <w:rPr>
          <w:rFonts w:ascii="Arial" w:eastAsia="Calibri" w:hAnsi="Arial" w:cs="Arial"/>
          <w:sz w:val="22"/>
          <w:szCs w:val="22"/>
        </w:rPr>
        <w:t xml:space="preserve"> –</w:t>
      </w:r>
      <w:r w:rsidRPr="00BA4AD6">
        <w:rPr>
          <w:rFonts w:ascii="Arial" w:eastAsia="Calibri" w:hAnsi="Arial" w:cs="Arial"/>
          <w:b/>
          <w:bCs/>
          <w:sz w:val="22"/>
          <w:szCs w:val="22"/>
        </w:rPr>
        <w:t xml:space="preserve"> PA &lt; 12 years and &gt; 11 units/claim</w:t>
      </w:r>
    </w:p>
    <w:p w14:paraId="049A50A2" w14:textId="77777777" w:rsidR="007376CF" w:rsidRPr="00944DD4" w:rsidRDefault="007376CF" w:rsidP="002111A1">
      <w:pPr>
        <w:autoSpaceDE w:val="0"/>
        <w:autoSpaceDN w:val="0"/>
        <w:adjustRightInd w:val="0"/>
        <w:spacing w:line="276" w:lineRule="auto"/>
        <w:rPr>
          <w:rFonts w:ascii="Arial" w:eastAsia="Calibri" w:hAnsi="Arial" w:cs="Arial"/>
          <w:b/>
          <w:bCs/>
          <w:color w:val="000000"/>
          <w:sz w:val="22"/>
          <w:szCs w:val="22"/>
        </w:rPr>
      </w:pPr>
    </w:p>
    <w:p w14:paraId="1C50055C" w14:textId="6110E489" w:rsidR="001E537A" w:rsidRPr="00126536" w:rsidRDefault="001E537A" w:rsidP="00126536">
      <w:pPr>
        <w:pStyle w:val="Heading1"/>
        <w:spacing w:line="276" w:lineRule="auto"/>
        <w:rPr>
          <w:rFonts w:ascii="Arial" w:eastAsia="Yu Gothic Light" w:hAnsi="Arial"/>
          <w:sz w:val="24"/>
          <w:szCs w:val="24"/>
        </w:rPr>
      </w:pPr>
      <w:bookmarkStart w:id="4" w:name="_Hlk527542045"/>
      <w:r w:rsidRPr="00126536">
        <w:rPr>
          <w:rFonts w:ascii="Arial" w:eastAsia="Yu Gothic Light" w:hAnsi="Arial"/>
          <w:sz w:val="24"/>
          <w:szCs w:val="24"/>
        </w:rPr>
        <w:t>Updated MassHealth Brand Name Preferred Over Generic Drug List</w:t>
      </w:r>
    </w:p>
    <w:bookmarkEnd w:id="4"/>
    <w:p w14:paraId="083CC5F1" w14:textId="77777777" w:rsidR="00C140B6" w:rsidRPr="00C140B6" w:rsidRDefault="00C140B6" w:rsidP="00C140B6">
      <w:pPr>
        <w:keepNext/>
        <w:keepLines/>
        <w:spacing w:line="276" w:lineRule="auto"/>
        <w:outlineLvl w:val="0"/>
        <w:rPr>
          <w:rFonts w:ascii="Arial" w:eastAsia="Calibri" w:hAnsi="Arial" w:cs="Arial"/>
          <w:color w:val="000000"/>
          <w:sz w:val="22"/>
          <w:szCs w:val="21"/>
        </w:rPr>
      </w:pPr>
      <w:r w:rsidRPr="00C140B6">
        <w:rPr>
          <w:rFonts w:ascii="Arial" w:eastAsia="Calibri" w:hAnsi="Arial" w:cs="Arial"/>
          <w:color w:val="000000"/>
          <w:sz w:val="22"/>
          <w:szCs w:val="21"/>
        </w:rPr>
        <w:t>The MassHealth Brand Name Preferred Over Generic Drug List has been updated to reflect recent changes to the MassHealth Drug List.</w:t>
      </w:r>
    </w:p>
    <w:p w14:paraId="1E826EC4" w14:textId="77777777" w:rsidR="00C140B6" w:rsidRPr="00C140B6" w:rsidRDefault="00C140B6" w:rsidP="00C140B6">
      <w:pPr>
        <w:keepNext/>
        <w:keepLines/>
        <w:numPr>
          <w:ilvl w:val="0"/>
          <w:numId w:val="1"/>
        </w:numPr>
        <w:spacing w:line="276" w:lineRule="auto"/>
        <w:outlineLvl w:val="0"/>
        <w:rPr>
          <w:rFonts w:ascii="Arial" w:eastAsia="Calibri" w:hAnsi="Arial" w:cs="Arial"/>
          <w:color w:val="000000"/>
          <w:sz w:val="22"/>
          <w:szCs w:val="21"/>
        </w:rPr>
      </w:pPr>
      <w:r w:rsidRPr="00C140B6">
        <w:rPr>
          <w:rFonts w:ascii="Arial" w:eastAsia="Calibri" w:hAnsi="Arial" w:cs="Arial"/>
          <w:color w:val="000000"/>
          <w:sz w:val="22"/>
          <w:szCs w:val="21"/>
        </w:rPr>
        <w:t xml:space="preserve">Effective August 11, 2025, the following agents will be added to the MassHealth Brand Name Preferred Over Generic Drug List. </w:t>
      </w:r>
    </w:p>
    <w:p w14:paraId="0CE0223C" w14:textId="77777777" w:rsidR="00C140B6" w:rsidRPr="003E2679" w:rsidRDefault="00C140B6" w:rsidP="003E2679">
      <w:pPr>
        <w:numPr>
          <w:ilvl w:val="1"/>
          <w:numId w:val="17"/>
        </w:numPr>
        <w:spacing w:line="276" w:lineRule="auto"/>
        <w:contextualSpacing/>
        <w:rPr>
          <w:rFonts w:ascii="Arial" w:eastAsia="Calibri" w:hAnsi="Arial" w:cs="Arial"/>
          <w:sz w:val="22"/>
          <w:szCs w:val="22"/>
        </w:rPr>
      </w:pPr>
      <w:bookmarkStart w:id="5" w:name="_Hlk11399419"/>
      <w:bookmarkStart w:id="6" w:name="_Hlk527542710"/>
      <w:proofErr w:type="spellStart"/>
      <w:r w:rsidRPr="003E2679">
        <w:rPr>
          <w:rFonts w:ascii="Arial" w:eastAsia="Calibri" w:hAnsi="Arial" w:cs="Arial"/>
          <w:sz w:val="22"/>
          <w:szCs w:val="22"/>
        </w:rPr>
        <w:t>Acular</w:t>
      </w:r>
      <w:proofErr w:type="spellEnd"/>
      <w:r w:rsidRPr="003E2679">
        <w:rPr>
          <w:rFonts w:ascii="Arial" w:eastAsia="Calibri" w:hAnsi="Arial" w:cs="Arial"/>
          <w:sz w:val="22"/>
          <w:szCs w:val="22"/>
        </w:rPr>
        <w:t xml:space="preserve"> LS (ketorolac 0.4% ophthalmic solution); BP, A90</w:t>
      </w:r>
    </w:p>
    <w:p w14:paraId="0D8E00C9" w14:textId="77777777" w:rsidR="00C140B6" w:rsidRPr="003E2679" w:rsidRDefault="00C140B6" w:rsidP="003E2679">
      <w:pPr>
        <w:numPr>
          <w:ilvl w:val="1"/>
          <w:numId w:val="17"/>
        </w:numPr>
        <w:spacing w:line="276" w:lineRule="auto"/>
        <w:contextualSpacing/>
        <w:rPr>
          <w:rFonts w:ascii="Arial" w:eastAsia="Calibri" w:hAnsi="Arial" w:cs="Arial"/>
          <w:sz w:val="22"/>
          <w:szCs w:val="22"/>
        </w:rPr>
      </w:pPr>
      <w:proofErr w:type="spellStart"/>
      <w:r w:rsidRPr="003E2679">
        <w:rPr>
          <w:rFonts w:ascii="Arial" w:eastAsia="Calibri" w:hAnsi="Arial" w:cs="Arial"/>
          <w:sz w:val="22"/>
          <w:szCs w:val="22"/>
        </w:rPr>
        <w:t>Anoro</w:t>
      </w:r>
      <w:proofErr w:type="spellEnd"/>
      <w:r w:rsidRPr="003E2679">
        <w:rPr>
          <w:rFonts w:ascii="Arial" w:eastAsia="Calibri" w:hAnsi="Arial" w:cs="Arial"/>
          <w:sz w:val="22"/>
          <w:szCs w:val="22"/>
        </w:rPr>
        <w:t xml:space="preserve"> (umeclidinium/vilanterol); BP, A90</w:t>
      </w:r>
    </w:p>
    <w:p w14:paraId="1BC0E036" w14:textId="77777777" w:rsidR="00C140B6" w:rsidRPr="003E2679" w:rsidRDefault="00C140B6" w:rsidP="003E2679">
      <w:pPr>
        <w:numPr>
          <w:ilvl w:val="1"/>
          <w:numId w:val="17"/>
        </w:numPr>
        <w:spacing w:line="276" w:lineRule="auto"/>
        <w:contextualSpacing/>
        <w:rPr>
          <w:rFonts w:ascii="Arial" w:eastAsia="Calibri" w:hAnsi="Arial" w:cs="Arial"/>
          <w:sz w:val="22"/>
          <w:szCs w:val="22"/>
        </w:rPr>
      </w:pPr>
      <w:proofErr w:type="spellStart"/>
      <w:r w:rsidRPr="003E2679">
        <w:rPr>
          <w:rFonts w:ascii="Arial" w:eastAsia="Calibri" w:hAnsi="Arial" w:cs="Arial"/>
          <w:sz w:val="22"/>
          <w:szCs w:val="22"/>
        </w:rPr>
        <w:t>Carbatrol</w:t>
      </w:r>
      <w:proofErr w:type="spellEnd"/>
      <w:r w:rsidRPr="003E2679">
        <w:rPr>
          <w:rFonts w:ascii="Arial" w:eastAsia="Calibri" w:hAnsi="Arial" w:cs="Arial"/>
          <w:sz w:val="22"/>
          <w:szCs w:val="22"/>
        </w:rPr>
        <w:t xml:space="preserve"> (carbamazepine extended-release) – </w:t>
      </w:r>
      <w:r w:rsidRPr="003E2679">
        <w:rPr>
          <w:rFonts w:ascii="Arial" w:eastAsia="Calibri" w:hAnsi="Arial" w:cs="Arial"/>
          <w:b/>
          <w:bCs/>
          <w:sz w:val="22"/>
          <w:szCs w:val="22"/>
        </w:rPr>
        <w:t>PA &lt; 6 years</w:t>
      </w:r>
      <w:r w:rsidRPr="003E2679">
        <w:rPr>
          <w:rFonts w:ascii="Arial" w:eastAsia="Calibri" w:hAnsi="Arial" w:cs="Arial"/>
          <w:sz w:val="22"/>
          <w:szCs w:val="22"/>
        </w:rPr>
        <w:t>; BP, A90</w:t>
      </w:r>
    </w:p>
    <w:p w14:paraId="51662C24" w14:textId="77777777" w:rsidR="00C140B6" w:rsidRPr="003E2679" w:rsidRDefault="00C140B6" w:rsidP="003E2679">
      <w:pPr>
        <w:numPr>
          <w:ilvl w:val="1"/>
          <w:numId w:val="17"/>
        </w:numPr>
        <w:spacing w:line="276" w:lineRule="auto"/>
        <w:contextualSpacing/>
        <w:rPr>
          <w:rFonts w:ascii="Arial" w:eastAsia="Calibri" w:hAnsi="Arial" w:cs="Arial"/>
          <w:sz w:val="22"/>
          <w:szCs w:val="22"/>
        </w:rPr>
      </w:pPr>
      <w:r w:rsidRPr="003E2679">
        <w:rPr>
          <w:rFonts w:ascii="Arial" w:eastAsia="Calibri" w:hAnsi="Arial" w:cs="Arial"/>
          <w:sz w:val="22"/>
          <w:szCs w:val="22"/>
        </w:rPr>
        <w:t>Cipro (ciprofloxacin suspension); BP, A90</w:t>
      </w:r>
    </w:p>
    <w:p w14:paraId="57B84794" w14:textId="77777777" w:rsidR="00C140B6" w:rsidRPr="003E2679" w:rsidRDefault="00C140B6" w:rsidP="003E2679">
      <w:pPr>
        <w:numPr>
          <w:ilvl w:val="1"/>
          <w:numId w:val="17"/>
        </w:numPr>
        <w:spacing w:line="276" w:lineRule="auto"/>
        <w:contextualSpacing/>
        <w:rPr>
          <w:rFonts w:ascii="Arial" w:eastAsia="Calibri" w:hAnsi="Arial" w:cs="Arial"/>
          <w:sz w:val="22"/>
          <w:szCs w:val="22"/>
        </w:rPr>
      </w:pPr>
      <w:bookmarkStart w:id="7" w:name="_Hlk14249184"/>
      <w:bookmarkStart w:id="8" w:name="_Hlk536624120"/>
      <w:bookmarkEnd w:id="5"/>
      <w:bookmarkEnd w:id="6"/>
      <w:proofErr w:type="spellStart"/>
      <w:r w:rsidRPr="003E2679">
        <w:rPr>
          <w:rFonts w:ascii="Arial" w:eastAsia="Calibri" w:hAnsi="Arial" w:cs="Arial"/>
          <w:sz w:val="22"/>
          <w:szCs w:val="22"/>
        </w:rPr>
        <w:t>Tygacil</w:t>
      </w:r>
      <w:proofErr w:type="spellEnd"/>
      <w:r w:rsidRPr="003E2679">
        <w:rPr>
          <w:rFonts w:ascii="Arial" w:eastAsia="Calibri" w:hAnsi="Arial" w:cs="Arial"/>
          <w:sz w:val="22"/>
          <w:szCs w:val="22"/>
        </w:rPr>
        <w:t xml:space="preserve"> (tigecycline) – </w:t>
      </w:r>
      <w:r w:rsidRPr="003E2679">
        <w:rPr>
          <w:rFonts w:ascii="Arial" w:eastAsia="Calibri" w:hAnsi="Arial" w:cs="Arial"/>
          <w:b/>
          <w:bCs/>
          <w:sz w:val="22"/>
          <w:szCs w:val="22"/>
        </w:rPr>
        <w:t>PA</w:t>
      </w:r>
      <w:r w:rsidRPr="003E2679">
        <w:rPr>
          <w:rFonts w:ascii="Arial" w:eastAsia="Calibri" w:hAnsi="Arial" w:cs="Arial"/>
          <w:sz w:val="22"/>
          <w:szCs w:val="22"/>
        </w:rPr>
        <w:t>; BP</w:t>
      </w:r>
    </w:p>
    <w:p w14:paraId="539EE530" w14:textId="77777777" w:rsidR="00C140B6" w:rsidRPr="00C140B6" w:rsidRDefault="00C140B6" w:rsidP="00C140B6">
      <w:pPr>
        <w:keepNext/>
        <w:keepLines/>
        <w:numPr>
          <w:ilvl w:val="0"/>
          <w:numId w:val="1"/>
        </w:numPr>
        <w:spacing w:line="276" w:lineRule="auto"/>
        <w:outlineLvl w:val="0"/>
        <w:rPr>
          <w:rFonts w:ascii="Arial" w:eastAsia="Calibri" w:hAnsi="Arial" w:cs="Arial"/>
          <w:color w:val="000000"/>
          <w:sz w:val="22"/>
          <w:szCs w:val="21"/>
        </w:rPr>
      </w:pPr>
      <w:r w:rsidRPr="00C140B6">
        <w:rPr>
          <w:rFonts w:ascii="Arial" w:eastAsia="Calibri" w:hAnsi="Arial" w:cs="Arial"/>
          <w:color w:val="000000"/>
          <w:sz w:val="22"/>
          <w:szCs w:val="21"/>
        </w:rPr>
        <w:t xml:space="preserve">Effective August 11, 2025, the following agents will be removed from the MassHealth Brand Name Preferred Over Generic Drug List. </w:t>
      </w:r>
    </w:p>
    <w:bookmarkEnd w:id="7"/>
    <w:p w14:paraId="11CB35E9" w14:textId="77777777" w:rsidR="00C140B6" w:rsidRPr="003E2679" w:rsidRDefault="00C140B6" w:rsidP="003E2679">
      <w:pPr>
        <w:numPr>
          <w:ilvl w:val="1"/>
          <w:numId w:val="17"/>
        </w:numPr>
        <w:spacing w:line="276" w:lineRule="auto"/>
        <w:contextualSpacing/>
        <w:rPr>
          <w:rFonts w:ascii="Arial" w:eastAsia="Calibri" w:hAnsi="Arial" w:cs="Arial"/>
          <w:sz w:val="22"/>
          <w:szCs w:val="22"/>
        </w:rPr>
      </w:pPr>
      <w:proofErr w:type="spellStart"/>
      <w:r w:rsidRPr="003E2679">
        <w:rPr>
          <w:rFonts w:ascii="Arial" w:eastAsia="Calibri" w:hAnsi="Arial" w:cs="Arial"/>
          <w:sz w:val="22"/>
          <w:szCs w:val="22"/>
        </w:rPr>
        <w:t>Efudex</w:t>
      </w:r>
      <w:proofErr w:type="spellEnd"/>
      <w:r w:rsidRPr="003E2679">
        <w:rPr>
          <w:rFonts w:ascii="Arial" w:eastAsia="Calibri" w:hAnsi="Arial" w:cs="Arial"/>
          <w:sz w:val="22"/>
          <w:szCs w:val="22"/>
        </w:rPr>
        <w:t xml:space="preserve"> (fluorouracil 5% cream); #, A90</w:t>
      </w:r>
    </w:p>
    <w:p w14:paraId="3BDFEC75" w14:textId="77777777" w:rsidR="00C140B6" w:rsidRDefault="00C140B6" w:rsidP="003E2679">
      <w:pPr>
        <w:numPr>
          <w:ilvl w:val="1"/>
          <w:numId w:val="17"/>
        </w:numPr>
        <w:spacing w:line="276" w:lineRule="auto"/>
        <w:contextualSpacing/>
        <w:rPr>
          <w:rFonts w:ascii="Arial" w:eastAsia="Calibri" w:hAnsi="Arial" w:cs="Arial"/>
          <w:sz w:val="22"/>
          <w:szCs w:val="22"/>
        </w:rPr>
      </w:pPr>
      <w:proofErr w:type="spellStart"/>
      <w:r w:rsidRPr="003E2679">
        <w:rPr>
          <w:rFonts w:ascii="Arial" w:eastAsia="Calibri" w:hAnsi="Arial" w:cs="Arial"/>
          <w:sz w:val="22"/>
          <w:szCs w:val="22"/>
        </w:rPr>
        <w:t>Firvanq</w:t>
      </w:r>
      <w:proofErr w:type="spellEnd"/>
      <w:r w:rsidRPr="003E2679">
        <w:rPr>
          <w:rFonts w:ascii="Arial" w:eastAsia="Calibri" w:hAnsi="Arial" w:cs="Arial"/>
          <w:sz w:val="22"/>
          <w:szCs w:val="22"/>
        </w:rPr>
        <w:t xml:space="preserve"> (vancomycin oral solution); #, A90</w:t>
      </w:r>
      <w:bookmarkEnd w:id="8"/>
    </w:p>
    <w:p w14:paraId="49385B82" w14:textId="77777777" w:rsidR="003E2679" w:rsidRPr="003E2679" w:rsidRDefault="003E2679" w:rsidP="003E2679">
      <w:pPr>
        <w:spacing w:line="276" w:lineRule="auto"/>
        <w:ind w:left="1080"/>
        <w:contextualSpacing/>
        <w:rPr>
          <w:rFonts w:ascii="Arial" w:eastAsia="Calibri" w:hAnsi="Arial" w:cs="Arial"/>
          <w:sz w:val="22"/>
          <w:szCs w:val="22"/>
        </w:rPr>
      </w:pPr>
    </w:p>
    <w:p w14:paraId="74724DE3" w14:textId="29B0FBD6" w:rsidR="00A23C6C" w:rsidRPr="00126536" w:rsidRDefault="00A23C6C"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Updated MassHealth 90-</w:t>
      </w:r>
      <w:r w:rsidR="00A23A3E">
        <w:rPr>
          <w:rFonts w:ascii="Arial" w:eastAsia="Yu Gothic Light" w:hAnsi="Arial"/>
          <w:sz w:val="24"/>
          <w:szCs w:val="24"/>
        </w:rPr>
        <w:t>D</w:t>
      </w:r>
      <w:r w:rsidRPr="00126536">
        <w:rPr>
          <w:rFonts w:ascii="Arial" w:eastAsia="Yu Gothic Light" w:hAnsi="Arial"/>
          <w:sz w:val="24"/>
          <w:szCs w:val="24"/>
        </w:rPr>
        <w:t>ay Initiative</w:t>
      </w:r>
    </w:p>
    <w:p w14:paraId="4673955B" w14:textId="77777777" w:rsidR="00D1271C" w:rsidRPr="00D1271C" w:rsidRDefault="00D1271C" w:rsidP="00D1271C">
      <w:pPr>
        <w:spacing w:line="256" w:lineRule="auto"/>
        <w:rPr>
          <w:rFonts w:ascii="Arial" w:eastAsia="Calibri" w:hAnsi="Arial" w:cs="Arial"/>
          <w:sz w:val="22"/>
          <w:szCs w:val="21"/>
        </w:rPr>
      </w:pPr>
      <w:r w:rsidRPr="00D1271C">
        <w:rPr>
          <w:rFonts w:ascii="Arial" w:eastAsia="Calibri" w:hAnsi="Arial" w:cs="Arial"/>
          <w:sz w:val="21"/>
          <w:szCs w:val="21"/>
        </w:rPr>
        <w:t xml:space="preserve">The </w:t>
      </w:r>
      <w:r w:rsidRPr="00D1271C">
        <w:rPr>
          <w:rFonts w:ascii="Arial" w:eastAsia="Calibri" w:hAnsi="Arial" w:cs="Arial"/>
          <w:sz w:val="22"/>
          <w:szCs w:val="22"/>
        </w:rPr>
        <w:t>MassHealth 90-day Initiative has been updated to reflect recent changes to the MassHealth Drug List</w:t>
      </w:r>
      <w:r w:rsidRPr="00D1271C">
        <w:rPr>
          <w:rFonts w:ascii="Arial" w:eastAsia="Calibri" w:hAnsi="Arial" w:cs="Arial"/>
          <w:sz w:val="22"/>
          <w:szCs w:val="21"/>
        </w:rPr>
        <w:t>.</w:t>
      </w:r>
    </w:p>
    <w:p w14:paraId="5B35A012" w14:textId="77777777" w:rsidR="00D1271C" w:rsidRPr="00D1271C" w:rsidRDefault="00D1271C" w:rsidP="00D1271C">
      <w:pPr>
        <w:autoSpaceDE w:val="0"/>
        <w:autoSpaceDN w:val="0"/>
        <w:adjustRightInd w:val="0"/>
        <w:spacing w:line="276" w:lineRule="auto"/>
        <w:rPr>
          <w:rFonts w:ascii="Arial" w:eastAsia="Calibri" w:hAnsi="Arial" w:cs="Arial"/>
          <w:color w:val="000000"/>
          <w:sz w:val="22"/>
          <w:szCs w:val="21"/>
        </w:rPr>
      </w:pPr>
      <w:r w:rsidRPr="00D1271C">
        <w:rPr>
          <w:rFonts w:ascii="Arial" w:eastAsia="Calibri" w:hAnsi="Arial" w:cs="Arial"/>
          <w:color w:val="000000"/>
          <w:sz w:val="22"/>
          <w:szCs w:val="21"/>
        </w:rPr>
        <w:t xml:space="preserve">Effective </w:t>
      </w:r>
      <w:r w:rsidRPr="00D1271C">
        <w:rPr>
          <w:rFonts w:ascii="Arial" w:eastAsia="Calibri" w:hAnsi="Arial" w:cs="Arial"/>
          <w:color w:val="000000"/>
          <w:sz w:val="22"/>
          <w:szCs w:val="22"/>
        </w:rPr>
        <w:t>August 11, 2025, the following agents may be allowed or mandated to be dispensed in up to a 90-day supply, as indicated below</w:t>
      </w:r>
      <w:r w:rsidRPr="00D1271C">
        <w:rPr>
          <w:rFonts w:ascii="Arial" w:eastAsia="Calibri" w:hAnsi="Arial" w:cs="Arial"/>
          <w:color w:val="000000"/>
          <w:sz w:val="22"/>
          <w:szCs w:val="21"/>
        </w:rPr>
        <w:t xml:space="preserve">. </w:t>
      </w:r>
    </w:p>
    <w:p w14:paraId="334AAE7A" w14:textId="77777777" w:rsidR="00D1271C" w:rsidRPr="00D1271C" w:rsidRDefault="00D1271C" w:rsidP="00D1271C">
      <w:pPr>
        <w:numPr>
          <w:ilvl w:val="1"/>
          <w:numId w:val="16"/>
        </w:numPr>
        <w:autoSpaceDE w:val="0"/>
        <w:autoSpaceDN w:val="0"/>
        <w:adjustRightInd w:val="0"/>
        <w:spacing w:after="160" w:line="276" w:lineRule="auto"/>
        <w:ind w:left="720"/>
        <w:rPr>
          <w:rFonts w:ascii="Arial" w:eastAsia="Calibri" w:hAnsi="Arial" w:cs="Arial"/>
          <w:color w:val="000000"/>
          <w:sz w:val="22"/>
          <w:szCs w:val="21"/>
        </w:rPr>
      </w:pPr>
      <w:proofErr w:type="spellStart"/>
      <w:r w:rsidRPr="00D1271C">
        <w:rPr>
          <w:rFonts w:ascii="Arial" w:eastAsia="Calibri" w:hAnsi="Arial" w:cs="Arial"/>
          <w:color w:val="000000"/>
          <w:sz w:val="22"/>
          <w:szCs w:val="22"/>
        </w:rPr>
        <w:t>Zituvimet</w:t>
      </w:r>
      <w:proofErr w:type="spellEnd"/>
      <w:r w:rsidRPr="00D1271C">
        <w:rPr>
          <w:rFonts w:ascii="Arial" w:eastAsia="Calibri" w:hAnsi="Arial" w:cs="Arial"/>
          <w:color w:val="000000"/>
          <w:sz w:val="22"/>
          <w:szCs w:val="22"/>
        </w:rPr>
        <w:t xml:space="preserve"> XR (sitagliptin/metformin extended-release) – </w:t>
      </w:r>
      <w:r w:rsidRPr="00D1271C">
        <w:rPr>
          <w:rFonts w:ascii="Arial" w:eastAsia="Calibri" w:hAnsi="Arial" w:cs="Arial"/>
          <w:b/>
          <w:bCs/>
          <w:color w:val="000000"/>
          <w:sz w:val="22"/>
          <w:szCs w:val="22"/>
        </w:rPr>
        <w:t>PA</w:t>
      </w:r>
      <w:r w:rsidRPr="00D1271C">
        <w:rPr>
          <w:rFonts w:ascii="Arial" w:eastAsia="Calibri" w:hAnsi="Arial" w:cs="Arial"/>
          <w:color w:val="000000"/>
          <w:sz w:val="22"/>
          <w:szCs w:val="22"/>
        </w:rPr>
        <w:t>; A90</w:t>
      </w:r>
    </w:p>
    <w:p w14:paraId="15C7547F" w14:textId="77777777" w:rsidR="00BC084C" w:rsidRPr="00424249" w:rsidRDefault="00BC084C" w:rsidP="00424249">
      <w:pPr>
        <w:autoSpaceDE w:val="0"/>
        <w:autoSpaceDN w:val="0"/>
        <w:adjustRightInd w:val="0"/>
        <w:spacing w:line="276" w:lineRule="auto"/>
        <w:rPr>
          <w:rFonts w:eastAsia="Calibri" w:cs="Arial"/>
          <w:color w:val="000000"/>
          <w:sz w:val="20"/>
          <w:szCs w:val="20"/>
        </w:rPr>
      </w:pPr>
    </w:p>
    <w:p w14:paraId="10BE2799" w14:textId="77777777" w:rsidR="003A0D24" w:rsidRPr="00126536" w:rsidRDefault="003A0D24" w:rsidP="00126536">
      <w:pPr>
        <w:pStyle w:val="Heading1"/>
        <w:spacing w:line="276" w:lineRule="auto"/>
        <w:rPr>
          <w:rFonts w:ascii="Arial" w:eastAsia="Yu Gothic Light" w:hAnsi="Arial"/>
          <w:sz w:val="24"/>
          <w:szCs w:val="24"/>
        </w:rPr>
      </w:pPr>
      <w:r w:rsidRPr="00126536">
        <w:rPr>
          <w:rFonts w:ascii="Arial" w:eastAsia="Yu Gothic Light" w:hAnsi="Arial"/>
          <w:sz w:val="24"/>
          <w:szCs w:val="24"/>
        </w:rPr>
        <w:t xml:space="preserve">Abbreviations, Acronyms, and Symbols </w:t>
      </w:r>
    </w:p>
    <w:bookmarkEnd w:id="0"/>
    <w:p w14:paraId="11CEC072" w14:textId="77777777" w:rsidR="0011469E" w:rsidRPr="0011469E" w:rsidRDefault="0011469E" w:rsidP="00864D42">
      <w:pPr>
        <w:autoSpaceDE w:val="0"/>
        <w:autoSpaceDN w:val="0"/>
        <w:adjustRightInd w:val="0"/>
        <w:spacing w:after="120"/>
        <w:rPr>
          <w:rFonts w:ascii="Arial" w:eastAsia="Calibri" w:hAnsi="Arial" w:cs="Arial"/>
          <w:color w:val="000000"/>
          <w:sz w:val="22"/>
          <w:szCs w:val="22"/>
        </w:rPr>
      </w:pPr>
      <w:r w:rsidRPr="0011469E">
        <w:rPr>
          <w:rFonts w:ascii="Arial" w:eastAsia="Calibri" w:hAnsi="Arial" w:cs="Arial"/>
          <w:b/>
          <w:bCs/>
          <w:color w:val="000000"/>
          <w:sz w:val="22"/>
          <w:szCs w:val="22"/>
        </w:rPr>
        <w:t xml:space="preserve"># </w:t>
      </w:r>
      <w:r w:rsidRPr="0011469E">
        <w:rPr>
          <w:rFonts w:ascii="Arial" w:eastAsia="Calibri" w:hAnsi="Arial" w:cs="Arial"/>
          <w:color w:val="000000"/>
          <w:sz w:val="22"/>
          <w:szCs w:val="22"/>
        </w:rPr>
        <w:t xml:space="preserve">This designates a brand-name drug with FDA “A”-rated generic equivalents. PA is required for the brand, unless a particular form of that drug (for example, tablet, capsule, or liquid) does not have an FDA “A”-rated generic equivalent. </w:t>
      </w:r>
    </w:p>
    <w:p w14:paraId="061D4CA9" w14:textId="56A03637" w:rsidR="00ED337D" w:rsidRPr="00ED337D" w:rsidRDefault="00ED337D" w:rsidP="00864D42">
      <w:pPr>
        <w:spacing w:after="120"/>
        <w:ind w:right="547"/>
        <w:rPr>
          <w:rFonts w:ascii="Arial" w:eastAsia="Calibri" w:hAnsi="Arial" w:cs="Arial"/>
          <w:sz w:val="22"/>
          <w:szCs w:val="22"/>
        </w:rPr>
      </w:pPr>
      <w:r w:rsidRPr="00ED337D">
        <w:rPr>
          <w:rFonts w:ascii="Arial" w:eastAsia="Calibri" w:hAnsi="Arial" w:cs="Arial"/>
          <w:sz w:val="22"/>
          <w:szCs w:val="22"/>
          <w:vertAlign w:val="superscript"/>
        </w:rPr>
        <w:t>CO</w:t>
      </w:r>
      <w:r>
        <w:rPr>
          <w:rFonts w:ascii="Arial" w:eastAsia="Calibri" w:hAnsi="Arial" w:cs="Arial"/>
          <w:sz w:val="22"/>
          <w:szCs w:val="22"/>
        </w:rPr>
        <w:t xml:space="preserve"> </w:t>
      </w:r>
      <w:r w:rsidRPr="00ED337D">
        <w:rPr>
          <w:rFonts w:ascii="Arial" w:eastAsia="Calibri" w:hAnsi="Arial" w:cs="Arial"/>
          <w:sz w:val="22"/>
          <w:szCs w:val="22"/>
        </w:rPr>
        <w:t>Carve-Out. This agent is listed on the Acute Hospital Carve-Out Drugs List and is subject to additional monitoring and billing requirements. All requests for one-time cell and gene therapies (as listed on the Acute Hospital Carve-Out Drug List), including for members enrolled in an Accountable Care Partnership Plan (ACPP) or Managed Care Organization (MCO), will be reviewed by the MassHealth Drug Utilization Review (DUR) Program.</w:t>
      </w:r>
    </w:p>
    <w:p w14:paraId="43B9873E" w14:textId="0618F28A" w:rsidR="0011469E" w:rsidRPr="0011469E" w:rsidRDefault="0011469E" w:rsidP="00864D42">
      <w:pPr>
        <w:spacing w:after="120"/>
        <w:ind w:right="547"/>
        <w:rPr>
          <w:rFonts w:ascii="Arial" w:eastAsia="Calibri" w:hAnsi="Arial" w:cs="Arial"/>
          <w:sz w:val="22"/>
          <w:szCs w:val="22"/>
          <w:highlight w:val="yellow"/>
        </w:rPr>
      </w:pPr>
      <w:r w:rsidRPr="0011469E">
        <w:rPr>
          <w:rFonts w:ascii="Arial" w:eastAsia="Calibri" w:hAnsi="Arial" w:cs="Arial"/>
          <w:sz w:val="22"/>
          <w:szCs w:val="22"/>
          <w:vertAlign w:val="superscript"/>
        </w:rPr>
        <w:t>MB</w:t>
      </w:r>
      <w:r w:rsidRPr="0011469E">
        <w:rPr>
          <w:rFonts w:ascii="Arial" w:eastAsia="Calibri" w:hAnsi="Arial" w:cs="Arial"/>
          <w:sz w:val="22"/>
          <w:szCs w:val="22"/>
        </w:rPr>
        <w:t xml:space="preserve">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016DCA1C" w14:textId="77777777" w:rsidR="00C31E2C" w:rsidRDefault="0011469E" w:rsidP="00864D42">
      <w:pPr>
        <w:autoSpaceDE w:val="0"/>
        <w:autoSpaceDN w:val="0"/>
        <w:adjustRightInd w:val="0"/>
        <w:spacing w:after="120"/>
        <w:rPr>
          <w:rFonts w:ascii="Arial" w:eastAsia="Calibri" w:hAnsi="Arial" w:cs="Arial"/>
          <w:bCs/>
          <w:color w:val="000000"/>
          <w:sz w:val="22"/>
          <w:szCs w:val="22"/>
        </w:rPr>
        <w:sectPr w:rsidR="00C31E2C" w:rsidSect="003D103D">
          <w:footerReference w:type="default" r:id="rId12"/>
          <w:type w:val="continuous"/>
          <w:pgSz w:w="12240" w:h="15840" w:code="1"/>
          <w:pgMar w:top="360" w:right="907" w:bottom="1080" w:left="907" w:header="720" w:footer="576" w:gutter="0"/>
          <w:cols w:sep="1" w:space="720"/>
          <w:docGrid w:linePitch="360"/>
        </w:sectPr>
      </w:pPr>
      <w:r w:rsidRPr="0011469E">
        <w:rPr>
          <w:rFonts w:ascii="Arial" w:eastAsia="Calibri" w:hAnsi="Arial" w:cs="Arial"/>
          <w:b/>
          <w:bCs/>
          <w:color w:val="000000"/>
          <w:sz w:val="22"/>
          <w:szCs w:val="22"/>
        </w:rPr>
        <w:t>*</w:t>
      </w:r>
      <w:r w:rsidRPr="0011469E">
        <w:rPr>
          <w:rFonts w:ascii="Arial" w:eastAsia="Calibri" w:hAnsi="Arial" w:cs="Arial"/>
          <w:bCs/>
          <w:color w:val="000000"/>
          <w:sz w:val="22"/>
          <w:szCs w:val="22"/>
        </w:rPr>
        <w:t xml:space="preserve"> The generic OTC and, if any, generic prescription versions of the drug are payable under MassHealth without PA.</w:t>
      </w:r>
    </w:p>
    <w:p w14:paraId="18A0424C" w14:textId="77777777" w:rsidR="0011469E" w:rsidRPr="0011469E" w:rsidRDefault="0011469E" w:rsidP="00864D42">
      <w:pPr>
        <w:autoSpaceDE w:val="0"/>
        <w:autoSpaceDN w:val="0"/>
        <w:adjustRightInd w:val="0"/>
        <w:spacing w:after="120"/>
        <w:rPr>
          <w:rFonts w:ascii="Arial" w:eastAsia="Calibri" w:hAnsi="Arial" w:cs="Arial"/>
          <w:color w:val="000000"/>
          <w:sz w:val="22"/>
          <w:szCs w:val="22"/>
        </w:rPr>
      </w:pPr>
      <w:r w:rsidRPr="0011469E">
        <w:rPr>
          <w:rFonts w:ascii="Arial" w:eastAsia="Calibri" w:hAnsi="Arial" w:cs="Arial"/>
          <w:b/>
          <w:bCs/>
          <w:color w:val="000000"/>
          <w:sz w:val="22"/>
          <w:szCs w:val="22"/>
        </w:rPr>
        <w:lastRenderedPageBreak/>
        <w:t xml:space="preserve">PA </w:t>
      </w:r>
      <w:r w:rsidRPr="0011469E">
        <w:rPr>
          <w:rFonts w:ascii="Arial" w:eastAsia="Calibri" w:hAnsi="Arial" w:cs="Arial"/>
          <w:color w:val="000000"/>
          <w:sz w:val="22"/>
          <w:szCs w:val="22"/>
        </w:rPr>
        <w:t xml:space="preserve">Prior authorization is required. The prescriber must obtain PA for the drug </w:t>
      </w:r>
      <w:proofErr w:type="gramStart"/>
      <w:r w:rsidRPr="0011469E">
        <w:rPr>
          <w:rFonts w:ascii="Arial" w:eastAsia="Calibri" w:hAnsi="Arial" w:cs="Arial"/>
          <w:color w:val="000000"/>
          <w:sz w:val="22"/>
          <w:szCs w:val="22"/>
        </w:rPr>
        <w:t>in order for</w:t>
      </w:r>
      <w:proofErr w:type="gramEnd"/>
      <w:r w:rsidRPr="0011469E">
        <w:rPr>
          <w:rFonts w:ascii="Arial" w:eastAsia="Calibri" w:hAnsi="Arial" w:cs="Arial"/>
          <w:color w:val="000000"/>
          <w:sz w:val="22"/>
          <w:szCs w:val="22"/>
        </w:rPr>
        <w:t xml:space="preserve"> the provider to receive reimbursement. Note: PA applies to both the brand-name and the FDA “A”-rated generic equivalent of listed product. </w:t>
      </w:r>
    </w:p>
    <w:p w14:paraId="571C2397" w14:textId="0668D734" w:rsidR="0011469E" w:rsidRPr="0011469E"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A90</w:t>
      </w:r>
      <w:r w:rsidRPr="0011469E">
        <w:rPr>
          <w:rFonts w:ascii="Arial" w:eastAsia="Calibri" w:hAnsi="Arial" w:cs="Arial"/>
          <w:sz w:val="22"/>
          <w:szCs w:val="22"/>
        </w:rPr>
        <w:t xml:space="preserve"> Allowable 90-day supply. Dispensing up to a 90-day supply is allowed. May not include all strengths or formulations. Quantity limits and other restrictions may apply. </w:t>
      </w:r>
    </w:p>
    <w:p w14:paraId="6D8E4AB8" w14:textId="77777777" w:rsidR="0011469E" w:rsidRPr="0011469E" w:rsidRDefault="0011469E" w:rsidP="00864D42">
      <w:pPr>
        <w:spacing w:after="120"/>
        <w:ind w:right="547"/>
        <w:rPr>
          <w:rFonts w:ascii="Arial" w:eastAsia="Calibri" w:hAnsi="Arial" w:cs="Arial"/>
          <w:sz w:val="22"/>
          <w:szCs w:val="22"/>
        </w:rPr>
      </w:pPr>
      <w:r w:rsidRPr="0011469E">
        <w:rPr>
          <w:rFonts w:ascii="Arial" w:eastAsia="Calibri" w:hAnsi="Arial" w:cs="Arial"/>
          <w:b/>
          <w:sz w:val="22"/>
          <w:szCs w:val="22"/>
          <w:vertAlign w:val="superscript"/>
        </w:rPr>
        <w:t>BP</w:t>
      </w:r>
      <w:r w:rsidRPr="0011469E">
        <w:rPr>
          <w:rFonts w:ascii="Arial" w:eastAsia="Calibri" w:hAnsi="Arial" w:cs="Arial"/>
          <w:sz w:val="22"/>
          <w:szCs w:val="22"/>
        </w:rPr>
        <w:t xml:space="preserve"> Brand Preferred over generic equivalents. In general, MassHealth requires a trial of the preferred drug or clinical rationale for prescribing the non-preferred drug generic equivalent.</w:t>
      </w:r>
    </w:p>
    <w:p w14:paraId="42D6231D" w14:textId="04AB314F" w:rsidR="0011469E" w:rsidRPr="0011469E" w:rsidRDefault="0011469E" w:rsidP="00864D42">
      <w:pPr>
        <w:spacing w:after="120"/>
        <w:ind w:right="547"/>
        <w:rPr>
          <w:rFonts w:ascii="Arial" w:eastAsia="Calibri" w:hAnsi="Arial" w:cs="Arial"/>
          <w:sz w:val="32"/>
          <w:szCs w:val="22"/>
        </w:rPr>
      </w:pPr>
      <w:bookmarkStart w:id="9" w:name="_Hlk99013636"/>
      <w:r w:rsidRPr="0011469E">
        <w:rPr>
          <w:rFonts w:ascii="Arial" w:eastAsia="Calibri" w:hAnsi="Arial" w:cs="Arial"/>
          <w:b/>
          <w:sz w:val="22"/>
          <w:szCs w:val="22"/>
          <w:vertAlign w:val="superscript"/>
        </w:rPr>
        <w:t>M90</w:t>
      </w:r>
      <w:r w:rsidRPr="0011469E">
        <w:rPr>
          <w:rFonts w:ascii="Arial" w:eastAsia="Calibri" w:hAnsi="Arial" w:cs="Arial"/>
          <w:sz w:val="22"/>
          <w:szCs w:val="22"/>
        </w:rPr>
        <w:t xml:space="preserve"> Mandatory 90-day supply. After dispensing up to a 30-day supply initial fill, dispensing in a 90-day supply is required. May not include all strengths or formulations. Quantity limits and other restrictions may also apply. </w:t>
      </w:r>
    </w:p>
    <w:p w14:paraId="6D7C14B6" w14:textId="09052F48" w:rsidR="00A66AFB" w:rsidRPr="00BC084C" w:rsidRDefault="0011469E" w:rsidP="00864D42">
      <w:pPr>
        <w:spacing w:after="120"/>
        <w:ind w:right="547"/>
        <w:rPr>
          <w:rFonts w:ascii="Arial" w:eastAsia="Calibri" w:hAnsi="Arial" w:cs="Arial"/>
          <w:sz w:val="22"/>
          <w:szCs w:val="22"/>
        </w:rPr>
      </w:pPr>
      <w:proofErr w:type="gramStart"/>
      <w:r w:rsidRPr="0011469E">
        <w:rPr>
          <w:rFonts w:ascii="Arial" w:eastAsia="Calibri" w:hAnsi="Arial" w:cs="Arial"/>
          <w:b/>
          <w:sz w:val="22"/>
          <w:szCs w:val="22"/>
          <w:vertAlign w:val="superscript"/>
        </w:rPr>
        <w:t>PD</w:t>
      </w:r>
      <w:proofErr w:type="gramEnd"/>
      <w:r w:rsidRPr="0011469E">
        <w:rPr>
          <w:rFonts w:ascii="Arial" w:eastAsia="Calibri" w:hAnsi="Arial" w:cs="Arial"/>
          <w:sz w:val="22"/>
          <w:szCs w:val="22"/>
        </w:rPr>
        <w:t xml:space="preserve"> Preferred Drug. In general, MassHealth requires a trial of the preferred drug or clinical rationale for prescribing a non-preferred drug within a therapeutic class.</w:t>
      </w:r>
      <w:bookmarkEnd w:id="9"/>
    </w:p>
    <w:sectPr w:rsidR="00A66AFB" w:rsidRPr="00BC084C" w:rsidSect="00C31E2C">
      <w:footerReference w:type="default" r:id="rId13"/>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97A7" w14:textId="77777777" w:rsidR="00E57F33" w:rsidRDefault="00E57F33" w:rsidP="00492602">
      <w:r>
        <w:separator/>
      </w:r>
    </w:p>
    <w:p w14:paraId="6726DA13" w14:textId="77777777" w:rsidR="00E57F33" w:rsidRDefault="00E57F33"/>
  </w:endnote>
  <w:endnote w:type="continuationSeparator" w:id="0">
    <w:p w14:paraId="1BE66335" w14:textId="77777777" w:rsidR="00E57F33" w:rsidRDefault="00E57F33" w:rsidP="00492602">
      <w:r>
        <w:continuationSeparator/>
      </w:r>
    </w:p>
    <w:p w14:paraId="7078B1C2" w14:textId="77777777" w:rsidR="00E57F33" w:rsidRDefault="00E57F33"/>
  </w:endnote>
  <w:endnote w:type="continuationNotice" w:id="1">
    <w:p w14:paraId="2BE27D8E" w14:textId="77777777" w:rsidR="00E57F33" w:rsidRDefault="00E57F33"/>
    <w:p w14:paraId="2AF779DE" w14:textId="77777777" w:rsidR="00E57F33" w:rsidRDefault="00E5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D787" w14:textId="77777777" w:rsidR="00C31E2C" w:rsidRDefault="00C31E2C"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1ED53893" w14:textId="77777777" w:rsidR="00C31E2C" w:rsidRDefault="00C31E2C"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requests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74E833C5" w14:textId="77777777" w:rsidR="00C31E2C" w:rsidRDefault="00C31E2C"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C47" w14:textId="77777777" w:rsidR="00E57F33" w:rsidRDefault="00E57F33" w:rsidP="00492602">
      <w:r>
        <w:separator/>
      </w:r>
    </w:p>
    <w:p w14:paraId="55A1A926" w14:textId="77777777" w:rsidR="00E57F33" w:rsidRDefault="00E57F33"/>
  </w:footnote>
  <w:footnote w:type="continuationSeparator" w:id="0">
    <w:p w14:paraId="5D36E71F" w14:textId="77777777" w:rsidR="00E57F33" w:rsidRDefault="00E57F33" w:rsidP="00492602">
      <w:r>
        <w:continuationSeparator/>
      </w:r>
    </w:p>
    <w:p w14:paraId="1E4D7F28" w14:textId="77777777" w:rsidR="00E57F33" w:rsidRDefault="00E57F33"/>
  </w:footnote>
  <w:footnote w:type="continuationNotice" w:id="1">
    <w:p w14:paraId="7EA24890" w14:textId="77777777" w:rsidR="00E57F33" w:rsidRDefault="00E57F33"/>
    <w:p w14:paraId="32C6A716" w14:textId="77777777" w:rsidR="00E57F33" w:rsidRDefault="00E5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42E" w14:textId="04531B8D"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w:t>
    </w:r>
    <w:r w:rsidR="00C31E2C">
      <w:rPr>
        <w:sz w:val="18"/>
        <w:szCs w:val="18"/>
      </w:rPr>
      <w:t>50</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C31E2C">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F4126D"/>
    <w:multiLevelType w:val="hybridMultilevel"/>
    <w:tmpl w:val="4CC6C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2865CB"/>
    <w:multiLevelType w:val="hybridMultilevel"/>
    <w:tmpl w:val="F4D2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8255C"/>
    <w:multiLevelType w:val="hybridMultilevel"/>
    <w:tmpl w:val="B2CEFEE6"/>
    <w:lvl w:ilvl="0" w:tplc="04090019">
      <w:start w:val="1"/>
      <w:numFmt w:val="lowerLetter"/>
      <w:lvlText w:val="%1."/>
      <w:lvlJc w:val="left"/>
      <w:pPr>
        <w:ind w:left="720" w:hanging="360"/>
      </w:pPr>
    </w:lvl>
    <w:lvl w:ilvl="1" w:tplc="6D74651E">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623CE8"/>
    <w:multiLevelType w:val="hybridMultilevel"/>
    <w:tmpl w:val="939E8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2F132B"/>
    <w:multiLevelType w:val="hybridMultilevel"/>
    <w:tmpl w:val="DCD45CE8"/>
    <w:lvl w:ilvl="0" w:tplc="6D74651E">
      <w:start w:val="1"/>
      <w:numFmt w:val="bullet"/>
      <w:lvlText w:val=""/>
      <w:lvlJc w:val="left"/>
      <w:pPr>
        <w:ind w:left="3240" w:hanging="360"/>
      </w:pPr>
      <w:rPr>
        <w:rFonts w:ascii="Symbol" w:hAnsi="Symbol" w:hint="default"/>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91374B5"/>
    <w:multiLevelType w:val="hybridMultilevel"/>
    <w:tmpl w:val="59EE6934"/>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4B33850"/>
    <w:multiLevelType w:val="hybridMultilevel"/>
    <w:tmpl w:val="1B5C1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F818B9"/>
    <w:multiLevelType w:val="hybridMultilevel"/>
    <w:tmpl w:val="0BFAB3F0"/>
    <w:lvl w:ilvl="0" w:tplc="9292771E">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55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355459">
    <w:abstractNumId w:val="5"/>
  </w:num>
  <w:num w:numId="3" w16cid:durableId="1440756553">
    <w:abstractNumId w:val="7"/>
  </w:num>
  <w:num w:numId="4" w16cid:durableId="430320299">
    <w:abstractNumId w:val="6"/>
  </w:num>
  <w:num w:numId="5" w16cid:durableId="1925021050">
    <w:abstractNumId w:val="9"/>
  </w:num>
  <w:num w:numId="6" w16cid:durableId="1994794362">
    <w:abstractNumId w:val="8"/>
  </w:num>
  <w:num w:numId="7" w16cid:durableId="1587690349">
    <w:abstractNumId w:val="11"/>
  </w:num>
  <w:num w:numId="8" w16cid:durableId="6228842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758683">
    <w:abstractNumId w:val="4"/>
  </w:num>
  <w:num w:numId="10" w16cid:durableId="1755274681">
    <w:abstractNumId w:val="0"/>
  </w:num>
  <w:num w:numId="11" w16cid:durableId="1952396013">
    <w:abstractNumId w:val="10"/>
  </w:num>
  <w:num w:numId="12" w16cid:durableId="2062509776">
    <w:abstractNumId w:val="1"/>
  </w:num>
  <w:num w:numId="13" w16cid:durableId="1410154417">
    <w:abstractNumId w:val="7"/>
  </w:num>
  <w:num w:numId="14" w16cid:durableId="433482138">
    <w:abstractNumId w:val="6"/>
  </w:num>
  <w:num w:numId="15" w16cid:durableId="227614887">
    <w:abstractNumId w:val="8"/>
  </w:num>
  <w:num w:numId="16" w16cid:durableId="126507007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1161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04541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01BE"/>
    <w:rsid w:val="00001072"/>
    <w:rsid w:val="00015518"/>
    <w:rsid w:val="00016D4B"/>
    <w:rsid w:val="0002770E"/>
    <w:rsid w:val="00032F24"/>
    <w:rsid w:val="00041BB3"/>
    <w:rsid w:val="0005108C"/>
    <w:rsid w:val="00054839"/>
    <w:rsid w:val="000627D3"/>
    <w:rsid w:val="00065861"/>
    <w:rsid w:val="00066D40"/>
    <w:rsid w:val="00074014"/>
    <w:rsid w:val="0008078E"/>
    <w:rsid w:val="00081E8E"/>
    <w:rsid w:val="000924D7"/>
    <w:rsid w:val="000A377D"/>
    <w:rsid w:val="000A6455"/>
    <w:rsid w:val="000A7CE1"/>
    <w:rsid w:val="000B13AF"/>
    <w:rsid w:val="000B340B"/>
    <w:rsid w:val="000C4B1B"/>
    <w:rsid w:val="000C6C12"/>
    <w:rsid w:val="000D1502"/>
    <w:rsid w:val="000E15C7"/>
    <w:rsid w:val="001018B6"/>
    <w:rsid w:val="00103B6C"/>
    <w:rsid w:val="0011469E"/>
    <w:rsid w:val="00126432"/>
    <w:rsid w:val="00126536"/>
    <w:rsid w:val="0013361D"/>
    <w:rsid w:val="00136292"/>
    <w:rsid w:val="00137D3D"/>
    <w:rsid w:val="001405EC"/>
    <w:rsid w:val="00140D08"/>
    <w:rsid w:val="00147437"/>
    <w:rsid w:val="00147B32"/>
    <w:rsid w:val="00157A49"/>
    <w:rsid w:val="001721D8"/>
    <w:rsid w:val="0018192D"/>
    <w:rsid w:val="00183133"/>
    <w:rsid w:val="0018357E"/>
    <w:rsid w:val="0018410B"/>
    <w:rsid w:val="001864A9"/>
    <w:rsid w:val="0019075F"/>
    <w:rsid w:val="001A73F0"/>
    <w:rsid w:val="001B615D"/>
    <w:rsid w:val="001C1481"/>
    <w:rsid w:val="001C17CD"/>
    <w:rsid w:val="001C66AD"/>
    <w:rsid w:val="001D35B4"/>
    <w:rsid w:val="001D4CF3"/>
    <w:rsid w:val="001D78C9"/>
    <w:rsid w:val="001E0E7A"/>
    <w:rsid w:val="001E537A"/>
    <w:rsid w:val="001E7644"/>
    <w:rsid w:val="001F1D64"/>
    <w:rsid w:val="001F701D"/>
    <w:rsid w:val="001F799D"/>
    <w:rsid w:val="002111A1"/>
    <w:rsid w:val="002509E9"/>
    <w:rsid w:val="0025647E"/>
    <w:rsid w:val="00256E8B"/>
    <w:rsid w:val="0027289D"/>
    <w:rsid w:val="00274FFA"/>
    <w:rsid w:val="00276A80"/>
    <w:rsid w:val="00276F3A"/>
    <w:rsid w:val="002823C9"/>
    <w:rsid w:val="00286CBE"/>
    <w:rsid w:val="00291313"/>
    <w:rsid w:val="002C2242"/>
    <w:rsid w:val="002C3126"/>
    <w:rsid w:val="002C3773"/>
    <w:rsid w:val="002C54C4"/>
    <w:rsid w:val="002C690F"/>
    <w:rsid w:val="002C7C67"/>
    <w:rsid w:val="002D390F"/>
    <w:rsid w:val="002D7292"/>
    <w:rsid w:val="002D738C"/>
    <w:rsid w:val="002E5ED1"/>
    <w:rsid w:val="002E6A28"/>
    <w:rsid w:val="002F0ACB"/>
    <w:rsid w:val="002F5C29"/>
    <w:rsid w:val="002F7813"/>
    <w:rsid w:val="003062E4"/>
    <w:rsid w:val="003152DA"/>
    <w:rsid w:val="0033053B"/>
    <w:rsid w:val="00352CE6"/>
    <w:rsid w:val="0035740B"/>
    <w:rsid w:val="00360067"/>
    <w:rsid w:val="00363377"/>
    <w:rsid w:val="0036343A"/>
    <w:rsid w:val="00364DA1"/>
    <w:rsid w:val="0037373E"/>
    <w:rsid w:val="003742C0"/>
    <w:rsid w:val="00381A1E"/>
    <w:rsid w:val="00382054"/>
    <w:rsid w:val="00383A87"/>
    <w:rsid w:val="003A0D24"/>
    <w:rsid w:val="003B3B03"/>
    <w:rsid w:val="003B6839"/>
    <w:rsid w:val="003C525F"/>
    <w:rsid w:val="003D103D"/>
    <w:rsid w:val="003D1841"/>
    <w:rsid w:val="003E2679"/>
    <w:rsid w:val="004005D7"/>
    <w:rsid w:val="00400D00"/>
    <w:rsid w:val="00402C3A"/>
    <w:rsid w:val="00410B13"/>
    <w:rsid w:val="00412B95"/>
    <w:rsid w:val="00417EB4"/>
    <w:rsid w:val="00424249"/>
    <w:rsid w:val="00426464"/>
    <w:rsid w:val="00435431"/>
    <w:rsid w:val="0043707B"/>
    <w:rsid w:val="004417DC"/>
    <w:rsid w:val="004421F0"/>
    <w:rsid w:val="0044714D"/>
    <w:rsid w:val="00447A5F"/>
    <w:rsid w:val="00447C59"/>
    <w:rsid w:val="004664D3"/>
    <w:rsid w:val="00466A33"/>
    <w:rsid w:val="0047632A"/>
    <w:rsid w:val="00476ACE"/>
    <w:rsid w:val="0048705C"/>
    <w:rsid w:val="0049118A"/>
    <w:rsid w:val="00492602"/>
    <w:rsid w:val="0049421E"/>
    <w:rsid w:val="004A1D1C"/>
    <w:rsid w:val="004A3BAA"/>
    <w:rsid w:val="004A7395"/>
    <w:rsid w:val="004B4902"/>
    <w:rsid w:val="004C4924"/>
    <w:rsid w:val="004C7B7F"/>
    <w:rsid w:val="004D4593"/>
    <w:rsid w:val="004D73F0"/>
    <w:rsid w:val="004F5612"/>
    <w:rsid w:val="0050063A"/>
    <w:rsid w:val="00503A62"/>
    <w:rsid w:val="00516394"/>
    <w:rsid w:val="0051726C"/>
    <w:rsid w:val="00522E88"/>
    <w:rsid w:val="005314A6"/>
    <w:rsid w:val="005502E1"/>
    <w:rsid w:val="00551597"/>
    <w:rsid w:val="00552F50"/>
    <w:rsid w:val="0056481B"/>
    <w:rsid w:val="00571898"/>
    <w:rsid w:val="00574F07"/>
    <w:rsid w:val="00581E50"/>
    <w:rsid w:val="005842A0"/>
    <w:rsid w:val="00587A3E"/>
    <w:rsid w:val="005958DD"/>
    <w:rsid w:val="005A0EB2"/>
    <w:rsid w:val="005A57BA"/>
    <w:rsid w:val="005C1B4C"/>
    <w:rsid w:val="005C6454"/>
    <w:rsid w:val="005D4363"/>
    <w:rsid w:val="005D6832"/>
    <w:rsid w:val="005E479A"/>
    <w:rsid w:val="005E608B"/>
    <w:rsid w:val="005E77E2"/>
    <w:rsid w:val="005E7C55"/>
    <w:rsid w:val="005F00EF"/>
    <w:rsid w:val="005F3677"/>
    <w:rsid w:val="00603517"/>
    <w:rsid w:val="006161A5"/>
    <w:rsid w:val="0061735E"/>
    <w:rsid w:val="00617A9C"/>
    <w:rsid w:val="006220AB"/>
    <w:rsid w:val="00623469"/>
    <w:rsid w:val="006302EF"/>
    <w:rsid w:val="00637A67"/>
    <w:rsid w:val="006408FB"/>
    <w:rsid w:val="006421B9"/>
    <w:rsid w:val="006431A3"/>
    <w:rsid w:val="00647298"/>
    <w:rsid w:val="00650095"/>
    <w:rsid w:val="00651CA7"/>
    <w:rsid w:val="00652261"/>
    <w:rsid w:val="00661841"/>
    <w:rsid w:val="00663BDB"/>
    <w:rsid w:val="00666BCC"/>
    <w:rsid w:val="006677A3"/>
    <w:rsid w:val="00674418"/>
    <w:rsid w:val="00674428"/>
    <w:rsid w:val="006807BE"/>
    <w:rsid w:val="00681858"/>
    <w:rsid w:val="00683A24"/>
    <w:rsid w:val="00686C26"/>
    <w:rsid w:val="00690023"/>
    <w:rsid w:val="00692C5C"/>
    <w:rsid w:val="006967F6"/>
    <w:rsid w:val="0069772F"/>
    <w:rsid w:val="006A5BB5"/>
    <w:rsid w:val="006A793E"/>
    <w:rsid w:val="006D3092"/>
    <w:rsid w:val="006D3B5F"/>
    <w:rsid w:val="006D4545"/>
    <w:rsid w:val="006D6CDE"/>
    <w:rsid w:val="006E0C20"/>
    <w:rsid w:val="006E22A3"/>
    <w:rsid w:val="006E5120"/>
    <w:rsid w:val="006E6E6D"/>
    <w:rsid w:val="006F35F9"/>
    <w:rsid w:val="007006BD"/>
    <w:rsid w:val="00722FA5"/>
    <w:rsid w:val="007319D7"/>
    <w:rsid w:val="00731FAF"/>
    <w:rsid w:val="007326EC"/>
    <w:rsid w:val="007339DB"/>
    <w:rsid w:val="007376CF"/>
    <w:rsid w:val="007426BF"/>
    <w:rsid w:val="00742D9C"/>
    <w:rsid w:val="007465A9"/>
    <w:rsid w:val="00747274"/>
    <w:rsid w:val="00753C90"/>
    <w:rsid w:val="00760FDF"/>
    <w:rsid w:val="00763D9D"/>
    <w:rsid w:val="00770E52"/>
    <w:rsid w:val="00772667"/>
    <w:rsid w:val="007757E7"/>
    <w:rsid w:val="0078485C"/>
    <w:rsid w:val="00794E19"/>
    <w:rsid w:val="00796A47"/>
    <w:rsid w:val="007A1603"/>
    <w:rsid w:val="007A41F5"/>
    <w:rsid w:val="007A71F0"/>
    <w:rsid w:val="007B1196"/>
    <w:rsid w:val="007B5A33"/>
    <w:rsid w:val="007B7425"/>
    <w:rsid w:val="007C290F"/>
    <w:rsid w:val="007C2BFD"/>
    <w:rsid w:val="007C6D14"/>
    <w:rsid w:val="007D0656"/>
    <w:rsid w:val="007E6327"/>
    <w:rsid w:val="007F5417"/>
    <w:rsid w:val="007F7D28"/>
    <w:rsid w:val="00810468"/>
    <w:rsid w:val="00812480"/>
    <w:rsid w:val="00817B74"/>
    <w:rsid w:val="00821356"/>
    <w:rsid w:val="00821937"/>
    <w:rsid w:val="008403CA"/>
    <w:rsid w:val="008535D0"/>
    <w:rsid w:val="0085395A"/>
    <w:rsid w:val="00853F8E"/>
    <w:rsid w:val="00861844"/>
    <w:rsid w:val="00863E5E"/>
    <w:rsid w:val="00864D42"/>
    <w:rsid w:val="0086789A"/>
    <w:rsid w:val="00867F92"/>
    <w:rsid w:val="00871BCF"/>
    <w:rsid w:val="00872E7F"/>
    <w:rsid w:val="00877164"/>
    <w:rsid w:val="00880FA9"/>
    <w:rsid w:val="00885320"/>
    <w:rsid w:val="00887A7D"/>
    <w:rsid w:val="008930F1"/>
    <w:rsid w:val="00893F45"/>
    <w:rsid w:val="008978FF"/>
    <w:rsid w:val="008B348F"/>
    <w:rsid w:val="008C0A6E"/>
    <w:rsid w:val="008C5414"/>
    <w:rsid w:val="008D22A2"/>
    <w:rsid w:val="008D3088"/>
    <w:rsid w:val="008D5FB9"/>
    <w:rsid w:val="008E62B4"/>
    <w:rsid w:val="008F0130"/>
    <w:rsid w:val="008F11E0"/>
    <w:rsid w:val="008F2307"/>
    <w:rsid w:val="008F2E4C"/>
    <w:rsid w:val="008F6D47"/>
    <w:rsid w:val="00905319"/>
    <w:rsid w:val="009055BF"/>
    <w:rsid w:val="00906EEC"/>
    <w:rsid w:val="009166DF"/>
    <w:rsid w:val="00916A44"/>
    <w:rsid w:val="009204C7"/>
    <w:rsid w:val="00922030"/>
    <w:rsid w:val="009224AE"/>
    <w:rsid w:val="00941258"/>
    <w:rsid w:val="00942245"/>
    <w:rsid w:val="00944DD4"/>
    <w:rsid w:val="00956812"/>
    <w:rsid w:val="0096007B"/>
    <w:rsid w:val="00960771"/>
    <w:rsid w:val="00965293"/>
    <w:rsid w:val="00967518"/>
    <w:rsid w:val="009725E5"/>
    <w:rsid w:val="00973ACB"/>
    <w:rsid w:val="00981567"/>
    <w:rsid w:val="0098420C"/>
    <w:rsid w:val="009B5A36"/>
    <w:rsid w:val="009C3981"/>
    <w:rsid w:val="009D4391"/>
    <w:rsid w:val="009D6AAA"/>
    <w:rsid w:val="009E14EE"/>
    <w:rsid w:val="009F0440"/>
    <w:rsid w:val="00A01DE3"/>
    <w:rsid w:val="00A11371"/>
    <w:rsid w:val="00A120E1"/>
    <w:rsid w:val="00A217D3"/>
    <w:rsid w:val="00A23A3E"/>
    <w:rsid w:val="00A23C6C"/>
    <w:rsid w:val="00A262A2"/>
    <w:rsid w:val="00A330FD"/>
    <w:rsid w:val="00A343A9"/>
    <w:rsid w:val="00A405B4"/>
    <w:rsid w:val="00A43679"/>
    <w:rsid w:val="00A4506A"/>
    <w:rsid w:val="00A5239C"/>
    <w:rsid w:val="00A53E9B"/>
    <w:rsid w:val="00A61734"/>
    <w:rsid w:val="00A643FC"/>
    <w:rsid w:val="00A650DC"/>
    <w:rsid w:val="00A65633"/>
    <w:rsid w:val="00A66AFB"/>
    <w:rsid w:val="00A71D25"/>
    <w:rsid w:val="00A76696"/>
    <w:rsid w:val="00A84255"/>
    <w:rsid w:val="00A87E7D"/>
    <w:rsid w:val="00A91725"/>
    <w:rsid w:val="00A9244B"/>
    <w:rsid w:val="00A94DDA"/>
    <w:rsid w:val="00AA3257"/>
    <w:rsid w:val="00AC1AC7"/>
    <w:rsid w:val="00AC6E7D"/>
    <w:rsid w:val="00AD18B8"/>
    <w:rsid w:val="00AD2D59"/>
    <w:rsid w:val="00AD4750"/>
    <w:rsid w:val="00AD7369"/>
    <w:rsid w:val="00AE21FC"/>
    <w:rsid w:val="00AE46EB"/>
    <w:rsid w:val="00AF19BA"/>
    <w:rsid w:val="00AF1D89"/>
    <w:rsid w:val="00AF3D5A"/>
    <w:rsid w:val="00AF69C8"/>
    <w:rsid w:val="00B00CF0"/>
    <w:rsid w:val="00B01BAA"/>
    <w:rsid w:val="00B035D4"/>
    <w:rsid w:val="00B07BD7"/>
    <w:rsid w:val="00B07DC0"/>
    <w:rsid w:val="00B22A91"/>
    <w:rsid w:val="00B30158"/>
    <w:rsid w:val="00B3099B"/>
    <w:rsid w:val="00B43563"/>
    <w:rsid w:val="00B44F14"/>
    <w:rsid w:val="00B546A9"/>
    <w:rsid w:val="00B54AB5"/>
    <w:rsid w:val="00B57DFD"/>
    <w:rsid w:val="00B631BF"/>
    <w:rsid w:val="00B6603B"/>
    <w:rsid w:val="00B74286"/>
    <w:rsid w:val="00B76668"/>
    <w:rsid w:val="00B81D29"/>
    <w:rsid w:val="00B91A99"/>
    <w:rsid w:val="00B92C96"/>
    <w:rsid w:val="00B94980"/>
    <w:rsid w:val="00BA4AD6"/>
    <w:rsid w:val="00BA68F0"/>
    <w:rsid w:val="00BB7087"/>
    <w:rsid w:val="00BB7F64"/>
    <w:rsid w:val="00BC084C"/>
    <w:rsid w:val="00BC0A49"/>
    <w:rsid w:val="00BD08CA"/>
    <w:rsid w:val="00BD49EE"/>
    <w:rsid w:val="00BF08BA"/>
    <w:rsid w:val="00BF2B67"/>
    <w:rsid w:val="00BF5D2E"/>
    <w:rsid w:val="00C04879"/>
    <w:rsid w:val="00C10F29"/>
    <w:rsid w:val="00C140B6"/>
    <w:rsid w:val="00C222D9"/>
    <w:rsid w:val="00C27842"/>
    <w:rsid w:val="00C30531"/>
    <w:rsid w:val="00C31421"/>
    <w:rsid w:val="00C31E2C"/>
    <w:rsid w:val="00C33282"/>
    <w:rsid w:val="00C33753"/>
    <w:rsid w:val="00C35B94"/>
    <w:rsid w:val="00C57A08"/>
    <w:rsid w:val="00C671DE"/>
    <w:rsid w:val="00C736EA"/>
    <w:rsid w:val="00C75718"/>
    <w:rsid w:val="00C82FA4"/>
    <w:rsid w:val="00C937F1"/>
    <w:rsid w:val="00C959A1"/>
    <w:rsid w:val="00CA0669"/>
    <w:rsid w:val="00CA42D3"/>
    <w:rsid w:val="00CB0030"/>
    <w:rsid w:val="00CB7178"/>
    <w:rsid w:val="00CC3C2D"/>
    <w:rsid w:val="00CC57AC"/>
    <w:rsid w:val="00CC59DC"/>
    <w:rsid w:val="00CC776C"/>
    <w:rsid w:val="00CD01A5"/>
    <w:rsid w:val="00CD6B42"/>
    <w:rsid w:val="00CE1E17"/>
    <w:rsid w:val="00CF561D"/>
    <w:rsid w:val="00D05E85"/>
    <w:rsid w:val="00D1271C"/>
    <w:rsid w:val="00D1692F"/>
    <w:rsid w:val="00D2695E"/>
    <w:rsid w:val="00D4030C"/>
    <w:rsid w:val="00D42F5E"/>
    <w:rsid w:val="00D45E4A"/>
    <w:rsid w:val="00D63E59"/>
    <w:rsid w:val="00D66A89"/>
    <w:rsid w:val="00D746F5"/>
    <w:rsid w:val="00D81121"/>
    <w:rsid w:val="00D826DE"/>
    <w:rsid w:val="00D829A3"/>
    <w:rsid w:val="00D83755"/>
    <w:rsid w:val="00D850CA"/>
    <w:rsid w:val="00D90C7C"/>
    <w:rsid w:val="00D93833"/>
    <w:rsid w:val="00DA36E5"/>
    <w:rsid w:val="00DC0CC0"/>
    <w:rsid w:val="00DC2D01"/>
    <w:rsid w:val="00DD3E8D"/>
    <w:rsid w:val="00E01E67"/>
    <w:rsid w:val="00E06AFA"/>
    <w:rsid w:val="00E24139"/>
    <w:rsid w:val="00E37E21"/>
    <w:rsid w:val="00E444BA"/>
    <w:rsid w:val="00E53D5C"/>
    <w:rsid w:val="00E57F33"/>
    <w:rsid w:val="00E60ABB"/>
    <w:rsid w:val="00E60C41"/>
    <w:rsid w:val="00E67713"/>
    <w:rsid w:val="00E7413C"/>
    <w:rsid w:val="00E80EF9"/>
    <w:rsid w:val="00E90EB0"/>
    <w:rsid w:val="00E91925"/>
    <w:rsid w:val="00E92E47"/>
    <w:rsid w:val="00E95651"/>
    <w:rsid w:val="00E9576D"/>
    <w:rsid w:val="00EA56F9"/>
    <w:rsid w:val="00EB05D9"/>
    <w:rsid w:val="00EB3BFD"/>
    <w:rsid w:val="00EB3E62"/>
    <w:rsid w:val="00EC08AC"/>
    <w:rsid w:val="00EC2856"/>
    <w:rsid w:val="00EC2E80"/>
    <w:rsid w:val="00EC5D2D"/>
    <w:rsid w:val="00EC7E0A"/>
    <w:rsid w:val="00ED337D"/>
    <w:rsid w:val="00EE1C40"/>
    <w:rsid w:val="00EF7C8A"/>
    <w:rsid w:val="00F038F7"/>
    <w:rsid w:val="00F03AE8"/>
    <w:rsid w:val="00F053E2"/>
    <w:rsid w:val="00F12759"/>
    <w:rsid w:val="00F12AD7"/>
    <w:rsid w:val="00F16B33"/>
    <w:rsid w:val="00F21C6C"/>
    <w:rsid w:val="00F25E7F"/>
    <w:rsid w:val="00F318BF"/>
    <w:rsid w:val="00F33C53"/>
    <w:rsid w:val="00F537EB"/>
    <w:rsid w:val="00F614AC"/>
    <w:rsid w:val="00F7659F"/>
    <w:rsid w:val="00F76BED"/>
    <w:rsid w:val="00F76D69"/>
    <w:rsid w:val="00F80EEE"/>
    <w:rsid w:val="00F82DDB"/>
    <w:rsid w:val="00F85F2A"/>
    <w:rsid w:val="00F906CF"/>
    <w:rsid w:val="00F9387A"/>
    <w:rsid w:val="00FA5147"/>
    <w:rsid w:val="00FB0C11"/>
    <w:rsid w:val="00FB39E3"/>
    <w:rsid w:val="00FC445C"/>
    <w:rsid w:val="00FC532A"/>
    <w:rsid w:val="00FD4894"/>
    <w:rsid w:val="00FD6869"/>
    <w:rsid w:val="00FE5DF5"/>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Subtitle"/>
    <w:next w:val="Normal"/>
    <w:link w:val="Heading1Char"/>
    <w:qFormat/>
    <w:rsid w:val="00E37E21"/>
    <w:pPr>
      <w:spacing w:before="0"/>
      <w:outlineLvl w:val="0"/>
    </w:pPr>
    <w:rPr>
      <w:rFonts w:cs="Arial"/>
      <w:b/>
      <w:bCs/>
      <w:color w:val="auto"/>
      <w:sz w:val="28"/>
      <w:szCs w:val="28"/>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E37E21"/>
    <w:rPr>
      <w:rFonts w:ascii="Arial Black" w:hAnsi="Arial Black" w:cs="Arial"/>
      <w:b/>
      <w:bCs/>
      <w:sz w:val="28"/>
      <w:szCs w:val="28"/>
    </w:rPr>
  </w:style>
  <w:style w:type="character" w:styleId="FollowedHyperlink">
    <w:name w:val="FollowedHyperlink"/>
    <w:basedOn w:val="DefaultParagraphFont"/>
    <w:semiHidden/>
    <w:unhideWhenUsed/>
    <w:rsid w:val="005E608B"/>
    <w:rPr>
      <w:color w:val="800080" w:themeColor="followedHyperlink"/>
      <w:u w:val="single"/>
    </w:rPr>
  </w:style>
  <w:style w:type="paragraph" w:styleId="Title">
    <w:name w:val="Title"/>
    <w:basedOn w:val="Heading1"/>
    <w:next w:val="Normal"/>
    <w:link w:val="TitleChar"/>
    <w:qFormat/>
    <w:rsid w:val="00E37E21"/>
  </w:style>
  <w:style w:type="character" w:customStyle="1" w:styleId="TitleChar">
    <w:name w:val="Title Char"/>
    <w:basedOn w:val="DefaultParagraphFont"/>
    <w:link w:val="Title"/>
    <w:rsid w:val="00E37E21"/>
    <w:rPr>
      <w:rFonts w:ascii="Arial Black" w:hAnsi="Arial Black" w:cs="Arial"/>
      <w:b/>
      <w:bCs/>
      <w:sz w:val="28"/>
      <w:szCs w:val="28"/>
    </w:rPr>
  </w:style>
  <w:style w:type="character" w:styleId="UnresolvedMention">
    <w:name w:val="Unresolved Mention"/>
    <w:basedOn w:val="DefaultParagraphFont"/>
    <w:uiPriority w:val="99"/>
    <w:semiHidden/>
    <w:unhideWhenUsed/>
    <w:rsid w:val="0035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81069314">
      <w:bodyDiv w:val="1"/>
      <w:marLeft w:val="0"/>
      <w:marRight w:val="0"/>
      <w:marTop w:val="0"/>
      <w:marBottom w:val="0"/>
      <w:divBdr>
        <w:top w:val="none" w:sz="0" w:space="0" w:color="auto"/>
        <w:left w:val="none" w:sz="0" w:space="0" w:color="auto"/>
        <w:bottom w:val="none" w:sz="0" w:space="0" w:color="auto"/>
        <w:right w:val="none" w:sz="0" w:space="0" w:color="auto"/>
      </w:divBdr>
    </w:div>
    <w:div w:id="123739763">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22639744">
      <w:bodyDiv w:val="1"/>
      <w:marLeft w:val="0"/>
      <w:marRight w:val="0"/>
      <w:marTop w:val="0"/>
      <w:marBottom w:val="0"/>
      <w:divBdr>
        <w:top w:val="none" w:sz="0" w:space="0" w:color="auto"/>
        <w:left w:val="none" w:sz="0" w:space="0" w:color="auto"/>
        <w:bottom w:val="none" w:sz="0" w:space="0" w:color="auto"/>
        <w:right w:val="none" w:sz="0" w:space="0" w:color="auto"/>
      </w:divBdr>
    </w:div>
    <w:div w:id="235751713">
      <w:bodyDiv w:val="1"/>
      <w:marLeft w:val="0"/>
      <w:marRight w:val="0"/>
      <w:marTop w:val="0"/>
      <w:marBottom w:val="0"/>
      <w:divBdr>
        <w:top w:val="none" w:sz="0" w:space="0" w:color="auto"/>
        <w:left w:val="none" w:sz="0" w:space="0" w:color="auto"/>
        <w:bottom w:val="none" w:sz="0" w:space="0" w:color="auto"/>
        <w:right w:val="none" w:sz="0" w:space="0" w:color="auto"/>
      </w:divBdr>
      <w:divsChild>
        <w:div w:id="525413700">
          <w:marLeft w:val="0"/>
          <w:marRight w:val="0"/>
          <w:marTop w:val="0"/>
          <w:marBottom w:val="0"/>
          <w:divBdr>
            <w:top w:val="none" w:sz="0" w:space="0" w:color="auto"/>
            <w:left w:val="none" w:sz="0" w:space="0" w:color="auto"/>
            <w:bottom w:val="none" w:sz="0" w:space="0" w:color="auto"/>
            <w:right w:val="none" w:sz="0" w:space="0" w:color="auto"/>
          </w:divBdr>
          <w:divsChild>
            <w:div w:id="1484617443">
              <w:marLeft w:val="0"/>
              <w:marRight w:val="0"/>
              <w:marTop w:val="0"/>
              <w:marBottom w:val="0"/>
              <w:divBdr>
                <w:top w:val="none" w:sz="0" w:space="0" w:color="auto"/>
                <w:left w:val="none" w:sz="0" w:space="0" w:color="auto"/>
                <w:bottom w:val="none" w:sz="0" w:space="0" w:color="auto"/>
                <w:right w:val="none" w:sz="0" w:space="0" w:color="auto"/>
              </w:divBdr>
            </w:div>
          </w:divsChild>
        </w:div>
        <w:div w:id="684524231">
          <w:marLeft w:val="0"/>
          <w:marRight w:val="0"/>
          <w:marTop w:val="0"/>
          <w:marBottom w:val="0"/>
          <w:divBdr>
            <w:top w:val="none" w:sz="0" w:space="0" w:color="auto"/>
            <w:left w:val="none" w:sz="0" w:space="0" w:color="auto"/>
            <w:bottom w:val="none" w:sz="0" w:space="0" w:color="auto"/>
            <w:right w:val="none" w:sz="0" w:space="0" w:color="auto"/>
          </w:divBdr>
        </w:div>
      </w:divsChild>
    </w:div>
    <w:div w:id="256640765">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348025475">
      <w:bodyDiv w:val="1"/>
      <w:marLeft w:val="0"/>
      <w:marRight w:val="0"/>
      <w:marTop w:val="0"/>
      <w:marBottom w:val="0"/>
      <w:divBdr>
        <w:top w:val="none" w:sz="0" w:space="0" w:color="auto"/>
        <w:left w:val="none" w:sz="0" w:space="0" w:color="auto"/>
        <w:bottom w:val="none" w:sz="0" w:space="0" w:color="auto"/>
        <w:right w:val="none" w:sz="0" w:space="0" w:color="auto"/>
      </w:divBdr>
    </w:div>
    <w:div w:id="364601346">
      <w:bodyDiv w:val="1"/>
      <w:marLeft w:val="0"/>
      <w:marRight w:val="0"/>
      <w:marTop w:val="0"/>
      <w:marBottom w:val="0"/>
      <w:divBdr>
        <w:top w:val="none" w:sz="0" w:space="0" w:color="auto"/>
        <w:left w:val="none" w:sz="0" w:space="0" w:color="auto"/>
        <w:bottom w:val="none" w:sz="0" w:space="0" w:color="auto"/>
        <w:right w:val="none" w:sz="0" w:space="0" w:color="auto"/>
      </w:divBdr>
    </w:div>
    <w:div w:id="372732076">
      <w:bodyDiv w:val="1"/>
      <w:marLeft w:val="0"/>
      <w:marRight w:val="0"/>
      <w:marTop w:val="0"/>
      <w:marBottom w:val="0"/>
      <w:divBdr>
        <w:top w:val="none" w:sz="0" w:space="0" w:color="auto"/>
        <w:left w:val="none" w:sz="0" w:space="0" w:color="auto"/>
        <w:bottom w:val="none" w:sz="0" w:space="0" w:color="auto"/>
        <w:right w:val="none" w:sz="0" w:space="0" w:color="auto"/>
      </w:divBdr>
    </w:div>
    <w:div w:id="380638161">
      <w:bodyDiv w:val="1"/>
      <w:marLeft w:val="0"/>
      <w:marRight w:val="0"/>
      <w:marTop w:val="0"/>
      <w:marBottom w:val="0"/>
      <w:divBdr>
        <w:top w:val="none" w:sz="0" w:space="0" w:color="auto"/>
        <w:left w:val="none" w:sz="0" w:space="0" w:color="auto"/>
        <w:bottom w:val="none" w:sz="0" w:space="0" w:color="auto"/>
        <w:right w:val="none" w:sz="0" w:space="0" w:color="auto"/>
      </w:divBdr>
    </w:div>
    <w:div w:id="396243028">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536238674">
      <w:bodyDiv w:val="1"/>
      <w:marLeft w:val="0"/>
      <w:marRight w:val="0"/>
      <w:marTop w:val="0"/>
      <w:marBottom w:val="0"/>
      <w:divBdr>
        <w:top w:val="none" w:sz="0" w:space="0" w:color="auto"/>
        <w:left w:val="none" w:sz="0" w:space="0" w:color="auto"/>
        <w:bottom w:val="none" w:sz="0" w:space="0" w:color="auto"/>
        <w:right w:val="none" w:sz="0" w:space="0" w:color="auto"/>
      </w:divBdr>
    </w:div>
    <w:div w:id="591015336">
      <w:bodyDiv w:val="1"/>
      <w:marLeft w:val="0"/>
      <w:marRight w:val="0"/>
      <w:marTop w:val="0"/>
      <w:marBottom w:val="0"/>
      <w:divBdr>
        <w:top w:val="none" w:sz="0" w:space="0" w:color="auto"/>
        <w:left w:val="none" w:sz="0" w:space="0" w:color="auto"/>
        <w:bottom w:val="none" w:sz="0" w:space="0" w:color="auto"/>
        <w:right w:val="none" w:sz="0" w:space="0" w:color="auto"/>
      </w:divBdr>
    </w:div>
    <w:div w:id="714696581">
      <w:bodyDiv w:val="1"/>
      <w:marLeft w:val="0"/>
      <w:marRight w:val="0"/>
      <w:marTop w:val="0"/>
      <w:marBottom w:val="0"/>
      <w:divBdr>
        <w:top w:val="none" w:sz="0" w:space="0" w:color="auto"/>
        <w:left w:val="none" w:sz="0" w:space="0" w:color="auto"/>
        <w:bottom w:val="none" w:sz="0" w:space="0" w:color="auto"/>
        <w:right w:val="none" w:sz="0" w:space="0" w:color="auto"/>
      </w:divBdr>
    </w:div>
    <w:div w:id="786241471">
      <w:bodyDiv w:val="1"/>
      <w:marLeft w:val="0"/>
      <w:marRight w:val="0"/>
      <w:marTop w:val="0"/>
      <w:marBottom w:val="0"/>
      <w:divBdr>
        <w:top w:val="none" w:sz="0" w:space="0" w:color="auto"/>
        <w:left w:val="none" w:sz="0" w:space="0" w:color="auto"/>
        <w:bottom w:val="none" w:sz="0" w:space="0" w:color="auto"/>
        <w:right w:val="none" w:sz="0" w:space="0" w:color="auto"/>
      </w:divBdr>
    </w:div>
    <w:div w:id="789857450">
      <w:bodyDiv w:val="1"/>
      <w:marLeft w:val="0"/>
      <w:marRight w:val="0"/>
      <w:marTop w:val="0"/>
      <w:marBottom w:val="0"/>
      <w:divBdr>
        <w:top w:val="none" w:sz="0" w:space="0" w:color="auto"/>
        <w:left w:val="none" w:sz="0" w:space="0" w:color="auto"/>
        <w:bottom w:val="none" w:sz="0" w:space="0" w:color="auto"/>
        <w:right w:val="none" w:sz="0" w:space="0" w:color="auto"/>
      </w:divBdr>
    </w:div>
    <w:div w:id="795493468">
      <w:bodyDiv w:val="1"/>
      <w:marLeft w:val="0"/>
      <w:marRight w:val="0"/>
      <w:marTop w:val="0"/>
      <w:marBottom w:val="0"/>
      <w:divBdr>
        <w:top w:val="none" w:sz="0" w:space="0" w:color="auto"/>
        <w:left w:val="none" w:sz="0" w:space="0" w:color="auto"/>
        <w:bottom w:val="none" w:sz="0" w:space="0" w:color="auto"/>
        <w:right w:val="none" w:sz="0" w:space="0" w:color="auto"/>
      </w:divBdr>
    </w:div>
    <w:div w:id="822164684">
      <w:bodyDiv w:val="1"/>
      <w:marLeft w:val="0"/>
      <w:marRight w:val="0"/>
      <w:marTop w:val="0"/>
      <w:marBottom w:val="0"/>
      <w:divBdr>
        <w:top w:val="none" w:sz="0" w:space="0" w:color="auto"/>
        <w:left w:val="none" w:sz="0" w:space="0" w:color="auto"/>
        <w:bottom w:val="none" w:sz="0" w:space="0" w:color="auto"/>
        <w:right w:val="none" w:sz="0" w:space="0" w:color="auto"/>
      </w:divBdr>
    </w:div>
    <w:div w:id="841894581">
      <w:bodyDiv w:val="1"/>
      <w:marLeft w:val="0"/>
      <w:marRight w:val="0"/>
      <w:marTop w:val="0"/>
      <w:marBottom w:val="0"/>
      <w:divBdr>
        <w:top w:val="none" w:sz="0" w:space="0" w:color="auto"/>
        <w:left w:val="none" w:sz="0" w:space="0" w:color="auto"/>
        <w:bottom w:val="none" w:sz="0" w:space="0" w:color="auto"/>
        <w:right w:val="none" w:sz="0" w:space="0" w:color="auto"/>
      </w:divBdr>
    </w:div>
    <w:div w:id="845168341">
      <w:bodyDiv w:val="1"/>
      <w:marLeft w:val="0"/>
      <w:marRight w:val="0"/>
      <w:marTop w:val="0"/>
      <w:marBottom w:val="0"/>
      <w:divBdr>
        <w:top w:val="none" w:sz="0" w:space="0" w:color="auto"/>
        <w:left w:val="none" w:sz="0" w:space="0" w:color="auto"/>
        <w:bottom w:val="none" w:sz="0" w:space="0" w:color="auto"/>
        <w:right w:val="none" w:sz="0" w:space="0" w:color="auto"/>
      </w:divBdr>
    </w:div>
    <w:div w:id="846291631">
      <w:bodyDiv w:val="1"/>
      <w:marLeft w:val="0"/>
      <w:marRight w:val="0"/>
      <w:marTop w:val="0"/>
      <w:marBottom w:val="0"/>
      <w:divBdr>
        <w:top w:val="none" w:sz="0" w:space="0" w:color="auto"/>
        <w:left w:val="none" w:sz="0" w:space="0" w:color="auto"/>
        <w:bottom w:val="none" w:sz="0" w:space="0" w:color="auto"/>
        <w:right w:val="none" w:sz="0" w:space="0" w:color="auto"/>
      </w:divBdr>
    </w:div>
    <w:div w:id="869495422">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01913252">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46039942">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06397779">
      <w:bodyDiv w:val="1"/>
      <w:marLeft w:val="0"/>
      <w:marRight w:val="0"/>
      <w:marTop w:val="0"/>
      <w:marBottom w:val="0"/>
      <w:divBdr>
        <w:top w:val="none" w:sz="0" w:space="0" w:color="auto"/>
        <w:left w:val="none" w:sz="0" w:space="0" w:color="auto"/>
        <w:bottom w:val="none" w:sz="0" w:space="0" w:color="auto"/>
        <w:right w:val="none" w:sz="0" w:space="0" w:color="auto"/>
      </w:divBdr>
    </w:div>
    <w:div w:id="1015375834">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03765064">
      <w:bodyDiv w:val="1"/>
      <w:marLeft w:val="0"/>
      <w:marRight w:val="0"/>
      <w:marTop w:val="0"/>
      <w:marBottom w:val="0"/>
      <w:divBdr>
        <w:top w:val="none" w:sz="0" w:space="0" w:color="auto"/>
        <w:left w:val="none" w:sz="0" w:space="0" w:color="auto"/>
        <w:bottom w:val="none" w:sz="0" w:space="0" w:color="auto"/>
        <w:right w:val="none" w:sz="0" w:space="0" w:color="auto"/>
      </w:divBdr>
    </w:div>
    <w:div w:id="1132752859">
      <w:bodyDiv w:val="1"/>
      <w:marLeft w:val="0"/>
      <w:marRight w:val="0"/>
      <w:marTop w:val="0"/>
      <w:marBottom w:val="0"/>
      <w:divBdr>
        <w:top w:val="none" w:sz="0" w:space="0" w:color="auto"/>
        <w:left w:val="none" w:sz="0" w:space="0" w:color="auto"/>
        <w:bottom w:val="none" w:sz="0" w:space="0" w:color="auto"/>
        <w:right w:val="none" w:sz="0" w:space="0" w:color="auto"/>
      </w:divBdr>
      <w:divsChild>
        <w:div w:id="1368288184">
          <w:marLeft w:val="0"/>
          <w:marRight w:val="0"/>
          <w:marTop w:val="0"/>
          <w:marBottom w:val="0"/>
          <w:divBdr>
            <w:top w:val="none" w:sz="0" w:space="0" w:color="auto"/>
            <w:left w:val="none" w:sz="0" w:space="0" w:color="auto"/>
            <w:bottom w:val="none" w:sz="0" w:space="0" w:color="auto"/>
            <w:right w:val="none" w:sz="0" w:space="0" w:color="auto"/>
          </w:divBdr>
          <w:divsChild>
            <w:div w:id="487946110">
              <w:marLeft w:val="0"/>
              <w:marRight w:val="0"/>
              <w:marTop w:val="0"/>
              <w:marBottom w:val="0"/>
              <w:divBdr>
                <w:top w:val="none" w:sz="0" w:space="0" w:color="auto"/>
                <w:left w:val="none" w:sz="0" w:space="0" w:color="auto"/>
                <w:bottom w:val="none" w:sz="0" w:space="0" w:color="auto"/>
                <w:right w:val="none" w:sz="0" w:space="0" w:color="auto"/>
              </w:divBdr>
            </w:div>
          </w:divsChild>
        </w:div>
        <w:div w:id="598103351">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2962772">
      <w:bodyDiv w:val="1"/>
      <w:marLeft w:val="0"/>
      <w:marRight w:val="0"/>
      <w:marTop w:val="0"/>
      <w:marBottom w:val="0"/>
      <w:divBdr>
        <w:top w:val="none" w:sz="0" w:space="0" w:color="auto"/>
        <w:left w:val="none" w:sz="0" w:space="0" w:color="auto"/>
        <w:bottom w:val="none" w:sz="0" w:space="0" w:color="auto"/>
        <w:right w:val="none" w:sz="0" w:space="0" w:color="auto"/>
      </w:divBdr>
    </w:div>
    <w:div w:id="1170175527">
      <w:bodyDiv w:val="1"/>
      <w:marLeft w:val="0"/>
      <w:marRight w:val="0"/>
      <w:marTop w:val="0"/>
      <w:marBottom w:val="0"/>
      <w:divBdr>
        <w:top w:val="none" w:sz="0" w:space="0" w:color="auto"/>
        <w:left w:val="none" w:sz="0" w:space="0" w:color="auto"/>
        <w:bottom w:val="none" w:sz="0" w:space="0" w:color="auto"/>
        <w:right w:val="none" w:sz="0" w:space="0" w:color="auto"/>
      </w:divBdr>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183133845">
      <w:bodyDiv w:val="1"/>
      <w:marLeft w:val="0"/>
      <w:marRight w:val="0"/>
      <w:marTop w:val="0"/>
      <w:marBottom w:val="0"/>
      <w:divBdr>
        <w:top w:val="none" w:sz="0" w:space="0" w:color="auto"/>
        <w:left w:val="none" w:sz="0" w:space="0" w:color="auto"/>
        <w:bottom w:val="none" w:sz="0" w:space="0" w:color="auto"/>
        <w:right w:val="none" w:sz="0" w:space="0" w:color="auto"/>
      </w:divBdr>
    </w:div>
    <w:div w:id="1190266010">
      <w:bodyDiv w:val="1"/>
      <w:marLeft w:val="0"/>
      <w:marRight w:val="0"/>
      <w:marTop w:val="0"/>
      <w:marBottom w:val="0"/>
      <w:divBdr>
        <w:top w:val="none" w:sz="0" w:space="0" w:color="auto"/>
        <w:left w:val="none" w:sz="0" w:space="0" w:color="auto"/>
        <w:bottom w:val="none" w:sz="0" w:space="0" w:color="auto"/>
        <w:right w:val="none" w:sz="0" w:space="0" w:color="auto"/>
      </w:divBdr>
    </w:div>
    <w:div w:id="1276869275">
      <w:bodyDiv w:val="1"/>
      <w:marLeft w:val="0"/>
      <w:marRight w:val="0"/>
      <w:marTop w:val="0"/>
      <w:marBottom w:val="0"/>
      <w:divBdr>
        <w:top w:val="none" w:sz="0" w:space="0" w:color="auto"/>
        <w:left w:val="none" w:sz="0" w:space="0" w:color="auto"/>
        <w:bottom w:val="none" w:sz="0" w:space="0" w:color="auto"/>
        <w:right w:val="none" w:sz="0" w:space="0" w:color="auto"/>
      </w:divBdr>
    </w:div>
    <w:div w:id="1310599504">
      <w:bodyDiv w:val="1"/>
      <w:marLeft w:val="0"/>
      <w:marRight w:val="0"/>
      <w:marTop w:val="0"/>
      <w:marBottom w:val="0"/>
      <w:divBdr>
        <w:top w:val="none" w:sz="0" w:space="0" w:color="auto"/>
        <w:left w:val="none" w:sz="0" w:space="0" w:color="auto"/>
        <w:bottom w:val="none" w:sz="0" w:space="0" w:color="auto"/>
        <w:right w:val="none" w:sz="0" w:space="0" w:color="auto"/>
      </w:divBdr>
    </w:div>
    <w:div w:id="1361903776">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59492486">
      <w:bodyDiv w:val="1"/>
      <w:marLeft w:val="0"/>
      <w:marRight w:val="0"/>
      <w:marTop w:val="0"/>
      <w:marBottom w:val="0"/>
      <w:divBdr>
        <w:top w:val="none" w:sz="0" w:space="0" w:color="auto"/>
        <w:left w:val="none" w:sz="0" w:space="0" w:color="auto"/>
        <w:bottom w:val="none" w:sz="0" w:space="0" w:color="auto"/>
        <w:right w:val="none" w:sz="0" w:space="0" w:color="auto"/>
      </w:divBdr>
    </w:div>
    <w:div w:id="1471286975">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27251857">
      <w:bodyDiv w:val="1"/>
      <w:marLeft w:val="0"/>
      <w:marRight w:val="0"/>
      <w:marTop w:val="0"/>
      <w:marBottom w:val="0"/>
      <w:divBdr>
        <w:top w:val="none" w:sz="0" w:space="0" w:color="auto"/>
        <w:left w:val="none" w:sz="0" w:space="0" w:color="auto"/>
        <w:bottom w:val="none" w:sz="0" w:space="0" w:color="auto"/>
        <w:right w:val="none" w:sz="0" w:space="0" w:color="auto"/>
      </w:divBdr>
    </w:div>
    <w:div w:id="1544519204">
      <w:bodyDiv w:val="1"/>
      <w:marLeft w:val="0"/>
      <w:marRight w:val="0"/>
      <w:marTop w:val="0"/>
      <w:marBottom w:val="0"/>
      <w:divBdr>
        <w:top w:val="none" w:sz="0" w:space="0" w:color="auto"/>
        <w:left w:val="none" w:sz="0" w:space="0" w:color="auto"/>
        <w:bottom w:val="none" w:sz="0" w:space="0" w:color="auto"/>
        <w:right w:val="none" w:sz="0" w:space="0" w:color="auto"/>
      </w:divBdr>
    </w:div>
    <w:div w:id="1553810073">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557161074">
      <w:bodyDiv w:val="1"/>
      <w:marLeft w:val="0"/>
      <w:marRight w:val="0"/>
      <w:marTop w:val="0"/>
      <w:marBottom w:val="0"/>
      <w:divBdr>
        <w:top w:val="none" w:sz="0" w:space="0" w:color="auto"/>
        <w:left w:val="none" w:sz="0" w:space="0" w:color="auto"/>
        <w:bottom w:val="none" w:sz="0" w:space="0" w:color="auto"/>
        <w:right w:val="none" w:sz="0" w:space="0" w:color="auto"/>
      </w:divBdr>
    </w:div>
    <w:div w:id="1608344050">
      <w:bodyDiv w:val="1"/>
      <w:marLeft w:val="0"/>
      <w:marRight w:val="0"/>
      <w:marTop w:val="0"/>
      <w:marBottom w:val="0"/>
      <w:divBdr>
        <w:top w:val="none" w:sz="0" w:space="0" w:color="auto"/>
        <w:left w:val="none" w:sz="0" w:space="0" w:color="auto"/>
        <w:bottom w:val="none" w:sz="0" w:space="0" w:color="auto"/>
        <w:right w:val="none" w:sz="0" w:space="0" w:color="auto"/>
      </w:divBdr>
    </w:div>
    <w:div w:id="1626084473">
      <w:bodyDiv w:val="1"/>
      <w:marLeft w:val="0"/>
      <w:marRight w:val="0"/>
      <w:marTop w:val="0"/>
      <w:marBottom w:val="0"/>
      <w:divBdr>
        <w:top w:val="none" w:sz="0" w:space="0" w:color="auto"/>
        <w:left w:val="none" w:sz="0" w:space="0" w:color="auto"/>
        <w:bottom w:val="none" w:sz="0" w:space="0" w:color="auto"/>
        <w:right w:val="none" w:sz="0" w:space="0" w:color="auto"/>
      </w:divBdr>
    </w:div>
    <w:div w:id="164862984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44795005">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75436178">
      <w:bodyDiv w:val="1"/>
      <w:marLeft w:val="0"/>
      <w:marRight w:val="0"/>
      <w:marTop w:val="0"/>
      <w:marBottom w:val="0"/>
      <w:divBdr>
        <w:top w:val="none" w:sz="0" w:space="0" w:color="auto"/>
        <w:left w:val="none" w:sz="0" w:space="0" w:color="auto"/>
        <w:bottom w:val="none" w:sz="0" w:space="0" w:color="auto"/>
        <w:right w:val="none" w:sz="0" w:space="0" w:color="auto"/>
      </w:divBdr>
    </w:div>
    <w:div w:id="1823697703">
      <w:bodyDiv w:val="1"/>
      <w:marLeft w:val="0"/>
      <w:marRight w:val="0"/>
      <w:marTop w:val="0"/>
      <w:marBottom w:val="0"/>
      <w:divBdr>
        <w:top w:val="none" w:sz="0" w:space="0" w:color="auto"/>
        <w:left w:val="none" w:sz="0" w:space="0" w:color="auto"/>
        <w:bottom w:val="none" w:sz="0" w:space="0" w:color="auto"/>
        <w:right w:val="none" w:sz="0" w:space="0" w:color="auto"/>
      </w:divBdr>
      <w:divsChild>
        <w:div w:id="1005592384">
          <w:marLeft w:val="0"/>
          <w:marRight w:val="0"/>
          <w:marTop w:val="0"/>
          <w:marBottom w:val="0"/>
          <w:divBdr>
            <w:top w:val="none" w:sz="0" w:space="0" w:color="auto"/>
            <w:left w:val="none" w:sz="0" w:space="0" w:color="auto"/>
            <w:bottom w:val="none" w:sz="0" w:space="0" w:color="auto"/>
            <w:right w:val="none" w:sz="0" w:space="0" w:color="auto"/>
          </w:divBdr>
          <w:divsChild>
            <w:div w:id="617495181">
              <w:marLeft w:val="0"/>
              <w:marRight w:val="0"/>
              <w:marTop w:val="0"/>
              <w:marBottom w:val="0"/>
              <w:divBdr>
                <w:top w:val="none" w:sz="0" w:space="0" w:color="auto"/>
                <w:left w:val="none" w:sz="0" w:space="0" w:color="auto"/>
                <w:bottom w:val="none" w:sz="0" w:space="0" w:color="auto"/>
                <w:right w:val="none" w:sz="0" w:space="0" w:color="auto"/>
              </w:divBdr>
            </w:div>
          </w:divsChild>
        </w:div>
        <w:div w:id="1700625016">
          <w:marLeft w:val="0"/>
          <w:marRight w:val="0"/>
          <w:marTop w:val="0"/>
          <w:marBottom w:val="0"/>
          <w:divBdr>
            <w:top w:val="none" w:sz="0" w:space="0" w:color="auto"/>
            <w:left w:val="none" w:sz="0" w:space="0" w:color="auto"/>
            <w:bottom w:val="none" w:sz="0" w:space="0" w:color="auto"/>
            <w:right w:val="none" w:sz="0" w:space="0" w:color="auto"/>
          </w:divBdr>
        </w:div>
      </w:divsChild>
    </w:div>
    <w:div w:id="1890680608">
      <w:bodyDiv w:val="1"/>
      <w:marLeft w:val="0"/>
      <w:marRight w:val="0"/>
      <w:marTop w:val="0"/>
      <w:marBottom w:val="0"/>
      <w:divBdr>
        <w:top w:val="none" w:sz="0" w:space="0" w:color="auto"/>
        <w:left w:val="none" w:sz="0" w:space="0" w:color="auto"/>
        <w:bottom w:val="none" w:sz="0" w:space="0" w:color="auto"/>
        <w:right w:val="none" w:sz="0" w:space="0" w:color="auto"/>
      </w:divBdr>
    </w:div>
    <w:div w:id="1896815057">
      <w:bodyDiv w:val="1"/>
      <w:marLeft w:val="0"/>
      <w:marRight w:val="0"/>
      <w:marTop w:val="0"/>
      <w:marBottom w:val="0"/>
      <w:divBdr>
        <w:top w:val="none" w:sz="0" w:space="0" w:color="auto"/>
        <w:left w:val="none" w:sz="0" w:space="0" w:color="auto"/>
        <w:bottom w:val="none" w:sz="0" w:space="0" w:color="auto"/>
        <w:right w:val="none" w:sz="0" w:space="0" w:color="auto"/>
      </w:divBdr>
    </w:div>
    <w:div w:id="1907950471">
      <w:bodyDiv w:val="1"/>
      <w:marLeft w:val="0"/>
      <w:marRight w:val="0"/>
      <w:marTop w:val="0"/>
      <w:marBottom w:val="0"/>
      <w:divBdr>
        <w:top w:val="none" w:sz="0" w:space="0" w:color="auto"/>
        <w:left w:val="none" w:sz="0" w:space="0" w:color="auto"/>
        <w:bottom w:val="none" w:sz="0" w:space="0" w:color="auto"/>
        <w:right w:val="none" w:sz="0" w:space="0" w:color="auto"/>
      </w:divBdr>
    </w:div>
    <w:div w:id="1931115614">
      <w:bodyDiv w:val="1"/>
      <w:marLeft w:val="0"/>
      <w:marRight w:val="0"/>
      <w:marTop w:val="0"/>
      <w:marBottom w:val="0"/>
      <w:divBdr>
        <w:top w:val="none" w:sz="0" w:space="0" w:color="auto"/>
        <w:left w:val="none" w:sz="0" w:space="0" w:color="auto"/>
        <w:bottom w:val="none" w:sz="0" w:space="0" w:color="auto"/>
        <w:right w:val="none" w:sz="0" w:space="0" w:color="auto"/>
      </w:divBdr>
    </w:div>
    <w:div w:id="1931700023">
      <w:bodyDiv w:val="1"/>
      <w:marLeft w:val="0"/>
      <w:marRight w:val="0"/>
      <w:marTop w:val="0"/>
      <w:marBottom w:val="0"/>
      <w:divBdr>
        <w:top w:val="none" w:sz="0" w:space="0" w:color="auto"/>
        <w:left w:val="none" w:sz="0" w:space="0" w:color="auto"/>
        <w:bottom w:val="none" w:sz="0" w:space="0" w:color="auto"/>
        <w:right w:val="none" w:sz="0" w:space="0" w:color="auto"/>
      </w:divBdr>
      <w:divsChild>
        <w:div w:id="35742556">
          <w:marLeft w:val="0"/>
          <w:marRight w:val="0"/>
          <w:marTop w:val="0"/>
          <w:marBottom w:val="0"/>
          <w:divBdr>
            <w:top w:val="none" w:sz="0" w:space="0" w:color="auto"/>
            <w:left w:val="none" w:sz="0" w:space="0" w:color="auto"/>
            <w:bottom w:val="none" w:sz="0" w:space="0" w:color="auto"/>
            <w:right w:val="none" w:sz="0" w:space="0" w:color="auto"/>
          </w:divBdr>
          <w:divsChild>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1607152416">
          <w:marLeft w:val="0"/>
          <w:marRight w:val="0"/>
          <w:marTop w:val="0"/>
          <w:marBottom w:val="0"/>
          <w:divBdr>
            <w:top w:val="none" w:sz="0" w:space="0" w:color="auto"/>
            <w:left w:val="none" w:sz="0" w:space="0" w:color="auto"/>
            <w:bottom w:val="none" w:sz="0" w:space="0" w:color="auto"/>
            <w:right w:val="none" w:sz="0" w:space="0" w:color="auto"/>
          </w:divBdr>
        </w:div>
      </w:divsChild>
    </w:div>
    <w:div w:id="1949701415">
      <w:bodyDiv w:val="1"/>
      <w:marLeft w:val="0"/>
      <w:marRight w:val="0"/>
      <w:marTop w:val="0"/>
      <w:marBottom w:val="0"/>
      <w:divBdr>
        <w:top w:val="none" w:sz="0" w:space="0" w:color="auto"/>
        <w:left w:val="none" w:sz="0" w:space="0" w:color="auto"/>
        <w:bottom w:val="none" w:sz="0" w:space="0" w:color="auto"/>
        <w:right w:val="none" w:sz="0" w:space="0" w:color="auto"/>
      </w:divBdr>
    </w:div>
    <w:div w:id="1974940749">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2006929369">
      <w:bodyDiv w:val="1"/>
      <w:marLeft w:val="0"/>
      <w:marRight w:val="0"/>
      <w:marTop w:val="0"/>
      <w:marBottom w:val="0"/>
      <w:divBdr>
        <w:top w:val="none" w:sz="0" w:space="0" w:color="auto"/>
        <w:left w:val="none" w:sz="0" w:space="0" w:color="auto"/>
        <w:bottom w:val="none" w:sz="0" w:space="0" w:color="auto"/>
        <w:right w:val="none" w:sz="0" w:space="0" w:color="auto"/>
      </w:divBdr>
    </w:div>
    <w:div w:id="2059011547">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818</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10</cp:revision>
  <cp:lastPrinted>2025-02-06T18:47:00Z</cp:lastPrinted>
  <dcterms:created xsi:type="dcterms:W3CDTF">2025-07-30T19:01:00Z</dcterms:created>
  <dcterms:modified xsi:type="dcterms:W3CDTF">2025-08-01T13:12:00Z</dcterms:modified>
</cp:coreProperties>
</file>