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2CB6B" w14:textId="103CC45F" w:rsidR="001C24A7" w:rsidRPr="001C24A7" w:rsidRDefault="001C24A7" w:rsidP="001C24A7">
      <w:pPr>
        <w:spacing w:after="0"/>
        <w:rPr>
          <w:rFonts w:ascii="Arial Narrow" w:hAnsi="Arial Narrow"/>
          <w:b/>
          <w:bCs/>
          <w:sz w:val="20"/>
          <w:szCs w:val="20"/>
        </w:rPr>
      </w:pPr>
      <w:r w:rsidRPr="001C24A7">
        <w:rPr>
          <w:rFonts w:ascii="Arial Narrow" w:hAnsi="Arial Narrow"/>
          <w:b/>
          <w:bCs/>
          <w:sz w:val="20"/>
          <w:szCs w:val="20"/>
        </w:rPr>
        <w:t>Number 2</w:t>
      </w:r>
      <w:r w:rsidR="00C92B16">
        <w:rPr>
          <w:rFonts w:ascii="Arial Narrow" w:hAnsi="Arial Narrow"/>
          <w:b/>
          <w:bCs/>
          <w:sz w:val="20"/>
          <w:szCs w:val="20"/>
        </w:rPr>
        <w:t>53</w:t>
      </w:r>
      <w:r w:rsidRPr="001C24A7">
        <w:rPr>
          <w:rFonts w:ascii="Arial Narrow" w:hAnsi="Arial Narrow"/>
          <w:b/>
          <w:bCs/>
          <w:sz w:val="20"/>
          <w:szCs w:val="20"/>
        </w:rPr>
        <w:t xml:space="preserve">, </w:t>
      </w:r>
      <w:r w:rsidR="00C92B16">
        <w:rPr>
          <w:rFonts w:ascii="Arial Narrow" w:hAnsi="Arial Narrow"/>
          <w:b/>
          <w:bCs/>
          <w:sz w:val="20"/>
          <w:szCs w:val="20"/>
        </w:rPr>
        <w:t>August 21</w:t>
      </w:r>
      <w:r w:rsidRPr="001C24A7">
        <w:rPr>
          <w:rFonts w:ascii="Arial Narrow" w:hAnsi="Arial Narrow"/>
          <w:b/>
          <w:bCs/>
          <w:sz w:val="20"/>
          <w:szCs w:val="20"/>
        </w:rPr>
        <w:t>, 2025</w:t>
      </w:r>
    </w:p>
    <w:p w14:paraId="44CA231C" w14:textId="265DDC94" w:rsidR="007D4672" w:rsidRDefault="00B13A0A">
      <w:r>
        <w:rPr>
          <w:noProof/>
        </w:rPr>
        <w:drawing>
          <wp:inline distT="0" distB="0" distL="0" distR="0" wp14:anchorId="1194103C" wp14:editId="3669940F">
            <wp:extent cx="6614795" cy="1840865"/>
            <wp:effectExtent l="0" t="0" r="0" b="6985"/>
            <wp:docPr id="18760952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84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9A8CB0" w14:textId="154AF13F" w:rsidR="00E843B2" w:rsidRPr="004C3C4C" w:rsidRDefault="00E843B2" w:rsidP="004C3C4C">
      <w:pPr>
        <w:pStyle w:val="Title"/>
        <w:autoSpaceDE w:val="0"/>
        <w:autoSpaceDN w:val="0"/>
        <w:adjustRightInd w:val="0"/>
        <w:spacing w:line="288" w:lineRule="auto"/>
        <w:contextualSpacing w:val="0"/>
        <w:textAlignment w:val="baseline"/>
        <w:outlineLvl w:val="0"/>
        <w:rPr>
          <w:rFonts w:ascii="Arial Black" w:eastAsia="Times New Roman" w:hAnsi="Arial Black" w:cs="Arial"/>
          <w:b/>
          <w:bCs/>
          <w:spacing w:val="0"/>
          <w:kern w:val="0"/>
          <w:sz w:val="28"/>
          <w:szCs w:val="28"/>
          <w14:ligatures w14:val="none"/>
        </w:rPr>
      </w:pPr>
      <w:r w:rsidRPr="004C3C4C">
        <w:rPr>
          <w:rFonts w:ascii="Arial Black" w:eastAsia="Times New Roman" w:hAnsi="Arial Black" w:cs="Arial"/>
          <w:b/>
          <w:bCs/>
          <w:spacing w:val="0"/>
          <w:kern w:val="0"/>
          <w:sz w:val="28"/>
          <w:szCs w:val="28"/>
          <w14:ligatures w14:val="none"/>
        </w:rPr>
        <w:t>Vaccin</w:t>
      </w:r>
      <w:r w:rsidR="006B0867" w:rsidRPr="004C3C4C">
        <w:rPr>
          <w:rFonts w:ascii="Arial Black" w:eastAsia="Times New Roman" w:hAnsi="Arial Black" w:cs="Arial"/>
          <w:b/>
          <w:bCs/>
          <w:spacing w:val="0"/>
          <w:kern w:val="0"/>
          <w:sz w:val="28"/>
          <w:szCs w:val="28"/>
          <w14:ligatures w14:val="none"/>
        </w:rPr>
        <w:t>e</w:t>
      </w:r>
      <w:r w:rsidRPr="004C3C4C">
        <w:rPr>
          <w:rFonts w:ascii="Arial Black" w:eastAsia="Times New Roman" w:hAnsi="Arial Black" w:cs="Arial"/>
          <w:b/>
          <w:bCs/>
          <w:spacing w:val="0"/>
          <w:kern w:val="0"/>
          <w:sz w:val="28"/>
          <w:szCs w:val="28"/>
          <w14:ligatures w14:val="none"/>
        </w:rPr>
        <w:t xml:space="preserve"> Administration Fee</w:t>
      </w:r>
      <w:r w:rsidR="00082E89" w:rsidRPr="004C3C4C">
        <w:rPr>
          <w:rFonts w:ascii="Arial Black" w:eastAsia="Times New Roman" w:hAnsi="Arial Black" w:cs="Arial"/>
          <w:b/>
          <w:bCs/>
          <w:spacing w:val="0"/>
          <w:kern w:val="0"/>
          <w:sz w:val="28"/>
          <w:szCs w:val="28"/>
          <w14:ligatures w14:val="none"/>
        </w:rPr>
        <w:t xml:space="preserve"> </w:t>
      </w:r>
      <w:r w:rsidR="00DE24E7" w:rsidRPr="004C3C4C">
        <w:rPr>
          <w:rFonts w:ascii="Arial Black" w:eastAsia="Times New Roman" w:hAnsi="Arial Black" w:cs="Arial"/>
          <w:b/>
          <w:bCs/>
          <w:spacing w:val="0"/>
          <w:kern w:val="0"/>
          <w:sz w:val="28"/>
          <w:szCs w:val="28"/>
          <w14:ligatures w14:val="none"/>
        </w:rPr>
        <w:t>Update</w:t>
      </w:r>
    </w:p>
    <w:p w14:paraId="22BE0F34" w14:textId="7684AD81" w:rsidR="0034191A" w:rsidRPr="00194B68" w:rsidRDefault="00561F7E" w:rsidP="006F409D">
      <w:pPr>
        <w:widowControl w:val="0"/>
        <w:autoSpaceDE w:val="0"/>
        <w:autoSpaceDN w:val="0"/>
        <w:spacing w:after="0" w:line="288" w:lineRule="auto"/>
        <w:ind w:right="553"/>
        <w:rPr>
          <w:rFonts w:ascii="Arial" w:eastAsia="Arial" w:hAnsi="Arial" w:cs="Arial"/>
          <w:bCs/>
          <w:sz w:val="22"/>
          <w:szCs w:val="22"/>
        </w:rPr>
      </w:pPr>
      <w:r w:rsidRPr="00194B68">
        <w:rPr>
          <w:rFonts w:ascii="Arial" w:eastAsia="Arial" w:hAnsi="Arial" w:cs="Arial"/>
          <w:bCs/>
          <w:sz w:val="22"/>
          <w:szCs w:val="22"/>
        </w:rPr>
        <w:t>In accordance with</w:t>
      </w:r>
      <w:r w:rsidR="003012BB" w:rsidRPr="00194B68">
        <w:rPr>
          <w:rFonts w:ascii="Arial" w:eastAsia="Arial" w:hAnsi="Arial" w:cs="Arial"/>
          <w:bCs/>
          <w:sz w:val="22"/>
          <w:szCs w:val="22"/>
        </w:rPr>
        <w:t xml:space="preserve"> </w:t>
      </w:r>
      <w:hyperlink r:id="rId8" w:history="1">
        <w:r w:rsidR="00EB525B" w:rsidRPr="00072CC9">
          <w:rPr>
            <w:rStyle w:val="Hyperlink"/>
            <w:rFonts w:ascii="Arial" w:eastAsia="Arial" w:hAnsi="Arial" w:cs="Arial"/>
            <w:bCs/>
            <w:sz w:val="22"/>
            <w:szCs w:val="22"/>
          </w:rPr>
          <w:t>101 CMR 317.03(5)</w:t>
        </w:r>
      </w:hyperlink>
      <w:r w:rsidR="00135D36" w:rsidRPr="006E0889">
        <w:rPr>
          <w:rFonts w:ascii="Arial" w:eastAsia="Arial" w:hAnsi="Arial" w:cs="Arial"/>
          <w:bCs/>
          <w:sz w:val="22"/>
          <w:szCs w:val="22"/>
        </w:rPr>
        <w:t xml:space="preserve">: </w:t>
      </w:r>
      <w:r w:rsidR="003516F8">
        <w:rPr>
          <w:rFonts w:ascii="Arial" w:eastAsia="Arial" w:hAnsi="Arial" w:cs="Arial"/>
          <w:bCs/>
          <w:i/>
          <w:iCs/>
          <w:sz w:val="22"/>
          <w:szCs w:val="22"/>
        </w:rPr>
        <w:t>Allowable Fee for Certain Eligible Providers</w:t>
      </w:r>
      <w:r w:rsidR="00EB525B" w:rsidRPr="00194B68">
        <w:rPr>
          <w:rFonts w:ascii="Arial" w:eastAsia="Arial" w:hAnsi="Arial" w:cs="Arial"/>
          <w:bCs/>
          <w:sz w:val="22"/>
          <w:szCs w:val="22"/>
        </w:rPr>
        <w:t xml:space="preserve">, </w:t>
      </w:r>
      <w:r w:rsidR="005F2B7B" w:rsidRPr="00194B68">
        <w:rPr>
          <w:rFonts w:ascii="Arial" w:eastAsia="Arial" w:hAnsi="Arial" w:cs="Arial"/>
          <w:bCs/>
          <w:sz w:val="22"/>
          <w:szCs w:val="22"/>
        </w:rPr>
        <w:t xml:space="preserve">payment for services provided by </w:t>
      </w:r>
      <w:r w:rsidR="00AF411A" w:rsidRPr="00194B68">
        <w:rPr>
          <w:rFonts w:ascii="Arial" w:eastAsia="Arial" w:hAnsi="Arial" w:cs="Arial"/>
          <w:bCs/>
          <w:sz w:val="22"/>
          <w:szCs w:val="22"/>
        </w:rPr>
        <w:t>pharmacies that utilize pharmacists</w:t>
      </w:r>
      <w:r w:rsidR="003D47C3" w:rsidRPr="00194B68">
        <w:rPr>
          <w:rFonts w:ascii="Arial" w:eastAsia="Arial" w:hAnsi="Arial" w:cs="Arial"/>
          <w:bCs/>
          <w:sz w:val="22"/>
          <w:szCs w:val="22"/>
        </w:rPr>
        <w:t xml:space="preserve">, or other health care </w:t>
      </w:r>
      <w:r w:rsidR="009F48A9" w:rsidRPr="00194B68">
        <w:rPr>
          <w:rFonts w:ascii="Arial" w:eastAsia="Arial" w:hAnsi="Arial" w:cs="Arial"/>
          <w:bCs/>
          <w:sz w:val="22"/>
          <w:szCs w:val="22"/>
        </w:rPr>
        <w:t xml:space="preserve">professionals </w:t>
      </w:r>
      <w:r w:rsidR="00DF07B6" w:rsidRPr="00194B68">
        <w:rPr>
          <w:rFonts w:ascii="Arial" w:eastAsia="Arial" w:hAnsi="Arial" w:cs="Arial"/>
          <w:bCs/>
          <w:sz w:val="22"/>
          <w:szCs w:val="22"/>
        </w:rPr>
        <w:t xml:space="preserve">certified in accordance with 105 CMR 700.00: </w:t>
      </w:r>
      <w:r w:rsidR="00DF07B6" w:rsidRPr="00194B68">
        <w:rPr>
          <w:rFonts w:ascii="Arial" w:eastAsia="Arial" w:hAnsi="Arial" w:cs="Arial"/>
          <w:bCs/>
          <w:i/>
          <w:iCs/>
          <w:sz w:val="22"/>
          <w:szCs w:val="22"/>
        </w:rPr>
        <w:t>Implementation of M.G.L. c. 94C</w:t>
      </w:r>
      <w:r w:rsidR="007A460B" w:rsidRPr="00194B68">
        <w:rPr>
          <w:rFonts w:ascii="Arial" w:eastAsia="Arial" w:hAnsi="Arial" w:cs="Arial"/>
          <w:bCs/>
          <w:sz w:val="22"/>
          <w:szCs w:val="22"/>
        </w:rPr>
        <w:t>,</w:t>
      </w:r>
      <w:r w:rsidR="00082E89" w:rsidRPr="00194B68">
        <w:rPr>
          <w:rFonts w:ascii="Arial" w:eastAsia="Arial" w:hAnsi="Arial" w:cs="Arial"/>
          <w:bCs/>
          <w:sz w:val="22"/>
          <w:szCs w:val="22"/>
        </w:rPr>
        <w:t xml:space="preserve"> is 85% of </w:t>
      </w:r>
      <w:r w:rsidR="00D76C01" w:rsidRPr="00194B68">
        <w:rPr>
          <w:rFonts w:ascii="Arial" w:eastAsia="Arial" w:hAnsi="Arial" w:cs="Arial"/>
          <w:bCs/>
          <w:sz w:val="22"/>
          <w:szCs w:val="22"/>
        </w:rPr>
        <w:t>the allowable fee</w:t>
      </w:r>
      <w:r w:rsidR="00365A09" w:rsidRPr="00194B68">
        <w:rPr>
          <w:rFonts w:ascii="Arial" w:eastAsia="Arial" w:hAnsi="Arial" w:cs="Arial"/>
          <w:bCs/>
          <w:sz w:val="22"/>
          <w:szCs w:val="22"/>
        </w:rPr>
        <w:t xml:space="preserve"> set forth in 101 CMR 317.0</w:t>
      </w:r>
      <w:r w:rsidR="00C534AA" w:rsidRPr="00194B68">
        <w:rPr>
          <w:rFonts w:ascii="Arial" w:eastAsia="Arial" w:hAnsi="Arial" w:cs="Arial"/>
          <w:bCs/>
          <w:sz w:val="22"/>
          <w:szCs w:val="22"/>
        </w:rPr>
        <w:t>4</w:t>
      </w:r>
      <w:r w:rsidR="00C46537">
        <w:rPr>
          <w:rFonts w:ascii="Arial" w:eastAsia="Arial" w:hAnsi="Arial" w:cs="Arial"/>
          <w:bCs/>
          <w:sz w:val="22"/>
          <w:szCs w:val="22"/>
        </w:rPr>
        <w:t xml:space="preserve">:  </w:t>
      </w:r>
      <w:r w:rsidR="00C46537" w:rsidRPr="0094203F">
        <w:rPr>
          <w:rFonts w:ascii="Arial" w:eastAsia="Arial" w:hAnsi="Arial" w:cs="Arial"/>
          <w:bCs/>
          <w:i/>
          <w:iCs/>
          <w:sz w:val="22"/>
          <w:szCs w:val="22"/>
        </w:rPr>
        <w:t>Maximum Allowable Fees – Medical Services</w:t>
      </w:r>
      <w:r w:rsidR="0036047D" w:rsidRPr="00194B68">
        <w:rPr>
          <w:rFonts w:ascii="Arial" w:eastAsia="Arial" w:hAnsi="Arial" w:cs="Arial"/>
          <w:bCs/>
          <w:sz w:val="22"/>
          <w:szCs w:val="22"/>
        </w:rPr>
        <w:t>.</w:t>
      </w:r>
      <w:r w:rsidR="00655AAF" w:rsidRPr="00194B68">
        <w:rPr>
          <w:rFonts w:ascii="Arial" w:eastAsia="Arial" w:hAnsi="Arial" w:cs="Arial"/>
          <w:bCs/>
          <w:sz w:val="22"/>
          <w:szCs w:val="22"/>
        </w:rPr>
        <w:t xml:space="preserve"> </w:t>
      </w:r>
    </w:p>
    <w:p w14:paraId="1EF4C0F1" w14:textId="77777777" w:rsidR="0036047D" w:rsidRPr="00194B68" w:rsidRDefault="0036047D" w:rsidP="006F409D">
      <w:pPr>
        <w:widowControl w:val="0"/>
        <w:autoSpaceDE w:val="0"/>
        <w:autoSpaceDN w:val="0"/>
        <w:spacing w:after="0" w:line="288" w:lineRule="auto"/>
        <w:ind w:right="553"/>
        <w:rPr>
          <w:rFonts w:ascii="Arial" w:eastAsia="Arial" w:hAnsi="Arial" w:cs="Arial"/>
          <w:bCs/>
          <w:sz w:val="22"/>
          <w:szCs w:val="22"/>
        </w:rPr>
      </w:pPr>
    </w:p>
    <w:p w14:paraId="65D2B61A" w14:textId="17F76659" w:rsidR="0036047D" w:rsidRPr="00194B68" w:rsidRDefault="00AD7564" w:rsidP="007F4BCD">
      <w:pPr>
        <w:widowControl w:val="0"/>
        <w:autoSpaceDE w:val="0"/>
        <w:autoSpaceDN w:val="0"/>
        <w:spacing w:after="0" w:line="288" w:lineRule="auto"/>
        <w:ind w:right="553"/>
        <w:rPr>
          <w:rFonts w:ascii="Arial" w:eastAsia="Arial" w:hAnsi="Arial" w:cs="Arial"/>
          <w:bCs/>
          <w:sz w:val="22"/>
          <w:szCs w:val="22"/>
        </w:rPr>
      </w:pPr>
      <w:r w:rsidRPr="00194B68">
        <w:rPr>
          <w:rFonts w:ascii="Arial" w:eastAsia="Arial" w:hAnsi="Arial" w:cs="Arial"/>
          <w:bCs/>
          <w:sz w:val="22"/>
          <w:szCs w:val="22"/>
        </w:rPr>
        <w:t xml:space="preserve">Following the pricing methodology cited above, </w:t>
      </w:r>
      <w:r w:rsidR="009D21FD" w:rsidRPr="00194B68">
        <w:rPr>
          <w:rFonts w:ascii="Arial" w:eastAsia="Arial" w:hAnsi="Arial" w:cs="Arial"/>
          <w:bCs/>
          <w:sz w:val="22"/>
          <w:szCs w:val="22"/>
        </w:rPr>
        <w:t>for pharmacies</w:t>
      </w:r>
      <w:r w:rsidR="00D1422E" w:rsidRPr="00194B68">
        <w:rPr>
          <w:rFonts w:ascii="Arial" w:eastAsia="Arial" w:hAnsi="Arial" w:cs="Arial"/>
          <w:bCs/>
          <w:sz w:val="22"/>
          <w:szCs w:val="22"/>
        </w:rPr>
        <w:t xml:space="preserve"> that utilize pharmacists, or other health care professionals certified in accordance with 105 CMR 700.00: </w:t>
      </w:r>
      <w:r w:rsidR="00D1422E" w:rsidRPr="00194B68">
        <w:rPr>
          <w:rFonts w:ascii="Arial" w:eastAsia="Arial" w:hAnsi="Arial" w:cs="Arial"/>
          <w:bCs/>
          <w:i/>
          <w:iCs/>
          <w:sz w:val="22"/>
          <w:szCs w:val="22"/>
        </w:rPr>
        <w:t>Implementation of M.G.L. c. 94C</w:t>
      </w:r>
      <w:r w:rsidR="00D1422E" w:rsidRPr="00194B68">
        <w:rPr>
          <w:rFonts w:ascii="Arial" w:eastAsia="Arial" w:hAnsi="Arial" w:cs="Arial"/>
          <w:bCs/>
          <w:sz w:val="22"/>
          <w:szCs w:val="22"/>
        </w:rPr>
        <w:t xml:space="preserve">, </w:t>
      </w:r>
      <w:r w:rsidR="009515F4" w:rsidRPr="00194B68">
        <w:rPr>
          <w:rFonts w:ascii="Arial" w:eastAsia="Arial" w:hAnsi="Arial" w:cs="Arial"/>
          <w:bCs/>
          <w:sz w:val="22"/>
          <w:szCs w:val="22"/>
        </w:rPr>
        <w:t xml:space="preserve">the administration fee for vaccines </w:t>
      </w:r>
      <w:r w:rsidR="00DE24E7" w:rsidRPr="00194B68">
        <w:rPr>
          <w:rFonts w:ascii="Arial" w:eastAsia="Arial" w:hAnsi="Arial" w:cs="Arial"/>
          <w:bCs/>
          <w:sz w:val="22"/>
          <w:szCs w:val="22"/>
        </w:rPr>
        <w:t xml:space="preserve">other than COVID-19 </w:t>
      </w:r>
      <w:r w:rsidR="004D02BD" w:rsidRPr="00194B68">
        <w:rPr>
          <w:rFonts w:ascii="Arial" w:eastAsia="Arial" w:hAnsi="Arial" w:cs="Arial"/>
          <w:bCs/>
          <w:sz w:val="22"/>
          <w:szCs w:val="22"/>
        </w:rPr>
        <w:t>is $17.38</w:t>
      </w:r>
      <w:r w:rsidR="004E229E">
        <w:rPr>
          <w:rFonts w:ascii="Arial" w:eastAsia="Arial" w:hAnsi="Arial" w:cs="Arial"/>
          <w:bCs/>
          <w:sz w:val="22"/>
          <w:szCs w:val="22"/>
        </w:rPr>
        <w:t>.</w:t>
      </w:r>
      <w:r w:rsidR="00655AAF" w:rsidRPr="00194B68">
        <w:rPr>
          <w:rFonts w:ascii="Arial" w:eastAsia="Arial" w:hAnsi="Arial" w:cs="Arial"/>
          <w:bCs/>
          <w:sz w:val="22"/>
          <w:szCs w:val="22"/>
        </w:rPr>
        <w:t xml:space="preserve"> </w:t>
      </w:r>
      <w:r w:rsidR="004E229E">
        <w:rPr>
          <w:rFonts w:ascii="Arial" w:eastAsia="Arial" w:hAnsi="Arial" w:cs="Arial"/>
          <w:bCs/>
          <w:sz w:val="22"/>
          <w:szCs w:val="22"/>
        </w:rPr>
        <w:t>T</w:t>
      </w:r>
      <w:r w:rsidR="00655AAF" w:rsidRPr="00194B68">
        <w:rPr>
          <w:rFonts w:ascii="Arial" w:eastAsia="Arial" w:hAnsi="Arial" w:cs="Arial"/>
          <w:bCs/>
          <w:sz w:val="22"/>
          <w:szCs w:val="22"/>
        </w:rPr>
        <w:t xml:space="preserve">he administration fee for COVID-19 vaccines is $38.21. </w:t>
      </w:r>
      <w:r w:rsidR="00943D2A" w:rsidRPr="00194B68">
        <w:rPr>
          <w:rFonts w:ascii="Arial" w:eastAsia="Arial" w:hAnsi="Arial" w:cs="Arial"/>
          <w:bCs/>
          <w:sz w:val="22"/>
          <w:szCs w:val="22"/>
        </w:rPr>
        <w:t xml:space="preserve">Starting </w:t>
      </w:r>
      <w:r w:rsidR="00C92B16">
        <w:rPr>
          <w:rFonts w:ascii="Arial" w:eastAsia="Arial" w:hAnsi="Arial" w:cs="Arial"/>
          <w:bCs/>
          <w:sz w:val="22"/>
          <w:szCs w:val="22"/>
        </w:rPr>
        <w:t>August 22, 2025</w:t>
      </w:r>
      <w:r w:rsidR="00857139" w:rsidRPr="00194B68">
        <w:rPr>
          <w:rFonts w:ascii="Arial" w:eastAsia="Arial" w:hAnsi="Arial" w:cs="Arial"/>
          <w:bCs/>
          <w:sz w:val="22"/>
          <w:szCs w:val="22"/>
        </w:rPr>
        <w:t>, th</w:t>
      </w:r>
      <w:r w:rsidR="00655AAF" w:rsidRPr="00194B68">
        <w:rPr>
          <w:rFonts w:ascii="Arial" w:eastAsia="Arial" w:hAnsi="Arial" w:cs="Arial"/>
          <w:bCs/>
          <w:sz w:val="22"/>
          <w:szCs w:val="22"/>
        </w:rPr>
        <w:t>e</w:t>
      </w:r>
      <w:r w:rsidR="00857139" w:rsidRPr="00194B68">
        <w:rPr>
          <w:rFonts w:ascii="Arial" w:eastAsia="Arial" w:hAnsi="Arial" w:cs="Arial"/>
          <w:bCs/>
          <w:sz w:val="22"/>
          <w:szCs w:val="22"/>
        </w:rPr>
        <w:t>s</w:t>
      </w:r>
      <w:r w:rsidR="00655AAF" w:rsidRPr="00194B68">
        <w:rPr>
          <w:rFonts w:ascii="Arial" w:eastAsia="Arial" w:hAnsi="Arial" w:cs="Arial"/>
          <w:bCs/>
          <w:sz w:val="22"/>
          <w:szCs w:val="22"/>
        </w:rPr>
        <w:t>e</w:t>
      </w:r>
      <w:r w:rsidR="00857139" w:rsidRPr="00194B68">
        <w:rPr>
          <w:rFonts w:ascii="Arial" w:eastAsia="Arial" w:hAnsi="Arial" w:cs="Arial"/>
          <w:bCs/>
          <w:sz w:val="22"/>
          <w:szCs w:val="22"/>
        </w:rPr>
        <w:t xml:space="preserve"> rate</w:t>
      </w:r>
      <w:r w:rsidR="00655AAF" w:rsidRPr="00194B68">
        <w:rPr>
          <w:rFonts w:ascii="Arial" w:eastAsia="Arial" w:hAnsi="Arial" w:cs="Arial"/>
          <w:bCs/>
          <w:sz w:val="22"/>
          <w:szCs w:val="22"/>
        </w:rPr>
        <w:t>s</w:t>
      </w:r>
      <w:r w:rsidR="00857139" w:rsidRPr="00194B68">
        <w:rPr>
          <w:rFonts w:ascii="Arial" w:eastAsia="Arial" w:hAnsi="Arial" w:cs="Arial"/>
          <w:bCs/>
          <w:sz w:val="22"/>
          <w:szCs w:val="22"/>
        </w:rPr>
        <w:t xml:space="preserve"> will be reflected on all </w:t>
      </w:r>
      <w:r w:rsidR="001864EB" w:rsidRPr="00194B68">
        <w:rPr>
          <w:rFonts w:ascii="Arial" w:eastAsia="Arial" w:hAnsi="Arial" w:cs="Arial"/>
          <w:bCs/>
          <w:sz w:val="22"/>
          <w:szCs w:val="22"/>
        </w:rPr>
        <w:t>such claims.</w:t>
      </w:r>
    </w:p>
    <w:p w14:paraId="12A85441" w14:textId="77777777" w:rsidR="003D497A" w:rsidRDefault="003D497A" w:rsidP="007F4BCD">
      <w:pPr>
        <w:widowControl w:val="0"/>
        <w:autoSpaceDE w:val="0"/>
        <w:autoSpaceDN w:val="0"/>
        <w:spacing w:after="0" w:line="288" w:lineRule="auto"/>
        <w:ind w:right="553"/>
        <w:rPr>
          <w:rFonts w:ascii="Arial" w:eastAsia="Arial" w:hAnsi="Arial" w:cs="Arial"/>
          <w:bCs/>
          <w:sz w:val="22"/>
          <w:szCs w:val="22"/>
        </w:rPr>
      </w:pPr>
    </w:p>
    <w:p w14:paraId="5D98D722" w14:textId="59DC00CC" w:rsidR="003D497A" w:rsidRPr="007F4BCD" w:rsidRDefault="003D497A" w:rsidP="007F4BCD">
      <w:pPr>
        <w:widowControl w:val="0"/>
        <w:autoSpaceDE w:val="0"/>
        <w:autoSpaceDN w:val="0"/>
        <w:spacing w:after="0" w:line="288" w:lineRule="auto"/>
        <w:ind w:right="553"/>
        <w:rPr>
          <w:rFonts w:ascii="Arial" w:eastAsia="Arial" w:hAnsi="Arial" w:cs="Arial"/>
          <w:bCs/>
          <w:sz w:val="22"/>
          <w:szCs w:val="22"/>
        </w:rPr>
      </w:pPr>
    </w:p>
    <w:sectPr w:rsidR="003D497A" w:rsidRPr="007F4BCD" w:rsidSect="001C24A7">
      <w:footerReference w:type="default" r:id="rId9"/>
      <w:pgSz w:w="12240" w:h="15840"/>
      <w:pgMar w:top="360" w:right="907" w:bottom="108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E020E" w14:textId="77777777" w:rsidR="002935FA" w:rsidRDefault="002935FA" w:rsidP="002935FA">
      <w:pPr>
        <w:spacing w:after="0" w:line="240" w:lineRule="auto"/>
      </w:pPr>
      <w:r>
        <w:separator/>
      </w:r>
    </w:p>
  </w:endnote>
  <w:endnote w:type="continuationSeparator" w:id="0">
    <w:p w14:paraId="4AC6A7DC" w14:textId="77777777" w:rsidR="002935FA" w:rsidRDefault="002935FA" w:rsidP="00293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23F71" w14:textId="77777777" w:rsidR="002935FA" w:rsidRDefault="002935FA" w:rsidP="002935FA">
    <w:pPr>
      <w:pBdr>
        <w:top w:val="single" w:sz="18" w:space="1" w:color="auto"/>
      </w:pBdr>
      <w:tabs>
        <w:tab w:val="left" w:pos="-90"/>
        <w:tab w:val="left" w:pos="530"/>
        <w:tab w:val="center" w:pos="5400"/>
      </w:tabs>
      <w:autoSpaceDE w:val="0"/>
      <w:autoSpaceDN w:val="0"/>
      <w:adjustRightInd w:val="0"/>
      <w:spacing w:after="0"/>
      <w:jc w:val="center"/>
      <w:textAlignment w:val="baseline"/>
      <w:rPr>
        <w:rFonts w:ascii="Arial" w:hAnsi="Arial" w:cs="Arial"/>
        <w:iCs/>
        <w:sz w:val="18"/>
        <w:szCs w:val="18"/>
      </w:rPr>
    </w:pPr>
    <w:r>
      <w:rPr>
        <w:rFonts w:ascii="Arial" w:hAnsi="Arial" w:cs="Arial"/>
        <w:iCs/>
        <w:sz w:val="18"/>
        <w:szCs w:val="18"/>
      </w:rPr>
      <w:t>Please direct any</w:t>
    </w:r>
    <w:r w:rsidRPr="002D3600">
      <w:rPr>
        <w:rFonts w:ascii="Arial" w:hAnsi="Arial" w:cs="Arial"/>
        <w:iCs/>
        <w:sz w:val="18"/>
        <w:szCs w:val="18"/>
      </w:rPr>
      <w:t xml:space="preserve"> questions or comments</w:t>
    </w:r>
    <w:r>
      <w:rPr>
        <w:rFonts w:ascii="Arial" w:hAnsi="Arial" w:cs="Arial"/>
        <w:iCs/>
        <w:sz w:val="18"/>
        <w:szCs w:val="18"/>
      </w:rPr>
      <w:t xml:space="preserve"> (or requests </w:t>
    </w:r>
    <w:r w:rsidRPr="002D3600">
      <w:rPr>
        <w:rFonts w:ascii="Arial" w:hAnsi="Arial" w:cs="Arial"/>
        <w:iCs/>
        <w:sz w:val="18"/>
        <w:szCs w:val="18"/>
      </w:rPr>
      <w:t>to be removed from this fax distribution</w:t>
    </w:r>
    <w:r>
      <w:rPr>
        <w:rFonts w:ascii="Arial" w:hAnsi="Arial" w:cs="Arial"/>
        <w:iCs/>
        <w:sz w:val="18"/>
        <w:szCs w:val="18"/>
      </w:rPr>
      <w:t>)</w:t>
    </w:r>
    <w:r w:rsidRPr="002D3600">
      <w:rPr>
        <w:rFonts w:ascii="Arial" w:hAnsi="Arial" w:cs="Arial"/>
        <w:iCs/>
        <w:sz w:val="18"/>
        <w:szCs w:val="18"/>
      </w:rPr>
      <w:t xml:space="preserve"> </w:t>
    </w:r>
    <w:r>
      <w:rPr>
        <w:rFonts w:ascii="Arial" w:hAnsi="Arial" w:cs="Arial"/>
        <w:iCs/>
        <w:sz w:val="18"/>
        <w:szCs w:val="18"/>
      </w:rPr>
      <w:t>to</w:t>
    </w:r>
  </w:p>
  <w:p w14:paraId="5C48D0FA" w14:textId="77777777" w:rsidR="002935FA" w:rsidRDefault="002935FA" w:rsidP="002935FA">
    <w:pPr>
      <w:tabs>
        <w:tab w:val="left" w:pos="-90"/>
      </w:tabs>
      <w:autoSpaceDE w:val="0"/>
      <w:autoSpaceDN w:val="0"/>
      <w:adjustRightInd w:val="0"/>
      <w:spacing w:after="0"/>
      <w:jc w:val="center"/>
      <w:textAlignment w:val="baseline"/>
    </w:pPr>
    <w:hyperlink r:id="rId1" w:history="1">
      <w:r w:rsidRPr="00386AF8">
        <w:rPr>
          <w:rStyle w:val="Hyperlink"/>
          <w:rFonts w:ascii="Arial" w:hAnsi="Arial" w:cs="Arial"/>
          <w:iCs/>
          <w:sz w:val="18"/>
          <w:szCs w:val="18"/>
        </w:rPr>
        <w:t>PharmFactsMA@Conduent.com</w:t>
      </w:r>
    </w:hyperlink>
    <w:r>
      <w:rPr>
        <w:rFonts w:ascii="Arial" w:hAnsi="Arial" w:cs="Arial"/>
        <w:iCs/>
        <w:sz w:val="18"/>
        <w:szCs w:val="18"/>
      </w:rPr>
      <w:t xml:space="preserve">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B6007" w14:textId="77777777" w:rsidR="002935FA" w:rsidRDefault="002935FA" w:rsidP="002935FA">
      <w:pPr>
        <w:spacing w:after="0" w:line="240" w:lineRule="auto"/>
      </w:pPr>
      <w:r>
        <w:separator/>
      </w:r>
    </w:p>
  </w:footnote>
  <w:footnote w:type="continuationSeparator" w:id="0">
    <w:p w14:paraId="28BAED15" w14:textId="77777777" w:rsidR="002935FA" w:rsidRDefault="002935FA" w:rsidP="00293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2F6785"/>
    <w:multiLevelType w:val="hybridMultilevel"/>
    <w:tmpl w:val="1D12A8D2"/>
    <w:lvl w:ilvl="0" w:tplc="575CB56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2A0988"/>
    <w:multiLevelType w:val="hybridMultilevel"/>
    <w:tmpl w:val="930C9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025F0A"/>
    <w:multiLevelType w:val="hybridMultilevel"/>
    <w:tmpl w:val="8BE8BE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728343">
    <w:abstractNumId w:val="1"/>
  </w:num>
  <w:num w:numId="2" w16cid:durableId="104691940">
    <w:abstractNumId w:val="2"/>
  </w:num>
  <w:num w:numId="3" w16cid:durableId="844590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4A7"/>
    <w:rsid w:val="00022BDC"/>
    <w:rsid w:val="00054DEE"/>
    <w:rsid w:val="00072CC9"/>
    <w:rsid w:val="00082E89"/>
    <w:rsid w:val="0008476F"/>
    <w:rsid w:val="00135D36"/>
    <w:rsid w:val="001864EB"/>
    <w:rsid w:val="00194B68"/>
    <w:rsid w:val="001A7FF3"/>
    <w:rsid w:val="001C24A7"/>
    <w:rsid w:val="001E5ED4"/>
    <w:rsid w:val="001F0CAE"/>
    <w:rsid w:val="00210F41"/>
    <w:rsid w:val="00221103"/>
    <w:rsid w:val="002935FA"/>
    <w:rsid w:val="00296EC5"/>
    <w:rsid w:val="003012BB"/>
    <w:rsid w:val="003400FA"/>
    <w:rsid w:val="0034191A"/>
    <w:rsid w:val="003516F8"/>
    <w:rsid w:val="0036047D"/>
    <w:rsid w:val="00365A09"/>
    <w:rsid w:val="00381953"/>
    <w:rsid w:val="003D47C3"/>
    <w:rsid w:val="003D497A"/>
    <w:rsid w:val="004869D3"/>
    <w:rsid w:val="004C3C4C"/>
    <w:rsid w:val="004D02BD"/>
    <w:rsid w:val="004E229E"/>
    <w:rsid w:val="004F5DE3"/>
    <w:rsid w:val="00561F7E"/>
    <w:rsid w:val="005D38E7"/>
    <w:rsid w:val="005F2B7B"/>
    <w:rsid w:val="0061168B"/>
    <w:rsid w:val="00655AAF"/>
    <w:rsid w:val="006756C8"/>
    <w:rsid w:val="006B0867"/>
    <w:rsid w:val="006B0C6E"/>
    <w:rsid w:val="006C445C"/>
    <w:rsid w:val="006E0889"/>
    <w:rsid w:val="006E199B"/>
    <w:rsid w:val="006F409D"/>
    <w:rsid w:val="00725892"/>
    <w:rsid w:val="00763DE7"/>
    <w:rsid w:val="00791F44"/>
    <w:rsid w:val="007A460B"/>
    <w:rsid w:val="007D223B"/>
    <w:rsid w:val="007D4672"/>
    <w:rsid w:val="007D59DA"/>
    <w:rsid w:val="007F4BCD"/>
    <w:rsid w:val="00840A59"/>
    <w:rsid w:val="0085417E"/>
    <w:rsid w:val="00857139"/>
    <w:rsid w:val="00876CF7"/>
    <w:rsid w:val="008A0806"/>
    <w:rsid w:val="008B1CD7"/>
    <w:rsid w:val="008D7BC9"/>
    <w:rsid w:val="008F6240"/>
    <w:rsid w:val="00907CFD"/>
    <w:rsid w:val="0094203F"/>
    <w:rsid w:val="00943D2A"/>
    <w:rsid w:val="009515F4"/>
    <w:rsid w:val="009B3D12"/>
    <w:rsid w:val="009D21FD"/>
    <w:rsid w:val="009F48A9"/>
    <w:rsid w:val="00A42467"/>
    <w:rsid w:val="00AD7564"/>
    <w:rsid w:val="00AE1DFD"/>
    <w:rsid w:val="00AF411A"/>
    <w:rsid w:val="00AF413F"/>
    <w:rsid w:val="00B13A0A"/>
    <w:rsid w:val="00B20AA9"/>
    <w:rsid w:val="00B36E78"/>
    <w:rsid w:val="00C46537"/>
    <w:rsid w:val="00C534AA"/>
    <w:rsid w:val="00C53CBE"/>
    <w:rsid w:val="00C70C11"/>
    <w:rsid w:val="00C92B16"/>
    <w:rsid w:val="00CE7C80"/>
    <w:rsid w:val="00D1422E"/>
    <w:rsid w:val="00D5216A"/>
    <w:rsid w:val="00D57BFF"/>
    <w:rsid w:val="00D76C01"/>
    <w:rsid w:val="00DA044C"/>
    <w:rsid w:val="00DE24E7"/>
    <w:rsid w:val="00DF07B6"/>
    <w:rsid w:val="00DF5B05"/>
    <w:rsid w:val="00E47223"/>
    <w:rsid w:val="00E843B2"/>
    <w:rsid w:val="00EA6F59"/>
    <w:rsid w:val="00EB525B"/>
    <w:rsid w:val="00EC4BFC"/>
    <w:rsid w:val="00EF59CC"/>
    <w:rsid w:val="00F818A3"/>
    <w:rsid w:val="00F84C12"/>
    <w:rsid w:val="00FC41D6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3AEE4BE"/>
  <w15:chartTrackingRefBased/>
  <w15:docId w15:val="{80167BFF-685C-4848-93C4-7E1B808BC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2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2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2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2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2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2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2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2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2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2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2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2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24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24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24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24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24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24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1C2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1C2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2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2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2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24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24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24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4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24A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nhideWhenUsed/>
    <w:rsid w:val="001C24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24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E24E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91F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1F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1F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1F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1F4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93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5FA"/>
  </w:style>
  <w:style w:type="paragraph" w:styleId="Footer">
    <w:name w:val="footer"/>
    <w:basedOn w:val="Normal"/>
    <w:link w:val="FooterChar"/>
    <w:uiPriority w:val="99"/>
    <w:unhideWhenUsed/>
    <w:rsid w:val="00293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ss.gov/regulations/101-CMR-31700-rates-for-medicine-servic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harmFactsMA@Conduen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Green, Breeyn (EHS)</dc:creator>
  <cp:keywords/>
  <dc:description/>
  <cp:lastModifiedBy>Eisan, Jenna (EHS)</cp:lastModifiedBy>
  <cp:revision>14</cp:revision>
  <dcterms:created xsi:type="dcterms:W3CDTF">2025-07-23T12:19:00Z</dcterms:created>
  <dcterms:modified xsi:type="dcterms:W3CDTF">2025-08-21T16:32:00Z</dcterms:modified>
</cp:coreProperties>
</file>