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0A02BF42" w:rsidR="00074716" w:rsidRPr="00C24879" w:rsidRDefault="000A622F" w:rsidP="00C559C9">
      <w:pPr>
        <w:pStyle w:val="Noparagraphstyle"/>
        <w:rPr>
          <w:rFonts w:ascii="Arial Narrow" w:hAnsi="Arial Narrow"/>
          <w:b/>
          <w:color w:val="auto"/>
          <w:sz w:val="20"/>
          <w:szCs w:val="20"/>
        </w:rPr>
      </w:pPr>
      <w:r w:rsidRPr="00C24879">
        <w:rPr>
          <w:rFonts w:ascii="Arial" w:hAnsi="Arial" w:cs="Arial"/>
          <w:noProof/>
          <w:color w:val="auto"/>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C24879">
        <w:rPr>
          <w:rFonts w:ascii="Arial Narrow" w:hAnsi="Arial Narrow"/>
          <w:b/>
          <w:color w:val="auto"/>
          <w:sz w:val="20"/>
          <w:szCs w:val="20"/>
        </w:rPr>
        <w:t xml:space="preserve">Number </w:t>
      </w:r>
      <w:r w:rsidR="009437DF" w:rsidRPr="00C24879">
        <w:rPr>
          <w:rFonts w:ascii="Arial" w:hAnsi="Arial" w:cs="Arial"/>
          <w:noProof/>
          <w:color w:val="auto"/>
          <w:sz w:val="21"/>
          <w:szCs w:val="21"/>
        </w:rPr>
        <w:drawing>
          <wp:anchor distT="0" distB="0" distL="114300" distR="114300" simplePos="0" relativeHeight="251660288" behindDoc="1" locked="0" layoutInCell="1" allowOverlap="1" wp14:anchorId="1E2616CE" wp14:editId="3645AA8A">
            <wp:simplePos x="0" y="0"/>
            <wp:positionH relativeFrom="column">
              <wp:posOffset>-80645</wp:posOffset>
            </wp:positionH>
            <wp:positionV relativeFrom="paragraph">
              <wp:posOffset>-1270</wp:posOffset>
            </wp:positionV>
            <wp:extent cx="6830568" cy="1901952"/>
            <wp:effectExtent l="0" t="0" r="8890" b="3175"/>
            <wp:wrapNone/>
            <wp:docPr id="87865670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9437DF">
        <w:rPr>
          <w:rFonts w:ascii="Arial Narrow" w:hAnsi="Arial Narrow"/>
          <w:b/>
          <w:color w:val="auto"/>
          <w:sz w:val="20"/>
          <w:szCs w:val="20"/>
        </w:rPr>
        <w:t>256</w:t>
      </w:r>
      <w:r w:rsidR="009437DF" w:rsidRPr="00C24879">
        <w:rPr>
          <w:rFonts w:ascii="Arial Narrow" w:hAnsi="Arial Narrow"/>
          <w:b/>
          <w:color w:val="auto"/>
          <w:sz w:val="20"/>
          <w:szCs w:val="20"/>
        </w:rPr>
        <w:t xml:space="preserve">, October, </w:t>
      </w:r>
      <w:r w:rsidR="009437DF">
        <w:rPr>
          <w:rFonts w:ascii="Arial Narrow" w:hAnsi="Arial Narrow"/>
          <w:b/>
          <w:color w:val="auto"/>
          <w:sz w:val="20"/>
          <w:szCs w:val="20"/>
        </w:rPr>
        <w:t>1</w:t>
      </w:r>
      <w:r w:rsidR="009437DF" w:rsidRPr="00C24879">
        <w:rPr>
          <w:rFonts w:ascii="Arial Narrow" w:hAnsi="Arial Narrow"/>
          <w:b/>
          <w:color w:val="auto"/>
          <w:sz w:val="20"/>
          <w:szCs w:val="20"/>
        </w:rPr>
        <w:t>, 2025</w:t>
      </w:r>
    </w:p>
    <w:p w14:paraId="32BF3DE7" w14:textId="77777777" w:rsidR="00074716" w:rsidRPr="00C24879" w:rsidRDefault="00074716" w:rsidP="00C559C9">
      <w:pPr>
        <w:pStyle w:val="Noparagraphstyle"/>
        <w:rPr>
          <w:rFonts w:ascii="Arial Narrow" w:hAnsi="Arial Narrow"/>
          <w:b/>
          <w:color w:val="auto"/>
          <w:sz w:val="20"/>
          <w:szCs w:val="20"/>
        </w:rPr>
      </w:pPr>
    </w:p>
    <w:p w14:paraId="0858B47B" w14:textId="77777777" w:rsidR="00074716" w:rsidRPr="00C24879" w:rsidRDefault="00074716" w:rsidP="00C559C9">
      <w:pPr>
        <w:pStyle w:val="Noparagraphstyle"/>
        <w:rPr>
          <w:rFonts w:ascii="Arial Narrow" w:hAnsi="Arial Narrow"/>
          <w:b/>
          <w:color w:val="auto"/>
          <w:sz w:val="20"/>
          <w:szCs w:val="20"/>
        </w:rPr>
      </w:pPr>
    </w:p>
    <w:p w14:paraId="6A5C6B8C" w14:textId="77777777" w:rsidR="00074716" w:rsidRPr="00C24879" w:rsidRDefault="00074716" w:rsidP="00C559C9">
      <w:pPr>
        <w:pStyle w:val="Noparagraphstyle"/>
        <w:rPr>
          <w:rFonts w:ascii="Arial Narrow" w:hAnsi="Arial Narrow"/>
          <w:b/>
          <w:color w:val="auto"/>
          <w:sz w:val="20"/>
          <w:szCs w:val="20"/>
        </w:rPr>
      </w:pPr>
    </w:p>
    <w:p w14:paraId="1301F774" w14:textId="77777777" w:rsidR="00074716" w:rsidRPr="00C24879" w:rsidRDefault="00074716" w:rsidP="00C559C9">
      <w:pPr>
        <w:pStyle w:val="Noparagraphstyle"/>
        <w:rPr>
          <w:rFonts w:ascii="Arial Narrow" w:hAnsi="Arial Narrow"/>
          <w:b/>
          <w:color w:val="auto"/>
          <w:sz w:val="20"/>
          <w:szCs w:val="20"/>
        </w:rPr>
      </w:pPr>
    </w:p>
    <w:p w14:paraId="187FE7C2" w14:textId="77777777" w:rsidR="00074716" w:rsidRPr="00C24879" w:rsidRDefault="00074716" w:rsidP="00C559C9">
      <w:pPr>
        <w:pStyle w:val="Noparagraphstyle"/>
        <w:rPr>
          <w:rFonts w:ascii="Arial Narrow" w:hAnsi="Arial Narrow"/>
          <w:b/>
          <w:color w:val="auto"/>
          <w:sz w:val="20"/>
          <w:szCs w:val="20"/>
        </w:rPr>
      </w:pPr>
    </w:p>
    <w:p w14:paraId="317BFC54" w14:textId="77777777" w:rsidR="00074716" w:rsidRPr="00C24879" w:rsidRDefault="00074716" w:rsidP="00C559C9">
      <w:pPr>
        <w:pStyle w:val="Noparagraphstyle"/>
        <w:rPr>
          <w:rFonts w:ascii="Arial Narrow" w:hAnsi="Arial Narrow"/>
          <w:b/>
          <w:color w:val="auto"/>
          <w:sz w:val="20"/>
          <w:szCs w:val="20"/>
        </w:rPr>
      </w:pPr>
    </w:p>
    <w:p w14:paraId="1FCA92D7" w14:textId="77777777" w:rsidR="00074716" w:rsidRPr="00C24879" w:rsidRDefault="00074716" w:rsidP="00C559C9">
      <w:pPr>
        <w:pStyle w:val="Noparagraphstyle"/>
        <w:rPr>
          <w:rFonts w:ascii="Arial Narrow" w:hAnsi="Arial Narrow"/>
          <w:b/>
          <w:color w:val="auto"/>
          <w:sz w:val="20"/>
          <w:szCs w:val="20"/>
        </w:rPr>
      </w:pPr>
    </w:p>
    <w:p w14:paraId="175B24BC" w14:textId="77777777" w:rsidR="00074716" w:rsidRPr="00C24879" w:rsidRDefault="00074716" w:rsidP="00C559C9">
      <w:pPr>
        <w:pStyle w:val="Noparagraphstyle"/>
        <w:rPr>
          <w:rFonts w:ascii="Arial Narrow" w:hAnsi="Arial Narrow"/>
          <w:b/>
          <w:color w:val="auto"/>
          <w:sz w:val="20"/>
          <w:szCs w:val="20"/>
        </w:rPr>
      </w:pPr>
    </w:p>
    <w:p w14:paraId="07CD72C2" w14:textId="77777777" w:rsidR="00074716" w:rsidRPr="00C24879" w:rsidRDefault="00074716" w:rsidP="00C559C9">
      <w:pPr>
        <w:pStyle w:val="Noparagraphstyle"/>
        <w:rPr>
          <w:rFonts w:ascii="Arial Narrow" w:hAnsi="Arial Narrow"/>
          <w:b/>
          <w:color w:val="auto"/>
          <w:sz w:val="20"/>
          <w:szCs w:val="20"/>
        </w:rPr>
      </w:pPr>
    </w:p>
    <w:p w14:paraId="0905EA74" w14:textId="77777777" w:rsidR="00074716" w:rsidRPr="00C24879" w:rsidRDefault="00074716" w:rsidP="00C559C9">
      <w:pPr>
        <w:pStyle w:val="Noparagraphstyle"/>
        <w:rPr>
          <w:rFonts w:ascii="Arial Narrow" w:hAnsi="Arial Narrow"/>
          <w:b/>
          <w:color w:val="auto"/>
          <w:sz w:val="20"/>
          <w:szCs w:val="20"/>
        </w:rPr>
      </w:pPr>
    </w:p>
    <w:p w14:paraId="7568DC23" w14:textId="77777777" w:rsidR="00074716" w:rsidRPr="00C24879" w:rsidRDefault="00074716" w:rsidP="00C559C9">
      <w:pPr>
        <w:pStyle w:val="Noparagraphstyle"/>
        <w:rPr>
          <w:rFonts w:ascii="Arial Narrow" w:hAnsi="Arial Narrow"/>
          <w:b/>
          <w:color w:val="auto"/>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288" w:gutter="0"/>
          <w:cols w:space="720"/>
          <w:docGrid w:linePitch="360"/>
        </w:sectPr>
      </w:pPr>
    </w:p>
    <w:p w14:paraId="68714105" w14:textId="77777777" w:rsidR="00E24E22" w:rsidRPr="00E24E22" w:rsidRDefault="00E24E22" w:rsidP="00E24E22">
      <w:pPr>
        <w:pStyle w:val="Heading1"/>
        <w:rPr>
          <w:szCs w:val="28"/>
        </w:rPr>
      </w:pPr>
      <w:r w:rsidRPr="00E24E22">
        <w:rPr>
          <w:szCs w:val="28"/>
        </w:rPr>
        <w:t>MassHealth Drug List Update</w:t>
      </w:r>
    </w:p>
    <w:p w14:paraId="5BD85693" w14:textId="162A4917" w:rsidR="00E24E22" w:rsidRDefault="00E24E22" w:rsidP="00E24E22">
      <w:pPr>
        <w:rPr>
          <w:rFonts w:cs="Arial"/>
          <w:szCs w:val="22"/>
        </w:rPr>
      </w:pPr>
      <w:r w:rsidRPr="00E37E21">
        <w:rPr>
          <w:rFonts w:cs="Arial"/>
          <w:szCs w:val="22"/>
        </w:rPr>
        <w:t xml:space="preserve">Below are updates to the </w:t>
      </w:r>
      <w:hyperlink r:id="rId15" w:history="1">
        <w:r w:rsidRPr="005F40D5">
          <w:rPr>
            <w:rStyle w:val="Hyperlink"/>
            <w:rFonts w:cs="Arial"/>
            <w:szCs w:val="22"/>
          </w:rPr>
          <w:t>MassHealth Drug List</w:t>
        </w:r>
      </w:hyperlink>
      <w:r w:rsidRPr="00E37E21">
        <w:rPr>
          <w:rFonts w:cs="Arial"/>
          <w:szCs w:val="22"/>
        </w:rPr>
        <w:t xml:space="preserve"> (MHDL). See the </w:t>
      </w:r>
      <w:r w:rsidRPr="00CD2047">
        <w:rPr>
          <w:rFonts w:cs="Arial"/>
          <w:szCs w:val="22"/>
        </w:rPr>
        <w:t>MHDL</w:t>
      </w:r>
      <w:r>
        <w:rPr>
          <w:rFonts w:cs="Arial"/>
          <w:szCs w:val="22"/>
        </w:rPr>
        <w:t xml:space="preserve"> </w:t>
      </w:r>
      <w:r w:rsidRPr="00E37E21">
        <w:rPr>
          <w:rFonts w:cs="Arial"/>
          <w:szCs w:val="22"/>
        </w:rPr>
        <w:t>for a complete listing of updates</w:t>
      </w:r>
    </w:p>
    <w:p w14:paraId="79F65C07" w14:textId="77777777" w:rsidR="00E24E22" w:rsidRPr="00E24E22" w:rsidRDefault="00E24E22" w:rsidP="00E24E22">
      <w:pPr>
        <w:pStyle w:val="Heading2"/>
      </w:pPr>
      <w:r w:rsidRPr="00E24E22">
        <w:t>Additions</w:t>
      </w:r>
    </w:p>
    <w:p w14:paraId="7B35694F" w14:textId="77777777" w:rsidR="00E24E22" w:rsidRDefault="00E24E22" w:rsidP="00E24E22">
      <w:pPr>
        <w:pStyle w:val="Default"/>
        <w:numPr>
          <w:ilvl w:val="0"/>
          <w:numId w:val="28"/>
        </w:numPr>
        <w:rPr>
          <w:rFonts w:ascii="Arial" w:hAnsi="Arial" w:cs="Arial"/>
          <w:sz w:val="22"/>
          <w:szCs w:val="21"/>
        </w:rPr>
      </w:pPr>
      <w:r>
        <w:rPr>
          <w:rFonts w:ascii="Arial" w:hAnsi="Arial" w:cs="Arial"/>
          <w:sz w:val="22"/>
          <w:szCs w:val="22"/>
        </w:rPr>
        <w:t>Effective October 1, 2025, the</w:t>
      </w:r>
      <w:r>
        <w:rPr>
          <w:rFonts w:ascii="Arial" w:hAnsi="Arial" w:cs="Arial"/>
          <w:sz w:val="22"/>
          <w:szCs w:val="21"/>
        </w:rPr>
        <w:t xml:space="preserve"> following newly marketed drugs have been added to the MassHealth Drug List. </w:t>
      </w:r>
    </w:p>
    <w:p w14:paraId="4B15E3C6" w14:textId="77777777" w:rsidR="00E24E22" w:rsidRDefault="00E24E22" w:rsidP="00E24E22">
      <w:pPr>
        <w:pStyle w:val="Default"/>
        <w:numPr>
          <w:ilvl w:val="0"/>
          <w:numId w:val="2"/>
        </w:numPr>
        <w:spacing w:line="276" w:lineRule="auto"/>
        <w:ind w:left="1080"/>
        <w:rPr>
          <w:rFonts w:ascii="Arial" w:hAnsi="Arial" w:cs="Arial"/>
          <w:sz w:val="22"/>
          <w:szCs w:val="22"/>
        </w:rPr>
      </w:pPr>
      <w:bookmarkStart w:id="0" w:name="_Hlk86933353"/>
      <w:r>
        <w:rPr>
          <w:rFonts w:ascii="Arial" w:hAnsi="Arial" w:cs="Arial"/>
          <w:sz w:val="22"/>
          <w:szCs w:val="22"/>
        </w:rPr>
        <w:t xml:space="preserve">Attruby (acoramidis) – </w:t>
      </w:r>
      <w:r>
        <w:rPr>
          <w:rFonts w:ascii="Arial" w:hAnsi="Arial" w:cs="Arial"/>
          <w:b/>
          <w:bCs/>
          <w:sz w:val="22"/>
          <w:szCs w:val="22"/>
        </w:rPr>
        <w:t>PA</w:t>
      </w:r>
      <w:r>
        <w:rPr>
          <w:rFonts w:ascii="Arial" w:hAnsi="Arial" w:cs="Arial"/>
          <w:sz w:val="22"/>
          <w:szCs w:val="22"/>
        </w:rPr>
        <w:t xml:space="preserve"> </w:t>
      </w:r>
    </w:p>
    <w:p w14:paraId="21D0084F" w14:textId="77777777" w:rsidR="00E24E22" w:rsidRDefault="00E24E22" w:rsidP="00E24E22">
      <w:pPr>
        <w:pStyle w:val="Default"/>
        <w:numPr>
          <w:ilvl w:val="0"/>
          <w:numId w:val="2"/>
        </w:numPr>
        <w:spacing w:line="276" w:lineRule="auto"/>
        <w:ind w:left="1080"/>
        <w:rPr>
          <w:rFonts w:ascii="Arial" w:hAnsi="Arial" w:cs="Arial"/>
          <w:color w:val="auto"/>
          <w:sz w:val="22"/>
          <w:szCs w:val="22"/>
        </w:rPr>
      </w:pPr>
      <w:r>
        <w:rPr>
          <w:rFonts w:ascii="Arial" w:hAnsi="Arial" w:cs="Arial"/>
          <w:bCs/>
          <w:color w:val="auto"/>
          <w:sz w:val="22"/>
          <w:szCs w:val="22"/>
        </w:rPr>
        <w:t>Avgemsi (gemcitabine vial); MB</w:t>
      </w:r>
    </w:p>
    <w:p w14:paraId="44DB8F52"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Brynovin (sitagliptin solution) – </w:t>
      </w:r>
      <w:r>
        <w:rPr>
          <w:rFonts w:ascii="Arial" w:hAnsi="Arial" w:cs="Arial"/>
          <w:b/>
          <w:bCs/>
          <w:sz w:val="22"/>
          <w:szCs w:val="22"/>
        </w:rPr>
        <w:t>PA</w:t>
      </w:r>
    </w:p>
    <w:p w14:paraId="361627B6"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Edurant (rilpivirine tablet for oral suspension) – </w:t>
      </w:r>
      <w:r>
        <w:rPr>
          <w:rFonts w:ascii="Arial" w:hAnsi="Arial" w:cs="Arial"/>
          <w:b/>
          <w:bCs/>
          <w:sz w:val="22"/>
          <w:szCs w:val="22"/>
        </w:rPr>
        <w:t>PA</w:t>
      </w:r>
      <w:r>
        <w:rPr>
          <w:rFonts w:ascii="Arial" w:hAnsi="Arial" w:cs="Arial"/>
          <w:sz w:val="22"/>
          <w:szCs w:val="22"/>
        </w:rPr>
        <w:t xml:space="preserve"> </w:t>
      </w:r>
      <w:r>
        <w:rPr>
          <w:rFonts w:ascii="Arial" w:hAnsi="Arial" w:cs="Arial"/>
          <w:b/>
          <w:bCs/>
          <w:sz w:val="22"/>
          <w:szCs w:val="22"/>
        </w:rPr>
        <w:t>&gt; 6 units/day</w:t>
      </w:r>
    </w:p>
    <w:p w14:paraId="0AFE52AD"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Encelto (revakinagene taroretcel-lwey) – </w:t>
      </w:r>
      <w:r>
        <w:rPr>
          <w:rFonts w:ascii="Arial" w:hAnsi="Arial" w:cs="Arial"/>
          <w:b/>
          <w:bCs/>
          <w:sz w:val="22"/>
          <w:szCs w:val="22"/>
        </w:rPr>
        <w:t>PA</w:t>
      </w:r>
      <w:r>
        <w:rPr>
          <w:rFonts w:ascii="Arial" w:hAnsi="Arial" w:cs="Arial"/>
          <w:sz w:val="22"/>
          <w:szCs w:val="22"/>
        </w:rPr>
        <w:t>; CO</w:t>
      </w:r>
    </w:p>
    <w:p w14:paraId="59B67D5B"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gabapentin 100 mg, 400 mg tablet – </w:t>
      </w:r>
      <w:r>
        <w:rPr>
          <w:rFonts w:ascii="Arial" w:hAnsi="Arial" w:cs="Arial"/>
          <w:b/>
          <w:bCs/>
          <w:sz w:val="22"/>
          <w:szCs w:val="22"/>
        </w:rPr>
        <w:t>PA</w:t>
      </w:r>
    </w:p>
    <w:p w14:paraId="48F3E2FA"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Gomekli (mirdametinib)</w:t>
      </w:r>
      <w:r>
        <w:t xml:space="preserve"> </w:t>
      </w:r>
      <w:r>
        <w:rPr>
          <w:rFonts w:ascii="Arial" w:hAnsi="Arial" w:cs="Arial"/>
          <w:sz w:val="22"/>
          <w:szCs w:val="22"/>
        </w:rPr>
        <w:t xml:space="preserve">– </w:t>
      </w:r>
      <w:r>
        <w:rPr>
          <w:rFonts w:ascii="Arial" w:hAnsi="Arial" w:cs="Arial"/>
          <w:b/>
          <w:bCs/>
          <w:sz w:val="22"/>
          <w:szCs w:val="22"/>
        </w:rPr>
        <w:t>PA</w:t>
      </w:r>
    </w:p>
    <w:p w14:paraId="4F575F45"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Inzirqo (hydrochlorothiazide suspension) – </w:t>
      </w:r>
      <w:r>
        <w:rPr>
          <w:rFonts w:ascii="Arial" w:hAnsi="Arial" w:cs="Arial"/>
          <w:b/>
          <w:bCs/>
          <w:sz w:val="22"/>
          <w:szCs w:val="22"/>
        </w:rPr>
        <w:t>PA</w:t>
      </w:r>
    </w:p>
    <w:p w14:paraId="65EEBAB9"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metformin immediate-release 750 mg –</w:t>
      </w:r>
      <w:r>
        <w:rPr>
          <w:rFonts w:ascii="Arial" w:hAnsi="Arial" w:cs="Arial"/>
          <w:b/>
          <w:bCs/>
          <w:sz w:val="22"/>
          <w:szCs w:val="22"/>
        </w:rPr>
        <w:t xml:space="preserve"> PA</w:t>
      </w:r>
      <w:r>
        <w:rPr>
          <w:rFonts w:ascii="Arial" w:hAnsi="Arial" w:cs="Arial"/>
          <w:sz w:val="22"/>
          <w:szCs w:val="22"/>
        </w:rPr>
        <w:t xml:space="preserve">; M90 </w:t>
      </w:r>
    </w:p>
    <w:p w14:paraId="127E3130"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Ryoncil (remestemcel-l-rknd) – </w:t>
      </w:r>
      <w:r>
        <w:rPr>
          <w:rFonts w:ascii="Arial" w:hAnsi="Arial" w:cs="Arial"/>
          <w:b/>
          <w:bCs/>
          <w:sz w:val="22"/>
          <w:szCs w:val="22"/>
        </w:rPr>
        <w:t>PA</w:t>
      </w:r>
      <w:r>
        <w:rPr>
          <w:rFonts w:ascii="Arial" w:hAnsi="Arial" w:cs="Arial"/>
          <w:sz w:val="22"/>
          <w:szCs w:val="22"/>
        </w:rPr>
        <w:t>; MB</w:t>
      </w:r>
    </w:p>
    <w:p w14:paraId="0E31BA15" w14:textId="77777777" w:rsidR="00E24E22" w:rsidRDefault="00E24E22" w:rsidP="00E24E22">
      <w:pPr>
        <w:pStyle w:val="Default"/>
        <w:numPr>
          <w:ilvl w:val="0"/>
          <w:numId w:val="2"/>
        </w:numPr>
        <w:spacing w:line="276" w:lineRule="auto"/>
        <w:ind w:left="1080"/>
        <w:rPr>
          <w:rFonts w:ascii="Arial" w:hAnsi="Arial" w:cs="Arial"/>
          <w:b/>
          <w:sz w:val="22"/>
          <w:szCs w:val="22"/>
        </w:rPr>
      </w:pPr>
      <w:r>
        <w:rPr>
          <w:rFonts w:ascii="Arial" w:hAnsi="Arial" w:cs="Arial"/>
          <w:sz w:val="22"/>
          <w:szCs w:val="22"/>
        </w:rPr>
        <w:t xml:space="preserve">Tezruly (terazosin solution) – </w:t>
      </w:r>
      <w:r>
        <w:rPr>
          <w:rFonts w:ascii="Arial" w:hAnsi="Arial" w:cs="Arial"/>
          <w:b/>
          <w:bCs/>
          <w:sz w:val="22"/>
          <w:szCs w:val="22"/>
        </w:rPr>
        <w:t>PA</w:t>
      </w:r>
    </w:p>
    <w:p w14:paraId="24BC8196" w14:textId="77777777" w:rsidR="00E24E22" w:rsidRDefault="00E24E22" w:rsidP="00E24E22">
      <w:pPr>
        <w:pStyle w:val="Default"/>
        <w:numPr>
          <w:ilvl w:val="0"/>
          <w:numId w:val="2"/>
        </w:numPr>
        <w:spacing w:line="276" w:lineRule="auto"/>
        <w:ind w:left="1080"/>
        <w:rPr>
          <w:rFonts w:ascii="Arial" w:hAnsi="Arial" w:cs="Arial"/>
          <w:sz w:val="22"/>
          <w:szCs w:val="22"/>
        </w:rPr>
      </w:pPr>
      <w:r>
        <w:rPr>
          <w:rFonts w:ascii="Arial" w:hAnsi="Arial" w:cs="Arial"/>
          <w:sz w:val="22"/>
          <w:szCs w:val="22"/>
        </w:rPr>
        <w:t xml:space="preserve">Vanrafia (atrasentan) – </w:t>
      </w:r>
      <w:r>
        <w:rPr>
          <w:rFonts w:ascii="Arial" w:hAnsi="Arial" w:cs="Arial"/>
          <w:b/>
          <w:bCs/>
          <w:sz w:val="22"/>
          <w:szCs w:val="22"/>
        </w:rPr>
        <w:t xml:space="preserve">PA </w:t>
      </w:r>
    </w:p>
    <w:p w14:paraId="6EC415AE" w14:textId="77777777" w:rsidR="00E24E22" w:rsidRPr="00CD7C68" w:rsidRDefault="00E24E22" w:rsidP="00E24E22">
      <w:pPr>
        <w:pStyle w:val="Default"/>
        <w:numPr>
          <w:ilvl w:val="0"/>
          <w:numId w:val="2"/>
        </w:numPr>
        <w:spacing w:line="276" w:lineRule="auto"/>
        <w:ind w:left="1080"/>
        <w:rPr>
          <w:rFonts w:ascii="Arial" w:hAnsi="Arial" w:cs="Arial"/>
          <w:sz w:val="22"/>
          <w:szCs w:val="22"/>
        </w:rPr>
      </w:pPr>
      <w:r>
        <w:rPr>
          <w:rFonts w:ascii="Arial" w:hAnsi="Arial" w:cs="Arial"/>
          <w:color w:val="auto"/>
          <w:sz w:val="22"/>
          <w:szCs w:val="22"/>
        </w:rPr>
        <w:t xml:space="preserve">Zelsuvmi (berdazimer) </w:t>
      </w:r>
      <w:r>
        <w:rPr>
          <w:rFonts w:ascii="Arial" w:hAnsi="Arial" w:cs="Arial"/>
          <w:sz w:val="22"/>
          <w:szCs w:val="22"/>
        </w:rPr>
        <w:t xml:space="preserve">– </w:t>
      </w:r>
      <w:r>
        <w:rPr>
          <w:rFonts w:ascii="Arial" w:hAnsi="Arial" w:cs="Arial"/>
          <w:b/>
          <w:bCs/>
          <w:sz w:val="22"/>
          <w:szCs w:val="22"/>
        </w:rPr>
        <w:t>PA</w:t>
      </w:r>
    </w:p>
    <w:p w14:paraId="2A376809" w14:textId="77777777" w:rsidR="00E24E22" w:rsidRPr="00CD7C68" w:rsidRDefault="00E24E22" w:rsidP="00E24E22">
      <w:pPr>
        <w:pStyle w:val="ListParagraph"/>
        <w:numPr>
          <w:ilvl w:val="0"/>
          <w:numId w:val="28"/>
        </w:numPr>
        <w:autoSpaceDE w:val="0"/>
        <w:autoSpaceDN w:val="0"/>
        <w:adjustRightInd w:val="0"/>
        <w:spacing w:line="240" w:lineRule="auto"/>
        <w:contextualSpacing/>
        <w:rPr>
          <w:rFonts w:cs="Arial"/>
          <w:color w:val="000000"/>
          <w:szCs w:val="22"/>
        </w:rPr>
      </w:pPr>
      <w:r w:rsidRPr="00CD7C68">
        <w:rPr>
          <w:rFonts w:cs="Arial"/>
          <w:color w:val="000000"/>
          <w:szCs w:val="22"/>
        </w:rPr>
        <w:t>Effective July 23, 2025, the following preventative therapy was added to the MassHealth Drug List on October 1, 2025. Penmenvy (pentavalent meningococcal groups A, B, C, W and Y vaccine)</w:t>
      </w:r>
    </w:p>
    <w:bookmarkEnd w:id="0"/>
    <w:p w14:paraId="2A9EDF63" w14:textId="52592D88" w:rsidR="00E24E22" w:rsidRPr="005912AA" w:rsidRDefault="00E24E22" w:rsidP="00E24E22">
      <w:pPr>
        <w:pStyle w:val="ListParagraph"/>
        <w:numPr>
          <w:ilvl w:val="0"/>
          <w:numId w:val="28"/>
        </w:numPr>
        <w:spacing w:after="160" w:line="256" w:lineRule="auto"/>
        <w:contextualSpacing/>
        <w:rPr>
          <w:rFonts w:cs="Arial"/>
          <w:color w:val="000000"/>
          <w:szCs w:val="22"/>
        </w:rPr>
      </w:pPr>
      <w:r w:rsidRPr="005912AA">
        <w:rPr>
          <w:rFonts w:cs="Arial"/>
          <w:color w:val="000000"/>
          <w:szCs w:val="22"/>
        </w:rPr>
        <w:t>Effective September 3, 2025, the following preventative therap</w:t>
      </w:r>
      <w:r>
        <w:rPr>
          <w:rFonts w:cs="Arial"/>
          <w:color w:val="000000"/>
          <w:szCs w:val="22"/>
        </w:rPr>
        <w:t>ies were</w:t>
      </w:r>
      <w:r w:rsidR="00F955CA">
        <w:rPr>
          <w:rFonts w:cs="Arial"/>
          <w:color w:val="000000"/>
          <w:szCs w:val="22"/>
        </w:rPr>
        <w:t xml:space="preserve"> </w:t>
      </w:r>
      <w:r w:rsidRPr="005912AA">
        <w:rPr>
          <w:rFonts w:cs="Arial"/>
          <w:color w:val="000000"/>
          <w:szCs w:val="22"/>
        </w:rPr>
        <w:t xml:space="preserve"> added to the MassHealth Drug List on October 1, 2025. </w:t>
      </w:r>
    </w:p>
    <w:p w14:paraId="2BECA2B2" w14:textId="77777777" w:rsidR="00E24E22" w:rsidRDefault="00E24E22" w:rsidP="00E24E22">
      <w:pPr>
        <w:pStyle w:val="ListParagraph"/>
        <w:numPr>
          <w:ilvl w:val="0"/>
          <w:numId w:val="29"/>
        </w:numPr>
        <w:spacing w:after="160" w:line="256" w:lineRule="auto"/>
        <w:contextualSpacing/>
        <w:rPr>
          <w:rFonts w:cs="Arial"/>
          <w:color w:val="000000"/>
          <w:szCs w:val="22"/>
        </w:rPr>
      </w:pPr>
      <w:r w:rsidRPr="005912AA">
        <w:rPr>
          <w:rFonts w:cs="Arial"/>
          <w:color w:val="000000"/>
          <w:szCs w:val="22"/>
        </w:rPr>
        <w:t>Mnexspike (Moderna COVID-19 vaccine, mRNA); 1</w:t>
      </w:r>
    </w:p>
    <w:p w14:paraId="302A5650" w14:textId="77777777" w:rsidR="00E24E22" w:rsidRDefault="00E24E22" w:rsidP="00E24E22">
      <w:pPr>
        <w:pStyle w:val="ListParagraph"/>
        <w:numPr>
          <w:ilvl w:val="0"/>
          <w:numId w:val="29"/>
        </w:numPr>
        <w:spacing w:after="160" w:line="256" w:lineRule="auto"/>
        <w:contextualSpacing/>
        <w:rPr>
          <w:rFonts w:cs="Arial"/>
          <w:color w:val="000000"/>
          <w:szCs w:val="22"/>
        </w:rPr>
      </w:pPr>
      <w:r w:rsidRPr="005912AA">
        <w:rPr>
          <w:rFonts w:cs="Arial"/>
          <w:color w:val="000000"/>
          <w:szCs w:val="22"/>
        </w:rPr>
        <w:t>Nuvaxovid (Novavax COVID-19 vaccine, adjuvanted); 1</w:t>
      </w:r>
    </w:p>
    <w:p w14:paraId="78DC0857" w14:textId="77777777" w:rsidR="00E24E22" w:rsidRPr="00E24E22" w:rsidRDefault="00E24E22" w:rsidP="00E24E22">
      <w:pPr>
        <w:pStyle w:val="Heading2"/>
      </w:pPr>
      <w:r>
        <w:t>Change in Prior Authorization Status</w:t>
      </w:r>
    </w:p>
    <w:p w14:paraId="2C38F4BB" w14:textId="77777777" w:rsidR="00E24E22" w:rsidRPr="00356564" w:rsidRDefault="00E24E22" w:rsidP="00E24E22">
      <w:pPr>
        <w:pStyle w:val="ListParagraph"/>
        <w:numPr>
          <w:ilvl w:val="0"/>
          <w:numId w:val="11"/>
        </w:numPr>
        <w:spacing w:after="160" w:line="256" w:lineRule="auto"/>
        <w:ind w:left="720"/>
        <w:contextualSpacing/>
        <w:rPr>
          <w:rFonts w:cs="Arial"/>
          <w:color w:val="000000"/>
          <w:szCs w:val="22"/>
        </w:rPr>
      </w:pPr>
      <w:bookmarkStart w:id="1" w:name="_Hlk98931753"/>
      <w:bookmarkStart w:id="2" w:name="_Hlk30086979"/>
      <w:r w:rsidRPr="00356564">
        <w:rPr>
          <w:rFonts w:cs="Arial"/>
          <w:color w:val="000000"/>
          <w:szCs w:val="22"/>
        </w:rPr>
        <w:t xml:space="preserve">Effective </w:t>
      </w:r>
      <w:r w:rsidRPr="00356564">
        <w:rPr>
          <w:rFonts w:cs="Arial"/>
          <w:szCs w:val="22"/>
        </w:rPr>
        <w:t xml:space="preserve">October 1, 2025, </w:t>
      </w:r>
      <w:r w:rsidRPr="00356564">
        <w:rPr>
          <w:rFonts w:cs="Arial"/>
          <w:color w:val="000000"/>
          <w:szCs w:val="22"/>
        </w:rPr>
        <w:t>the following drug cessation agents will require prior authorization when exceeding the updated dose limit.</w:t>
      </w:r>
    </w:p>
    <w:p w14:paraId="20117EFB" w14:textId="77777777" w:rsidR="00E24E22" w:rsidRPr="00356564" w:rsidRDefault="00E24E22" w:rsidP="00E24E22">
      <w:pPr>
        <w:pStyle w:val="ListParagraph"/>
        <w:numPr>
          <w:ilvl w:val="1"/>
          <w:numId w:val="11"/>
        </w:numPr>
        <w:spacing w:line="256" w:lineRule="auto"/>
        <w:ind w:left="1080"/>
        <w:contextualSpacing/>
        <w:rPr>
          <w:rFonts w:cs="Arial"/>
          <w:szCs w:val="22"/>
        </w:rPr>
      </w:pPr>
      <w:r w:rsidRPr="00356564">
        <w:rPr>
          <w:rFonts w:cs="Arial"/>
          <w:color w:val="000000"/>
          <w:szCs w:val="22"/>
        </w:rPr>
        <w:t xml:space="preserve">buprenorphine/naloxone sublingual tablet </w:t>
      </w:r>
      <w:r w:rsidRPr="00356564">
        <w:rPr>
          <w:rFonts w:cs="Arial"/>
          <w:szCs w:val="22"/>
        </w:rPr>
        <w:t xml:space="preserve">– </w:t>
      </w:r>
      <w:r w:rsidRPr="00356564">
        <w:rPr>
          <w:rFonts w:cs="Arial"/>
          <w:b/>
          <w:bCs/>
          <w:szCs w:val="22"/>
        </w:rPr>
        <w:t>PA</w:t>
      </w:r>
      <w:r w:rsidRPr="00356564">
        <w:rPr>
          <w:rFonts w:cs="Arial"/>
          <w:color w:val="000000"/>
          <w:szCs w:val="22"/>
        </w:rPr>
        <w:t xml:space="preserve"> </w:t>
      </w:r>
      <w:r w:rsidRPr="00356564">
        <w:rPr>
          <w:rFonts w:cs="Arial"/>
          <w:b/>
          <w:bCs/>
          <w:szCs w:val="22"/>
        </w:rPr>
        <w:t>&gt; 32 mg/day</w:t>
      </w:r>
    </w:p>
    <w:p w14:paraId="5A411CE1" w14:textId="77777777" w:rsidR="00E24E22" w:rsidRPr="00356564" w:rsidRDefault="00E24E22" w:rsidP="00E24E22">
      <w:pPr>
        <w:pStyle w:val="ListParagraph"/>
        <w:numPr>
          <w:ilvl w:val="1"/>
          <w:numId w:val="11"/>
        </w:numPr>
        <w:spacing w:line="256" w:lineRule="auto"/>
        <w:ind w:left="1080"/>
        <w:contextualSpacing/>
        <w:rPr>
          <w:rFonts w:cs="Arial"/>
          <w:szCs w:val="22"/>
        </w:rPr>
      </w:pPr>
      <w:r w:rsidRPr="00356564">
        <w:rPr>
          <w:rFonts w:cs="Arial"/>
          <w:szCs w:val="22"/>
        </w:rPr>
        <w:t>Suboxone (buprenorphine/naloxone film)</w:t>
      </w:r>
      <w:r w:rsidRPr="00356564">
        <w:rPr>
          <w:rFonts w:cs="Arial"/>
          <w:szCs w:val="22"/>
          <w:vertAlign w:val="superscript"/>
        </w:rPr>
        <w:t>PD</w:t>
      </w:r>
      <w:r w:rsidRPr="00356564">
        <w:rPr>
          <w:rFonts w:cs="Arial"/>
          <w:szCs w:val="22"/>
        </w:rPr>
        <w:t xml:space="preserve"> – </w:t>
      </w:r>
      <w:r w:rsidRPr="00356564">
        <w:rPr>
          <w:rFonts w:cs="Arial"/>
          <w:b/>
          <w:bCs/>
          <w:szCs w:val="22"/>
        </w:rPr>
        <w:t>PA</w:t>
      </w:r>
      <w:r w:rsidRPr="00356564">
        <w:rPr>
          <w:rFonts w:cs="Arial"/>
          <w:color w:val="000000"/>
          <w:szCs w:val="22"/>
        </w:rPr>
        <w:t xml:space="preserve"> </w:t>
      </w:r>
      <w:r w:rsidRPr="00356564">
        <w:rPr>
          <w:rFonts w:cs="Arial"/>
          <w:b/>
          <w:bCs/>
          <w:szCs w:val="22"/>
        </w:rPr>
        <w:t>&gt; 32 mg/day</w:t>
      </w:r>
      <w:r w:rsidRPr="00356564">
        <w:rPr>
          <w:rFonts w:cs="Arial"/>
          <w:szCs w:val="22"/>
        </w:rPr>
        <w:t>; BP</w:t>
      </w:r>
    </w:p>
    <w:p w14:paraId="0EFDB856" w14:textId="77777777" w:rsidR="00E24E22" w:rsidRPr="00356564" w:rsidRDefault="00E24E22" w:rsidP="00E24E22">
      <w:pPr>
        <w:pStyle w:val="ListParagraph"/>
        <w:numPr>
          <w:ilvl w:val="0"/>
          <w:numId w:val="11"/>
        </w:numPr>
        <w:ind w:left="720"/>
        <w:contextualSpacing/>
        <w:rPr>
          <w:rFonts w:cs="Arial"/>
          <w:szCs w:val="22"/>
        </w:rPr>
      </w:pPr>
      <w:r w:rsidRPr="00356564">
        <w:rPr>
          <w:rFonts w:cs="Arial"/>
          <w:szCs w:val="22"/>
        </w:rPr>
        <w:t xml:space="preserve">Effective October 1, 2025, the following antiretroviral agent will require PA. </w:t>
      </w:r>
    </w:p>
    <w:p w14:paraId="3695717E"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Norvir (ritonavir packet) – </w:t>
      </w:r>
      <w:r w:rsidRPr="00356564">
        <w:rPr>
          <w:rFonts w:cs="Arial"/>
          <w:b/>
          <w:bCs/>
          <w:szCs w:val="22"/>
        </w:rPr>
        <w:t>PA</w:t>
      </w:r>
    </w:p>
    <w:p w14:paraId="1E2FB5BC" w14:textId="77777777" w:rsidR="00E24E22" w:rsidRPr="00356564" w:rsidRDefault="00E24E22" w:rsidP="00E24E22">
      <w:pPr>
        <w:pStyle w:val="ListParagraph"/>
        <w:numPr>
          <w:ilvl w:val="0"/>
          <w:numId w:val="11"/>
        </w:numPr>
        <w:ind w:left="720"/>
        <w:contextualSpacing/>
        <w:rPr>
          <w:rFonts w:cs="Arial"/>
          <w:szCs w:val="22"/>
        </w:rPr>
      </w:pPr>
      <w:r w:rsidRPr="00356564">
        <w:rPr>
          <w:rFonts w:cs="Arial"/>
          <w:szCs w:val="22"/>
        </w:rPr>
        <w:t xml:space="preserve">Effective October 1, 2025, the following anti-inflammatory ophthalmic agent will no longer require PA. </w:t>
      </w:r>
    </w:p>
    <w:p w14:paraId="275BA14D" w14:textId="5656E93E" w:rsidR="0097559E"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bromfenac 0.09%; A90</w:t>
      </w:r>
      <w:r w:rsidR="0097559E">
        <w:rPr>
          <w:rFonts w:cs="Arial"/>
          <w:szCs w:val="22"/>
        </w:rPr>
        <w:br w:type="page"/>
      </w:r>
    </w:p>
    <w:p w14:paraId="0147BCB3" w14:textId="77777777" w:rsidR="00E24E22" w:rsidRPr="00356564" w:rsidRDefault="00E24E22" w:rsidP="00E24E22">
      <w:pPr>
        <w:pStyle w:val="ListParagraph"/>
        <w:numPr>
          <w:ilvl w:val="0"/>
          <w:numId w:val="11"/>
        </w:numPr>
        <w:ind w:left="720"/>
        <w:contextualSpacing/>
        <w:rPr>
          <w:rFonts w:cs="Arial"/>
          <w:szCs w:val="22"/>
        </w:rPr>
      </w:pPr>
      <w:r w:rsidRPr="00356564">
        <w:rPr>
          <w:rFonts w:cs="Arial"/>
          <w:szCs w:val="22"/>
        </w:rPr>
        <w:lastRenderedPageBreak/>
        <w:t xml:space="preserve">Effective October 1, 2025, the following anti-allergy ophthalmic agent will require PA. </w:t>
      </w:r>
    </w:p>
    <w:p w14:paraId="381EDB92"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epinastine – </w:t>
      </w:r>
      <w:r w:rsidRPr="00356564">
        <w:rPr>
          <w:rFonts w:cs="Arial"/>
          <w:b/>
          <w:bCs/>
          <w:szCs w:val="22"/>
        </w:rPr>
        <w:t>PA</w:t>
      </w:r>
      <w:r w:rsidRPr="00356564">
        <w:rPr>
          <w:rFonts w:cs="Arial"/>
          <w:szCs w:val="22"/>
        </w:rPr>
        <w:t>; A90</w:t>
      </w:r>
    </w:p>
    <w:p w14:paraId="12DA40E4" w14:textId="77777777" w:rsidR="00E24E22" w:rsidRPr="00356564" w:rsidRDefault="00E24E22" w:rsidP="00E24E22">
      <w:pPr>
        <w:pStyle w:val="ListParagraph"/>
        <w:numPr>
          <w:ilvl w:val="0"/>
          <w:numId w:val="11"/>
        </w:numPr>
        <w:ind w:left="720"/>
        <w:contextualSpacing/>
        <w:rPr>
          <w:rFonts w:cs="Arial"/>
          <w:szCs w:val="22"/>
        </w:rPr>
      </w:pPr>
      <w:r w:rsidRPr="00356564">
        <w:rPr>
          <w:rFonts w:cs="Arial"/>
          <w:szCs w:val="22"/>
        </w:rPr>
        <w:t xml:space="preserve">Effective October 1, 2025, the following topical corticosteroid agent will no longer require PA. </w:t>
      </w:r>
    </w:p>
    <w:p w14:paraId="59F82964"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Taclonex (betamethasone/calcipotriene topical suspension); BP, A90</w:t>
      </w:r>
    </w:p>
    <w:p w14:paraId="2058D4DF" w14:textId="77777777" w:rsidR="00E24E22" w:rsidRPr="00356564" w:rsidRDefault="00E24E22" w:rsidP="00E24E22">
      <w:pPr>
        <w:pStyle w:val="ListParagraph"/>
        <w:numPr>
          <w:ilvl w:val="0"/>
          <w:numId w:val="11"/>
        </w:numPr>
        <w:spacing w:after="160"/>
        <w:ind w:left="720"/>
        <w:contextualSpacing/>
        <w:rPr>
          <w:rFonts w:cs="Arial"/>
          <w:szCs w:val="22"/>
        </w:rPr>
      </w:pPr>
      <w:r w:rsidRPr="00356564">
        <w:rPr>
          <w:rFonts w:cs="Arial"/>
          <w:szCs w:val="22"/>
        </w:rPr>
        <w:t>Effective October 1, 2025, the following topical corticosteroid agent will require PA.</w:t>
      </w:r>
    </w:p>
    <w:p w14:paraId="0AEB25F0" w14:textId="77777777" w:rsidR="00E24E22" w:rsidRPr="00E24E22" w:rsidRDefault="00E24E22" w:rsidP="00E24E22">
      <w:pPr>
        <w:pStyle w:val="ListParagraph"/>
        <w:numPr>
          <w:ilvl w:val="1"/>
          <w:numId w:val="11"/>
        </w:numPr>
        <w:ind w:left="1080"/>
        <w:contextualSpacing/>
        <w:rPr>
          <w:rFonts w:cs="Arial"/>
          <w:szCs w:val="22"/>
          <w:lang w:val="pt-BR"/>
        </w:rPr>
      </w:pPr>
      <w:r w:rsidRPr="00E24E22">
        <w:rPr>
          <w:rFonts w:cs="Arial"/>
          <w:szCs w:val="22"/>
          <w:lang w:val="pt-BR"/>
        </w:rPr>
        <w:t xml:space="preserve">Olux-E (clobetasol propionate foam/ emollient) – </w:t>
      </w:r>
      <w:r w:rsidRPr="00E24E22">
        <w:rPr>
          <w:rFonts w:cs="Arial"/>
          <w:b/>
          <w:bCs/>
          <w:szCs w:val="22"/>
          <w:lang w:val="pt-BR"/>
        </w:rPr>
        <w:t>PA</w:t>
      </w:r>
      <w:r w:rsidRPr="00E24E22">
        <w:rPr>
          <w:rFonts w:cs="Arial"/>
          <w:szCs w:val="22"/>
          <w:lang w:val="pt-BR"/>
        </w:rPr>
        <w:t>; A90</w:t>
      </w:r>
    </w:p>
    <w:p w14:paraId="7A1B2121" w14:textId="77777777" w:rsidR="00E24E22" w:rsidRPr="00356564" w:rsidRDefault="00E24E22" w:rsidP="00E24E22">
      <w:pPr>
        <w:pStyle w:val="ListParagraph"/>
        <w:numPr>
          <w:ilvl w:val="0"/>
          <w:numId w:val="11"/>
        </w:numPr>
        <w:spacing w:after="160" w:line="256" w:lineRule="auto"/>
        <w:ind w:left="720"/>
        <w:contextualSpacing/>
        <w:rPr>
          <w:rFonts w:cs="Arial"/>
          <w:szCs w:val="22"/>
        </w:rPr>
      </w:pPr>
      <w:r w:rsidRPr="00356564">
        <w:rPr>
          <w:rFonts w:cs="Arial"/>
          <w:szCs w:val="22"/>
        </w:rPr>
        <w:t>Effective October 1, 2025, the following dermatological agent will require PA.</w:t>
      </w:r>
    </w:p>
    <w:p w14:paraId="7DD2F0FC"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fluorouracil 0.5% cream – </w:t>
      </w:r>
      <w:r w:rsidRPr="00356564">
        <w:rPr>
          <w:rFonts w:cs="Arial"/>
          <w:b/>
          <w:bCs/>
          <w:szCs w:val="22"/>
        </w:rPr>
        <w:t>PA</w:t>
      </w:r>
      <w:r w:rsidRPr="00356564">
        <w:rPr>
          <w:rFonts w:cs="Arial"/>
          <w:szCs w:val="22"/>
        </w:rPr>
        <w:t xml:space="preserve">; A90 </w:t>
      </w:r>
    </w:p>
    <w:p w14:paraId="2073F972" w14:textId="77777777" w:rsidR="00E24E22" w:rsidRPr="00356564" w:rsidRDefault="00E24E22" w:rsidP="00E24E22">
      <w:pPr>
        <w:pStyle w:val="ListParagraph"/>
        <w:numPr>
          <w:ilvl w:val="0"/>
          <w:numId w:val="11"/>
        </w:numPr>
        <w:ind w:left="720"/>
        <w:contextualSpacing/>
        <w:rPr>
          <w:rFonts w:cs="Arial"/>
          <w:szCs w:val="22"/>
        </w:rPr>
      </w:pPr>
      <w:r w:rsidRPr="00356564">
        <w:rPr>
          <w:rFonts w:cs="Arial"/>
          <w:szCs w:val="22"/>
        </w:rPr>
        <w:t xml:space="preserve">Effective October 1, 2025, the following antidiabetic agents will require PA. </w:t>
      </w:r>
    </w:p>
    <w:p w14:paraId="1C3554AC" w14:textId="77777777" w:rsidR="00E24E22" w:rsidRPr="00356564" w:rsidRDefault="00E24E22" w:rsidP="00E24E22">
      <w:pPr>
        <w:pStyle w:val="Default"/>
        <w:numPr>
          <w:ilvl w:val="1"/>
          <w:numId w:val="11"/>
        </w:numPr>
        <w:spacing w:line="276" w:lineRule="auto"/>
        <w:ind w:left="1080"/>
        <w:rPr>
          <w:rFonts w:ascii="Arial" w:hAnsi="Arial" w:cs="Arial"/>
          <w:sz w:val="22"/>
          <w:szCs w:val="22"/>
        </w:rPr>
      </w:pPr>
      <w:r w:rsidRPr="00356564">
        <w:rPr>
          <w:rFonts w:ascii="Arial" w:hAnsi="Arial" w:cs="Arial"/>
          <w:sz w:val="22"/>
          <w:szCs w:val="22"/>
        </w:rPr>
        <w:t xml:space="preserve">glipizide 2.5 mg – </w:t>
      </w:r>
      <w:r w:rsidRPr="00356564">
        <w:rPr>
          <w:rFonts w:ascii="Arial" w:hAnsi="Arial" w:cs="Arial"/>
          <w:b/>
          <w:bCs/>
          <w:sz w:val="22"/>
          <w:szCs w:val="22"/>
        </w:rPr>
        <w:t>PA</w:t>
      </w:r>
      <w:r w:rsidRPr="00356564">
        <w:rPr>
          <w:rFonts w:ascii="Arial" w:hAnsi="Arial" w:cs="Arial"/>
          <w:sz w:val="22"/>
          <w:szCs w:val="22"/>
        </w:rPr>
        <w:t>; M90</w:t>
      </w:r>
    </w:p>
    <w:p w14:paraId="44FDFE2F"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Janumet (sitagliptin/metformin) – </w:t>
      </w:r>
      <w:r w:rsidRPr="00356564">
        <w:rPr>
          <w:rFonts w:cs="Arial"/>
          <w:b/>
          <w:bCs/>
          <w:szCs w:val="22"/>
        </w:rPr>
        <w:t>PA</w:t>
      </w:r>
    </w:p>
    <w:bookmarkEnd w:id="1"/>
    <w:bookmarkEnd w:id="2"/>
    <w:p w14:paraId="5F0D37A6"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Janumet XR (sitagliptin/metformin extended-release) – </w:t>
      </w:r>
      <w:r w:rsidRPr="00356564">
        <w:rPr>
          <w:rFonts w:cs="Arial"/>
          <w:b/>
          <w:bCs/>
          <w:szCs w:val="22"/>
        </w:rPr>
        <w:t>PA</w:t>
      </w:r>
    </w:p>
    <w:p w14:paraId="191CCEB2" w14:textId="77777777" w:rsidR="00E24E22" w:rsidRPr="00356564" w:rsidRDefault="00E24E22" w:rsidP="00E24E22">
      <w:pPr>
        <w:pStyle w:val="ListParagraph"/>
        <w:numPr>
          <w:ilvl w:val="1"/>
          <w:numId w:val="11"/>
        </w:numPr>
        <w:spacing w:after="160" w:line="256" w:lineRule="auto"/>
        <w:ind w:left="1080"/>
        <w:contextualSpacing/>
        <w:rPr>
          <w:rFonts w:cs="Arial"/>
          <w:szCs w:val="22"/>
        </w:rPr>
      </w:pPr>
      <w:r w:rsidRPr="00356564">
        <w:rPr>
          <w:rFonts w:cs="Arial"/>
          <w:szCs w:val="22"/>
        </w:rPr>
        <w:t xml:space="preserve">Januvia (sitagliptin tablet) – </w:t>
      </w:r>
      <w:r w:rsidRPr="00356564">
        <w:rPr>
          <w:rFonts w:cs="Arial"/>
          <w:b/>
          <w:bCs/>
          <w:szCs w:val="22"/>
        </w:rPr>
        <w:t>PA</w:t>
      </w:r>
    </w:p>
    <w:p w14:paraId="01325204" w14:textId="77777777" w:rsidR="00E24E22" w:rsidRPr="00356564" w:rsidRDefault="00E24E22" w:rsidP="00E24E22">
      <w:pPr>
        <w:pStyle w:val="ListParagraph"/>
        <w:numPr>
          <w:ilvl w:val="1"/>
          <w:numId w:val="11"/>
        </w:numPr>
        <w:spacing w:line="256" w:lineRule="auto"/>
        <w:ind w:left="1080"/>
        <w:contextualSpacing/>
        <w:rPr>
          <w:rFonts w:cs="Arial"/>
          <w:szCs w:val="22"/>
        </w:rPr>
      </w:pPr>
      <w:r w:rsidRPr="00356564">
        <w:rPr>
          <w:rFonts w:cs="Arial"/>
          <w:szCs w:val="22"/>
        </w:rPr>
        <w:t xml:space="preserve">sitagliptin/metformin – </w:t>
      </w:r>
      <w:r w:rsidRPr="00356564">
        <w:rPr>
          <w:rFonts w:cs="Arial"/>
          <w:b/>
          <w:bCs/>
          <w:szCs w:val="22"/>
        </w:rPr>
        <w:t>PA</w:t>
      </w:r>
    </w:p>
    <w:p w14:paraId="35D102C2" w14:textId="77777777" w:rsidR="00DA0D31" w:rsidRPr="00FD7351" w:rsidRDefault="00DA0D31" w:rsidP="00FD7351">
      <w:pPr>
        <w:pStyle w:val="Heading2"/>
      </w:pPr>
      <w:bookmarkStart w:id="3" w:name="_Hlk527542045"/>
      <w:r w:rsidRPr="00DA0D31">
        <w:t>Change in Coverage Status</w:t>
      </w:r>
    </w:p>
    <w:p w14:paraId="2E6395FC" w14:textId="77777777" w:rsidR="00DA0D31" w:rsidRDefault="00DA0D31" w:rsidP="00DA0D31">
      <w:pPr>
        <w:pStyle w:val="Default"/>
        <w:numPr>
          <w:ilvl w:val="0"/>
          <w:numId w:val="36"/>
        </w:numPr>
        <w:spacing w:line="276" w:lineRule="auto"/>
        <w:rPr>
          <w:rFonts w:ascii="Arial" w:hAnsi="Arial" w:cs="Arial"/>
          <w:color w:val="auto"/>
          <w:sz w:val="22"/>
          <w:szCs w:val="22"/>
        </w:rPr>
      </w:pPr>
      <w:r>
        <w:rPr>
          <w:rFonts w:ascii="Arial" w:hAnsi="Arial" w:cs="Arial"/>
          <w:sz w:val="22"/>
          <w:szCs w:val="22"/>
        </w:rPr>
        <w:t>Effective October 1, 2025, the following agents will be available through medical billing only and will no longer be available through pharmacy billing</w:t>
      </w:r>
      <w:r>
        <w:rPr>
          <w:rFonts w:ascii="Arial" w:hAnsi="Arial" w:cs="Arial"/>
          <w:color w:val="auto"/>
          <w:sz w:val="22"/>
          <w:szCs w:val="22"/>
        </w:rPr>
        <w:t>.</w:t>
      </w:r>
    </w:p>
    <w:p w14:paraId="3D7D9F4B" w14:textId="77777777" w:rsidR="00DA0D31" w:rsidRDefault="00DA0D31" w:rsidP="00DA0D31">
      <w:pPr>
        <w:pStyle w:val="Default"/>
        <w:numPr>
          <w:ilvl w:val="1"/>
          <w:numId w:val="37"/>
        </w:numPr>
        <w:spacing w:line="276" w:lineRule="auto"/>
        <w:ind w:left="1080"/>
        <w:rPr>
          <w:rFonts w:ascii="Arial" w:hAnsi="Arial" w:cs="Arial"/>
          <w:color w:val="auto"/>
          <w:sz w:val="22"/>
          <w:szCs w:val="22"/>
        </w:rPr>
      </w:pPr>
      <w:r>
        <w:rPr>
          <w:rFonts w:ascii="Arial" w:hAnsi="Arial" w:cs="Arial"/>
          <w:color w:val="auto"/>
          <w:sz w:val="22"/>
          <w:szCs w:val="22"/>
        </w:rPr>
        <w:t>diltiazem injection; MB</w:t>
      </w:r>
    </w:p>
    <w:p w14:paraId="1754C34F" w14:textId="77777777" w:rsidR="00DA0D31" w:rsidRDefault="00DA0D31" w:rsidP="00DA0D31">
      <w:pPr>
        <w:pStyle w:val="Default"/>
        <w:numPr>
          <w:ilvl w:val="1"/>
          <w:numId w:val="37"/>
        </w:numPr>
        <w:spacing w:line="276" w:lineRule="auto"/>
        <w:ind w:left="1080"/>
        <w:rPr>
          <w:rFonts w:ascii="Arial" w:hAnsi="Arial" w:cs="Arial"/>
          <w:color w:val="auto"/>
          <w:sz w:val="22"/>
          <w:szCs w:val="22"/>
        </w:rPr>
      </w:pPr>
      <w:r>
        <w:rPr>
          <w:rFonts w:ascii="Arial" w:hAnsi="Arial" w:cs="Arial"/>
          <w:color w:val="auto"/>
          <w:sz w:val="22"/>
          <w:szCs w:val="22"/>
        </w:rPr>
        <w:t>metoprolol injection; MB</w:t>
      </w:r>
    </w:p>
    <w:p w14:paraId="29D576FB" w14:textId="77777777" w:rsidR="00DA0D31" w:rsidRDefault="00DA0D31" w:rsidP="00DA0D31">
      <w:pPr>
        <w:pStyle w:val="Default"/>
        <w:numPr>
          <w:ilvl w:val="1"/>
          <w:numId w:val="37"/>
        </w:numPr>
        <w:spacing w:line="276" w:lineRule="auto"/>
        <w:ind w:left="1080"/>
        <w:rPr>
          <w:rFonts w:ascii="Arial" w:hAnsi="Arial" w:cs="Arial"/>
          <w:color w:val="auto"/>
          <w:sz w:val="22"/>
          <w:szCs w:val="22"/>
        </w:rPr>
      </w:pPr>
      <w:r>
        <w:rPr>
          <w:rFonts w:ascii="Arial" w:hAnsi="Arial" w:cs="Arial"/>
          <w:color w:val="auto"/>
          <w:sz w:val="22"/>
          <w:szCs w:val="22"/>
        </w:rPr>
        <w:t>propranolol injection; MB</w:t>
      </w:r>
    </w:p>
    <w:p w14:paraId="7D424762" w14:textId="77777777" w:rsidR="00DA0D31" w:rsidRDefault="00DA0D31" w:rsidP="00DA0D31">
      <w:pPr>
        <w:pStyle w:val="Default"/>
        <w:numPr>
          <w:ilvl w:val="1"/>
          <w:numId w:val="37"/>
        </w:numPr>
        <w:spacing w:line="276" w:lineRule="auto"/>
        <w:ind w:left="1080"/>
        <w:rPr>
          <w:rFonts w:ascii="Arial" w:hAnsi="Arial" w:cs="Arial"/>
          <w:color w:val="auto"/>
          <w:sz w:val="22"/>
          <w:szCs w:val="22"/>
        </w:rPr>
      </w:pPr>
      <w:r>
        <w:rPr>
          <w:rFonts w:ascii="Arial" w:hAnsi="Arial" w:cs="Arial"/>
          <w:color w:val="auto"/>
          <w:sz w:val="22"/>
          <w:szCs w:val="22"/>
        </w:rPr>
        <w:t>verapamil injection; MB</w:t>
      </w:r>
    </w:p>
    <w:p w14:paraId="72B97063" w14:textId="77777777" w:rsidR="00DA0D31" w:rsidRDefault="00DA0D31" w:rsidP="00DA0D31">
      <w:pPr>
        <w:pStyle w:val="Default"/>
        <w:numPr>
          <w:ilvl w:val="0"/>
          <w:numId w:val="37"/>
        </w:numPr>
        <w:spacing w:line="276" w:lineRule="auto"/>
        <w:rPr>
          <w:rFonts w:ascii="Arial" w:hAnsi="Arial" w:cs="Arial"/>
          <w:sz w:val="22"/>
          <w:szCs w:val="22"/>
        </w:rPr>
      </w:pPr>
      <w:r>
        <w:rPr>
          <w:rFonts w:ascii="Arial" w:hAnsi="Arial" w:cs="Arial"/>
          <w:sz w:val="22"/>
          <w:szCs w:val="22"/>
        </w:rPr>
        <w:t xml:space="preserve">Effective October 1, 2025, the following agent will no longer be restricted to medical billing. </w:t>
      </w:r>
    </w:p>
    <w:p w14:paraId="3842C9CC" w14:textId="1AD1B426" w:rsidR="00DA0D31" w:rsidRPr="00FD7351" w:rsidRDefault="00DA0D31" w:rsidP="00FD7351">
      <w:pPr>
        <w:pStyle w:val="Default"/>
        <w:numPr>
          <w:ilvl w:val="0"/>
          <w:numId w:val="38"/>
        </w:numPr>
        <w:spacing w:line="276" w:lineRule="auto"/>
        <w:ind w:left="1080"/>
        <w:rPr>
          <w:rFonts w:ascii="Arial" w:hAnsi="Arial" w:cs="Arial"/>
          <w:szCs w:val="22"/>
        </w:rPr>
      </w:pPr>
      <w:r>
        <w:rPr>
          <w:rFonts w:ascii="Arial" w:hAnsi="Arial" w:cs="Arial"/>
          <w:color w:val="auto"/>
          <w:sz w:val="22"/>
          <w:szCs w:val="22"/>
        </w:rPr>
        <w:t xml:space="preserve">Trelstar (triptorelin) – </w:t>
      </w:r>
      <w:r>
        <w:rPr>
          <w:rFonts w:ascii="Arial" w:hAnsi="Arial" w:cs="Arial"/>
          <w:b/>
          <w:bCs/>
          <w:color w:val="auto"/>
          <w:sz w:val="22"/>
          <w:szCs w:val="22"/>
        </w:rPr>
        <w:t>PA</w:t>
      </w:r>
    </w:p>
    <w:p w14:paraId="2F678278" w14:textId="683444DD" w:rsidR="00E24E22" w:rsidRPr="00E24E22" w:rsidRDefault="00E24E22" w:rsidP="00E24E22">
      <w:pPr>
        <w:pStyle w:val="Heading2"/>
      </w:pPr>
      <w:r w:rsidRPr="00E24E22">
        <w:t>Updated MassHealth Brand Name Preferred Over Generic Drug List</w:t>
      </w:r>
    </w:p>
    <w:bookmarkEnd w:id="3"/>
    <w:p w14:paraId="3105013C" w14:textId="77777777" w:rsidR="00E24E22" w:rsidRPr="00C140B6" w:rsidRDefault="00E24E22" w:rsidP="00E24E22">
      <w:pPr>
        <w:keepNext/>
        <w:keepLines/>
        <w:outlineLvl w:val="0"/>
        <w:rPr>
          <w:rFonts w:eastAsia="Calibri" w:cs="Arial"/>
          <w:color w:val="000000"/>
          <w:szCs w:val="21"/>
        </w:rPr>
      </w:pPr>
      <w:r w:rsidRPr="00C140B6">
        <w:rPr>
          <w:rFonts w:eastAsia="Calibri" w:cs="Arial"/>
          <w:color w:val="000000"/>
          <w:szCs w:val="21"/>
        </w:rPr>
        <w:t>The MassHealth Brand Name Preferred Over Generic Drug List has been updated to reflect recent changes to the MassHealth Drug List.</w:t>
      </w:r>
    </w:p>
    <w:p w14:paraId="280D1881" w14:textId="77777777" w:rsidR="00E24E22" w:rsidRPr="00192DCB" w:rsidRDefault="00E24E22" w:rsidP="00E24E22">
      <w:pPr>
        <w:pStyle w:val="Default"/>
        <w:numPr>
          <w:ilvl w:val="0"/>
          <w:numId w:val="30"/>
        </w:numPr>
        <w:spacing w:line="276" w:lineRule="auto"/>
        <w:rPr>
          <w:rFonts w:ascii="Arial" w:hAnsi="Arial" w:cs="Arial"/>
          <w:sz w:val="22"/>
          <w:szCs w:val="22"/>
        </w:rPr>
      </w:pPr>
      <w:r w:rsidRPr="00192DCB">
        <w:rPr>
          <w:rFonts w:ascii="Arial" w:hAnsi="Arial" w:cs="Arial"/>
          <w:sz w:val="22"/>
          <w:szCs w:val="22"/>
        </w:rPr>
        <w:t xml:space="preserve">Effective October 1, 2025, the following agents will be added to the MassHealth Brand Name Preferred Over Generic Drug List. </w:t>
      </w:r>
    </w:p>
    <w:p w14:paraId="1971C374" w14:textId="77777777" w:rsidR="00E24E22" w:rsidRPr="00192DCB" w:rsidRDefault="00E24E22" w:rsidP="00E24E22">
      <w:pPr>
        <w:pStyle w:val="Default"/>
        <w:numPr>
          <w:ilvl w:val="0"/>
          <w:numId w:val="6"/>
        </w:numPr>
        <w:spacing w:line="276" w:lineRule="auto"/>
        <w:rPr>
          <w:rFonts w:ascii="Arial" w:hAnsi="Arial" w:cs="Arial"/>
          <w:sz w:val="22"/>
          <w:szCs w:val="22"/>
        </w:rPr>
      </w:pPr>
      <w:bookmarkStart w:id="4" w:name="_Hlk11399419"/>
      <w:bookmarkStart w:id="5" w:name="_Hlk527542710"/>
      <w:r w:rsidRPr="00192DCB">
        <w:rPr>
          <w:rFonts w:ascii="Arial" w:hAnsi="Arial" w:cs="Arial"/>
          <w:sz w:val="22"/>
          <w:szCs w:val="22"/>
        </w:rPr>
        <w:t xml:space="preserve">Bosulif (bosutinib) – </w:t>
      </w:r>
      <w:r w:rsidRPr="00192DCB">
        <w:rPr>
          <w:rFonts w:ascii="Arial" w:hAnsi="Arial" w:cs="Arial"/>
          <w:b/>
          <w:bCs/>
          <w:sz w:val="22"/>
          <w:szCs w:val="22"/>
        </w:rPr>
        <w:t>PA</w:t>
      </w:r>
      <w:r w:rsidRPr="00192DCB">
        <w:rPr>
          <w:rFonts w:ascii="Arial" w:hAnsi="Arial" w:cs="Arial"/>
          <w:sz w:val="22"/>
          <w:szCs w:val="22"/>
        </w:rPr>
        <w:t>; BP</w:t>
      </w:r>
    </w:p>
    <w:p w14:paraId="3C63E5E9" w14:textId="77777777" w:rsidR="00E24E22" w:rsidRPr="00192DCB" w:rsidRDefault="00E24E22" w:rsidP="00E24E22">
      <w:pPr>
        <w:pStyle w:val="Default"/>
        <w:numPr>
          <w:ilvl w:val="0"/>
          <w:numId w:val="6"/>
        </w:numPr>
        <w:spacing w:line="276" w:lineRule="auto"/>
        <w:rPr>
          <w:rFonts w:ascii="Arial" w:hAnsi="Arial" w:cs="Arial"/>
          <w:sz w:val="22"/>
          <w:szCs w:val="22"/>
        </w:rPr>
      </w:pPr>
      <w:bookmarkStart w:id="6" w:name="_Hlk14249184"/>
      <w:bookmarkStart w:id="7" w:name="_Hlk536624120"/>
      <w:bookmarkEnd w:id="4"/>
      <w:bookmarkEnd w:id="5"/>
      <w:r w:rsidRPr="00192DCB">
        <w:rPr>
          <w:rFonts w:ascii="Arial" w:hAnsi="Arial" w:cs="Arial"/>
          <w:sz w:val="22"/>
          <w:szCs w:val="22"/>
        </w:rPr>
        <w:t>Edarbi (azilsartan); BP</w:t>
      </w:r>
    </w:p>
    <w:p w14:paraId="5F77F6A5" w14:textId="77777777" w:rsidR="00E24E22" w:rsidRPr="00192DCB" w:rsidRDefault="00E24E22" w:rsidP="00E24E22">
      <w:pPr>
        <w:pStyle w:val="Default"/>
        <w:numPr>
          <w:ilvl w:val="0"/>
          <w:numId w:val="6"/>
        </w:numPr>
        <w:spacing w:line="276" w:lineRule="auto"/>
        <w:rPr>
          <w:rFonts w:ascii="Arial" w:hAnsi="Arial" w:cs="Arial"/>
          <w:sz w:val="22"/>
          <w:szCs w:val="22"/>
        </w:rPr>
      </w:pPr>
      <w:r w:rsidRPr="00192DCB">
        <w:rPr>
          <w:rFonts w:ascii="Arial" w:hAnsi="Arial" w:cs="Arial"/>
          <w:sz w:val="22"/>
          <w:szCs w:val="22"/>
        </w:rPr>
        <w:t>FML (fluorometholone 0.1%); BP, A90</w:t>
      </w:r>
    </w:p>
    <w:p w14:paraId="183DF5C1" w14:textId="77777777" w:rsidR="00E24E22" w:rsidRPr="00192DCB" w:rsidRDefault="00E24E22" w:rsidP="00E24E22">
      <w:pPr>
        <w:pStyle w:val="Default"/>
        <w:numPr>
          <w:ilvl w:val="0"/>
          <w:numId w:val="6"/>
        </w:numPr>
        <w:spacing w:line="276" w:lineRule="auto"/>
        <w:rPr>
          <w:rFonts w:ascii="Arial" w:hAnsi="Arial" w:cs="Arial"/>
          <w:sz w:val="22"/>
          <w:szCs w:val="22"/>
        </w:rPr>
      </w:pPr>
      <w:r w:rsidRPr="00192DCB">
        <w:rPr>
          <w:rFonts w:ascii="Arial" w:hAnsi="Arial" w:cs="Arial"/>
          <w:sz w:val="22"/>
          <w:szCs w:val="22"/>
        </w:rPr>
        <w:t xml:space="preserve">Halog (halcinonide 0.1% cream) – </w:t>
      </w:r>
      <w:r w:rsidRPr="00192DCB">
        <w:rPr>
          <w:rFonts w:ascii="Arial" w:hAnsi="Arial" w:cs="Arial"/>
          <w:b/>
          <w:bCs/>
          <w:sz w:val="22"/>
          <w:szCs w:val="22"/>
        </w:rPr>
        <w:t>PA</w:t>
      </w:r>
      <w:r w:rsidRPr="00192DCB">
        <w:rPr>
          <w:rFonts w:ascii="Arial" w:hAnsi="Arial" w:cs="Arial"/>
          <w:sz w:val="22"/>
          <w:szCs w:val="22"/>
        </w:rPr>
        <w:t xml:space="preserve">; BP, A90 </w:t>
      </w:r>
    </w:p>
    <w:p w14:paraId="1C09B07A" w14:textId="77777777" w:rsidR="00E24E22" w:rsidRPr="00192DCB" w:rsidRDefault="00E24E22" w:rsidP="00E24E22">
      <w:pPr>
        <w:pStyle w:val="Default"/>
        <w:numPr>
          <w:ilvl w:val="0"/>
          <w:numId w:val="6"/>
        </w:numPr>
        <w:spacing w:line="276" w:lineRule="auto"/>
        <w:rPr>
          <w:rFonts w:ascii="Arial" w:hAnsi="Arial" w:cs="Arial"/>
          <w:sz w:val="22"/>
          <w:szCs w:val="22"/>
        </w:rPr>
      </w:pPr>
      <w:r w:rsidRPr="00192DCB">
        <w:rPr>
          <w:rFonts w:ascii="Arial" w:hAnsi="Arial" w:cs="Arial"/>
          <w:sz w:val="22"/>
          <w:szCs w:val="22"/>
        </w:rPr>
        <w:t>Simbrinza (brinzolamide/brimonidine); BP</w:t>
      </w:r>
    </w:p>
    <w:p w14:paraId="3AC3F71C" w14:textId="77777777" w:rsidR="00E24E22" w:rsidRPr="00192DCB" w:rsidRDefault="00E24E22" w:rsidP="00E24E22">
      <w:pPr>
        <w:pStyle w:val="Default"/>
        <w:numPr>
          <w:ilvl w:val="0"/>
          <w:numId w:val="30"/>
        </w:numPr>
        <w:spacing w:line="276" w:lineRule="auto"/>
        <w:rPr>
          <w:rFonts w:ascii="Arial" w:hAnsi="Arial" w:cs="Arial"/>
          <w:sz w:val="22"/>
          <w:szCs w:val="22"/>
        </w:rPr>
      </w:pPr>
      <w:r w:rsidRPr="00192DCB">
        <w:rPr>
          <w:rFonts w:ascii="Arial" w:hAnsi="Arial" w:cs="Arial"/>
          <w:sz w:val="22"/>
          <w:szCs w:val="22"/>
        </w:rPr>
        <w:t xml:space="preserve">Effective October 1, 2025, the following agents will be removed from the MassHealth Brand Name Preferred Over Generic Drug List. </w:t>
      </w:r>
    </w:p>
    <w:bookmarkEnd w:id="6"/>
    <w:p w14:paraId="0AEBCF42"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Ancobon (flucytosine); A90</w:t>
      </w:r>
    </w:p>
    <w:p w14:paraId="137AC18A"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Apriso (mesalamine 0.375 gram extended-release capsule); A90</w:t>
      </w:r>
    </w:p>
    <w:p w14:paraId="675F8533"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 xml:space="preserve">Atralin (tretinoin 0.05% gel) </w:t>
      </w:r>
      <w:r w:rsidRPr="00192DCB">
        <w:rPr>
          <w:rFonts w:eastAsia="Calibri" w:cs="Arial"/>
          <w:szCs w:val="22"/>
        </w:rPr>
        <w:t xml:space="preserve">– </w:t>
      </w:r>
      <w:r w:rsidRPr="00192DCB">
        <w:rPr>
          <w:rFonts w:cs="Arial"/>
          <w:b/>
          <w:bCs/>
          <w:color w:val="000000"/>
          <w:szCs w:val="22"/>
        </w:rPr>
        <w:t>PA</w:t>
      </w:r>
      <w:r w:rsidRPr="00192DCB">
        <w:rPr>
          <w:rFonts w:cs="Arial"/>
          <w:color w:val="000000"/>
          <w:szCs w:val="22"/>
        </w:rPr>
        <w:t>; A90</w:t>
      </w:r>
    </w:p>
    <w:p w14:paraId="5685ECF6"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szCs w:val="22"/>
        </w:rPr>
        <w:t>Carac (fluorouracil 0.5% cream)</w:t>
      </w:r>
      <w:r w:rsidRPr="00192DCB">
        <w:rPr>
          <w:rFonts w:cs="Arial"/>
          <w:color w:val="000000"/>
          <w:szCs w:val="22"/>
        </w:rPr>
        <w:t xml:space="preserve"> </w:t>
      </w:r>
      <w:r w:rsidRPr="00192DCB">
        <w:rPr>
          <w:rFonts w:eastAsia="Calibri" w:cs="Arial"/>
          <w:szCs w:val="22"/>
        </w:rPr>
        <w:t xml:space="preserve">– </w:t>
      </w:r>
      <w:r w:rsidRPr="00192DCB">
        <w:rPr>
          <w:rFonts w:eastAsia="Calibri" w:cs="Arial"/>
          <w:b/>
          <w:bCs/>
          <w:szCs w:val="22"/>
        </w:rPr>
        <w:t>PA</w:t>
      </w:r>
    </w:p>
    <w:bookmarkEnd w:id="7"/>
    <w:p w14:paraId="6AE087BC"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Clindagel (clindamycin gel)</w:t>
      </w:r>
    </w:p>
    <w:p w14:paraId="42C4267E"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Cuprimine (penicillamine capsule); A90</w:t>
      </w:r>
    </w:p>
    <w:p w14:paraId="7A057887" w14:textId="77777777" w:rsidR="00E24E22" w:rsidRPr="00192DCB" w:rsidRDefault="00E24E22" w:rsidP="00E24E22">
      <w:pPr>
        <w:pStyle w:val="ListParagraph"/>
        <w:numPr>
          <w:ilvl w:val="0"/>
          <w:numId w:val="31"/>
        </w:numPr>
        <w:spacing w:line="256" w:lineRule="auto"/>
        <w:ind w:left="1080"/>
        <w:contextualSpacing/>
        <w:rPr>
          <w:rFonts w:cs="Arial"/>
          <w:color w:val="000000"/>
          <w:szCs w:val="22"/>
        </w:rPr>
      </w:pPr>
      <w:r w:rsidRPr="00192DCB">
        <w:rPr>
          <w:rFonts w:cs="Arial"/>
          <w:color w:val="000000"/>
          <w:szCs w:val="22"/>
        </w:rPr>
        <w:t>Demser (metyrosine)</w:t>
      </w:r>
    </w:p>
    <w:p w14:paraId="3EEDBB32"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Isordil (isosorbide dinitrate 40 mg tablet) </w:t>
      </w:r>
      <w:r w:rsidRPr="00192DCB">
        <w:rPr>
          <w:rFonts w:eastAsia="Calibri" w:cs="Arial"/>
          <w:szCs w:val="22"/>
        </w:rPr>
        <w:t>–</w:t>
      </w:r>
      <w:r w:rsidRPr="00192DCB">
        <w:rPr>
          <w:rFonts w:cs="Arial"/>
          <w:color w:val="000000"/>
          <w:szCs w:val="22"/>
        </w:rPr>
        <w:t xml:space="preserve"> </w:t>
      </w:r>
      <w:r w:rsidRPr="00192DCB">
        <w:rPr>
          <w:rFonts w:cs="Arial"/>
          <w:b/>
          <w:bCs/>
          <w:color w:val="000000"/>
          <w:szCs w:val="22"/>
        </w:rPr>
        <w:t>PA</w:t>
      </w:r>
      <w:r w:rsidRPr="00192DCB">
        <w:rPr>
          <w:rFonts w:cs="Arial"/>
          <w:color w:val="000000"/>
          <w:szCs w:val="22"/>
        </w:rPr>
        <w:t>; M90</w:t>
      </w:r>
    </w:p>
    <w:p w14:paraId="41333339"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lastRenderedPageBreak/>
        <w:t>Lotemax (loteprednol 0.5%); A90</w:t>
      </w:r>
    </w:p>
    <w:p w14:paraId="6440E52D"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Mestinon (pyridostigmine bromide 60 mg tablet, 180 mg extended-release tablet); A90</w:t>
      </w:r>
    </w:p>
    <w:p w14:paraId="28A4D687"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Mestinon (pyridostigmine bromide solution); A90</w:t>
      </w:r>
    </w:p>
    <w:p w14:paraId="56C6B117"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Moviprep (polyethylene glycol-electrolyte solution); A90</w:t>
      </w:r>
    </w:p>
    <w:p w14:paraId="1F84941A"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Noxafil (posaconazole injection) – </w:t>
      </w:r>
      <w:r w:rsidRPr="00192DCB">
        <w:rPr>
          <w:rFonts w:cs="Arial"/>
          <w:b/>
          <w:bCs/>
          <w:color w:val="000000"/>
          <w:szCs w:val="22"/>
        </w:rPr>
        <w:t>PA</w:t>
      </w:r>
    </w:p>
    <w:p w14:paraId="3C326DA1" w14:textId="77777777" w:rsidR="00E24E22" w:rsidRPr="00913618" w:rsidRDefault="00E24E22" w:rsidP="00E24E22">
      <w:pPr>
        <w:pStyle w:val="ListParagraph"/>
        <w:numPr>
          <w:ilvl w:val="0"/>
          <w:numId w:val="16"/>
        </w:numPr>
        <w:spacing w:line="256" w:lineRule="auto"/>
        <w:contextualSpacing/>
        <w:rPr>
          <w:rFonts w:cs="Arial"/>
          <w:color w:val="000000"/>
          <w:szCs w:val="22"/>
          <w:lang w:val="pt-BR"/>
        </w:rPr>
      </w:pPr>
      <w:r w:rsidRPr="00913618">
        <w:rPr>
          <w:rFonts w:cs="Arial"/>
          <w:color w:val="000000"/>
          <w:szCs w:val="22"/>
          <w:lang w:val="pt-BR"/>
        </w:rPr>
        <w:t>Olux-E (clobetasol propionate foam/emollient)</w:t>
      </w:r>
      <w:r w:rsidRPr="00913618">
        <w:rPr>
          <w:rFonts w:eastAsia="Calibri" w:cs="Arial"/>
          <w:szCs w:val="22"/>
          <w:lang w:val="pt-BR"/>
        </w:rPr>
        <w:t xml:space="preserve"> – </w:t>
      </w:r>
      <w:r w:rsidRPr="00913618">
        <w:rPr>
          <w:rFonts w:eastAsia="Calibri" w:cs="Arial"/>
          <w:b/>
          <w:bCs/>
          <w:szCs w:val="22"/>
          <w:lang w:val="pt-BR"/>
        </w:rPr>
        <w:t>PA</w:t>
      </w:r>
      <w:r w:rsidRPr="00913618">
        <w:rPr>
          <w:rFonts w:eastAsia="Calibri" w:cs="Arial"/>
          <w:szCs w:val="22"/>
          <w:lang w:val="pt-BR"/>
        </w:rPr>
        <w:t>;</w:t>
      </w:r>
      <w:r w:rsidRPr="00913618">
        <w:rPr>
          <w:rFonts w:cs="Arial"/>
          <w:color w:val="000000"/>
          <w:szCs w:val="22"/>
          <w:lang w:val="pt-BR"/>
        </w:rPr>
        <w:t xml:space="preserve"> A90</w:t>
      </w:r>
    </w:p>
    <w:p w14:paraId="75A49E90"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Onexton (clindamycin/benzoyl peroxide gel pump) </w:t>
      </w:r>
      <w:r w:rsidRPr="00192DCB">
        <w:rPr>
          <w:rFonts w:cs="Arial"/>
          <w:szCs w:val="22"/>
        </w:rPr>
        <w:t xml:space="preserve">– </w:t>
      </w:r>
      <w:r w:rsidRPr="00192DCB">
        <w:rPr>
          <w:rFonts w:cs="Arial"/>
          <w:b/>
          <w:bCs/>
          <w:color w:val="000000"/>
          <w:szCs w:val="22"/>
        </w:rPr>
        <w:t>PA</w:t>
      </w:r>
      <w:r w:rsidRPr="00192DCB">
        <w:rPr>
          <w:rFonts w:cs="Arial"/>
          <w:color w:val="000000"/>
          <w:szCs w:val="22"/>
        </w:rPr>
        <w:t>; A90</w:t>
      </w:r>
    </w:p>
    <w:p w14:paraId="4763FBCA"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Retin-A (tretinoin) </w:t>
      </w:r>
      <w:r w:rsidRPr="00192DCB">
        <w:rPr>
          <w:rFonts w:cs="Arial"/>
          <w:szCs w:val="22"/>
        </w:rPr>
        <w:t>–</w:t>
      </w:r>
      <w:r w:rsidRPr="00192DCB">
        <w:rPr>
          <w:rFonts w:cs="Arial"/>
          <w:color w:val="000000"/>
          <w:szCs w:val="22"/>
        </w:rPr>
        <w:t xml:space="preserve"> </w:t>
      </w:r>
      <w:r w:rsidRPr="00192DCB">
        <w:rPr>
          <w:rFonts w:cs="Arial"/>
          <w:b/>
          <w:bCs/>
          <w:color w:val="000000"/>
          <w:szCs w:val="22"/>
        </w:rPr>
        <w:t>PA ≥ 21 years</w:t>
      </w:r>
      <w:r w:rsidRPr="00192DCB">
        <w:rPr>
          <w:rFonts w:cs="Arial"/>
          <w:color w:val="000000"/>
          <w:szCs w:val="22"/>
        </w:rPr>
        <w:t>; A90</w:t>
      </w:r>
    </w:p>
    <w:p w14:paraId="61BF496D" w14:textId="77777777" w:rsidR="00E24E22" w:rsidRPr="00913618" w:rsidRDefault="00E24E22" w:rsidP="00E24E22">
      <w:pPr>
        <w:pStyle w:val="ListParagraph"/>
        <w:numPr>
          <w:ilvl w:val="0"/>
          <w:numId w:val="16"/>
        </w:numPr>
        <w:spacing w:line="256" w:lineRule="auto"/>
        <w:contextualSpacing/>
        <w:rPr>
          <w:rFonts w:cs="Arial"/>
          <w:color w:val="000000"/>
          <w:szCs w:val="22"/>
          <w:lang w:val="pt-BR"/>
        </w:rPr>
      </w:pPr>
      <w:r w:rsidRPr="00913618">
        <w:rPr>
          <w:rFonts w:cs="Arial"/>
          <w:color w:val="000000"/>
          <w:szCs w:val="22"/>
          <w:lang w:val="pt-BR"/>
        </w:rPr>
        <w:t xml:space="preserve">Retin-A Micro (tretinoin microspheres) </w:t>
      </w:r>
      <w:r w:rsidRPr="00913618">
        <w:rPr>
          <w:rFonts w:cs="Arial"/>
          <w:szCs w:val="22"/>
          <w:lang w:val="pt-BR"/>
        </w:rPr>
        <w:t xml:space="preserve">– </w:t>
      </w:r>
      <w:r w:rsidRPr="00913618">
        <w:rPr>
          <w:rFonts w:cs="Arial"/>
          <w:b/>
          <w:bCs/>
          <w:color w:val="000000"/>
          <w:szCs w:val="22"/>
          <w:lang w:val="pt-BR"/>
        </w:rPr>
        <w:t>PA</w:t>
      </w:r>
      <w:r w:rsidRPr="00913618">
        <w:rPr>
          <w:rFonts w:cs="Arial"/>
          <w:color w:val="000000"/>
          <w:szCs w:val="22"/>
          <w:lang w:val="pt-BR"/>
        </w:rPr>
        <w:t>; A90</w:t>
      </w:r>
    </w:p>
    <w:p w14:paraId="0270BAA9"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Syprine (trientine 250 mg capsule); A90</w:t>
      </w:r>
    </w:p>
    <w:p w14:paraId="39B593A0"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Targretin (bexarotene); A90</w:t>
      </w:r>
    </w:p>
    <w:p w14:paraId="05ED3DBE"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Uceris (budesonide extended-release tablet); A90</w:t>
      </w:r>
    </w:p>
    <w:p w14:paraId="7966599E"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Zovirax (acyclovir cream) </w:t>
      </w:r>
    </w:p>
    <w:p w14:paraId="6688FA0F" w14:textId="77777777" w:rsidR="00E24E22" w:rsidRPr="00192DCB" w:rsidRDefault="00E24E22" w:rsidP="00E24E22">
      <w:pPr>
        <w:pStyle w:val="ListParagraph"/>
        <w:numPr>
          <w:ilvl w:val="0"/>
          <w:numId w:val="16"/>
        </w:numPr>
        <w:spacing w:line="256" w:lineRule="auto"/>
        <w:contextualSpacing/>
        <w:rPr>
          <w:rFonts w:cs="Arial"/>
          <w:color w:val="000000"/>
          <w:szCs w:val="22"/>
        </w:rPr>
      </w:pPr>
      <w:r w:rsidRPr="00192DCB">
        <w:rPr>
          <w:rFonts w:cs="Arial"/>
          <w:color w:val="000000"/>
          <w:szCs w:val="22"/>
        </w:rPr>
        <w:t xml:space="preserve">Zyclara (imiquimod 2.5%, 3.75% cream) </w:t>
      </w:r>
      <w:r w:rsidRPr="00192DCB">
        <w:rPr>
          <w:rFonts w:cs="Arial"/>
          <w:szCs w:val="22"/>
        </w:rPr>
        <w:t xml:space="preserve">– </w:t>
      </w:r>
      <w:r w:rsidRPr="00192DCB">
        <w:rPr>
          <w:rFonts w:cs="Arial"/>
          <w:b/>
          <w:bCs/>
          <w:color w:val="000000"/>
          <w:szCs w:val="22"/>
        </w:rPr>
        <w:t>PA</w:t>
      </w:r>
      <w:r w:rsidRPr="00192DCB">
        <w:rPr>
          <w:rFonts w:cs="Arial"/>
          <w:color w:val="000000"/>
          <w:szCs w:val="22"/>
        </w:rPr>
        <w:t>; A90</w:t>
      </w:r>
    </w:p>
    <w:p w14:paraId="55E1021F" w14:textId="77777777" w:rsidR="00E24E22" w:rsidRPr="00E24E22" w:rsidRDefault="00E24E22" w:rsidP="00E24E22">
      <w:pPr>
        <w:pStyle w:val="Heading2"/>
      </w:pPr>
      <w:r w:rsidRPr="00E24E22">
        <w:t>Updated MassHealth 90-day Initiative</w:t>
      </w:r>
    </w:p>
    <w:p w14:paraId="341B4B62" w14:textId="77777777" w:rsidR="00E24E22" w:rsidRPr="000F6A59" w:rsidRDefault="00E24E22" w:rsidP="00E24E22">
      <w:pPr>
        <w:rPr>
          <w:rFonts w:cs="Arial"/>
          <w:szCs w:val="22"/>
        </w:rPr>
      </w:pPr>
      <w:r w:rsidRPr="000F6A59">
        <w:rPr>
          <w:rFonts w:cs="Arial"/>
          <w:szCs w:val="22"/>
        </w:rPr>
        <w:t>The MassHealth 90-day Initiative has been updated to reflect recent changes to the MassHealth Drug List.</w:t>
      </w:r>
    </w:p>
    <w:p w14:paraId="1627CC91" w14:textId="77777777" w:rsidR="00E24E22" w:rsidRPr="000F6A59" w:rsidRDefault="00E24E22" w:rsidP="00E24E22">
      <w:pPr>
        <w:pStyle w:val="Default"/>
        <w:spacing w:line="276" w:lineRule="auto"/>
        <w:rPr>
          <w:rFonts w:ascii="Arial" w:hAnsi="Arial" w:cs="Arial"/>
          <w:sz w:val="22"/>
          <w:szCs w:val="22"/>
          <w:highlight w:val="yellow"/>
        </w:rPr>
      </w:pPr>
      <w:r w:rsidRPr="000F6A59">
        <w:rPr>
          <w:rFonts w:ascii="Arial" w:hAnsi="Arial" w:cs="Arial"/>
          <w:sz w:val="22"/>
          <w:szCs w:val="22"/>
        </w:rPr>
        <w:t xml:space="preserve">Effective October 1, 2025, the following agent may be allowed or mandated to be dispensed in up to a 90-day supply, as indicated below. </w:t>
      </w:r>
    </w:p>
    <w:p w14:paraId="0FDF819D" w14:textId="77777777" w:rsidR="00E24E22" w:rsidRPr="000F6A59" w:rsidRDefault="00E24E22" w:rsidP="00E24E22">
      <w:pPr>
        <w:pStyle w:val="ListParagraph"/>
        <w:numPr>
          <w:ilvl w:val="1"/>
          <w:numId w:val="32"/>
        </w:numPr>
        <w:spacing w:line="256" w:lineRule="auto"/>
        <w:ind w:firstLine="0"/>
        <w:contextualSpacing/>
        <w:rPr>
          <w:rFonts w:cs="Arial"/>
          <w:szCs w:val="22"/>
        </w:rPr>
      </w:pPr>
      <w:r w:rsidRPr="000F6A59">
        <w:rPr>
          <w:rFonts w:cs="Arial"/>
          <w:color w:val="000000"/>
          <w:szCs w:val="22"/>
        </w:rPr>
        <w:t>Arnuity (fluticasone furoate inhalation powder); A90</w:t>
      </w:r>
    </w:p>
    <w:p w14:paraId="0C7C1A96" w14:textId="77777777" w:rsidR="00E24E22" w:rsidRPr="000F6A59" w:rsidRDefault="00E24E22" w:rsidP="00E24E22">
      <w:pPr>
        <w:pStyle w:val="Default"/>
        <w:numPr>
          <w:ilvl w:val="0"/>
          <w:numId w:val="33"/>
        </w:numPr>
        <w:spacing w:line="276" w:lineRule="auto"/>
        <w:ind w:left="1080" w:firstLine="0"/>
        <w:rPr>
          <w:rFonts w:ascii="Arial" w:hAnsi="Arial" w:cs="Arial"/>
          <w:sz w:val="22"/>
          <w:szCs w:val="22"/>
        </w:rPr>
      </w:pPr>
      <w:r w:rsidRPr="000F6A59">
        <w:rPr>
          <w:rFonts w:ascii="Arial" w:hAnsi="Arial" w:cs="Arial"/>
          <w:sz w:val="22"/>
          <w:szCs w:val="22"/>
        </w:rPr>
        <w:t>Eprontia (topiramate solution) –</w:t>
      </w:r>
      <w:r w:rsidRPr="000F6A59">
        <w:rPr>
          <w:rFonts w:ascii="Arial" w:hAnsi="Arial" w:cs="Arial"/>
          <w:b/>
          <w:bCs/>
          <w:sz w:val="22"/>
          <w:szCs w:val="22"/>
        </w:rPr>
        <w:t xml:space="preserve"> PA</w:t>
      </w:r>
      <w:r w:rsidRPr="000F6A59">
        <w:rPr>
          <w:rFonts w:ascii="Arial" w:hAnsi="Arial" w:cs="Arial"/>
          <w:sz w:val="22"/>
          <w:szCs w:val="22"/>
        </w:rPr>
        <w:t>; A90</w:t>
      </w:r>
    </w:p>
    <w:p w14:paraId="1014A8F6" w14:textId="77777777" w:rsidR="00E24E22" w:rsidRPr="000F6A59" w:rsidRDefault="00E24E22" w:rsidP="00E24E22">
      <w:pPr>
        <w:pStyle w:val="Default"/>
        <w:numPr>
          <w:ilvl w:val="0"/>
          <w:numId w:val="33"/>
        </w:numPr>
        <w:spacing w:line="276" w:lineRule="auto"/>
        <w:ind w:left="1080" w:firstLine="0"/>
        <w:rPr>
          <w:rFonts w:ascii="Arial" w:hAnsi="Arial" w:cs="Arial"/>
          <w:sz w:val="22"/>
          <w:szCs w:val="22"/>
        </w:rPr>
      </w:pPr>
      <w:r w:rsidRPr="000F6A59">
        <w:rPr>
          <w:rFonts w:ascii="Arial" w:hAnsi="Arial" w:cs="Arial"/>
          <w:sz w:val="22"/>
          <w:szCs w:val="22"/>
        </w:rPr>
        <w:t xml:space="preserve">Xarelto (rivaroxaban suspension) – </w:t>
      </w:r>
      <w:r w:rsidRPr="000F6A59">
        <w:rPr>
          <w:rFonts w:ascii="Arial" w:hAnsi="Arial" w:cs="Arial"/>
          <w:b/>
          <w:bCs/>
          <w:sz w:val="22"/>
          <w:szCs w:val="22"/>
        </w:rPr>
        <w:t xml:space="preserve">PA </w:t>
      </w:r>
      <w:r w:rsidRPr="000F6A59">
        <w:rPr>
          <w:rFonts w:ascii="Arial" w:hAnsi="Arial" w:cs="Arial"/>
          <w:b/>
          <w:bCs/>
          <w:color w:val="auto"/>
          <w:sz w:val="22"/>
          <w:szCs w:val="22"/>
        </w:rPr>
        <w:t xml:space="preserve">≥ </w:t>
      </w:r>
      <w:r w:rsidRPr="000F6A59">
        <w:rPr>
          <w:rFonts w:ascii="Arial" w:hAnsi="Arial" w:cs="Arial"/>
          <w:b/>
          <w:bCs/>
          <w:sz w:val="22"/>
          <w:szCs w:val="22"/>
        </w:rPr>
        <w:t>18 years</w:t>
      </w:r>
      <w:r w:rsidRPr="000F6A59">
        <w:rPr>
          <w:rFonts w:ascii="Arial" w:hAnsi="Arial" w:cs="Arial"/>
          <w:sz w:val="22"/>
          <w:szCs w:val="22"/>
        </w:rPr>
        <w:t>; #, A90</w:t>
      </w:r>
    </w:p>
    <w:p w14:paraId="03A2AF40" w14:textId="77777777" w:rsidR="00E24E22" w:rsidRDefault="00E24E22" w:rsidP="00E24E22">
      <w:pPr>
        <w:pStyle w:val="Default"/>
        <w:numPr>
          <w:ilvl w:val="1"/>
          <w:numId w:val="32"/>
        </w:numPr>
        <w:spacing w:line="276" w:lineRule="auto"/>
        <w:ind w:firstLine="0"/>
        <w:rPr>
          <w:rFonts w:ascii="Arial" w:hAnsi="Arial" w:cs="Arial"/>
          <w:sz w:val="22"/>
          <w:szCs w:val="22"/>
        </w:rPr>
      </w:pPr>
      <w:r w:rsidRPr="000F6A59">
        <w:rPr>
          <w:rFonts w:ascii="Arial" w:hAnsi="Arial" w:cs="Arial"/>
          <w:sz w:val="22"/>
          <w:szCs w:val="22"/>
        </w:rPr>
        <w:t xml:space="preserve">Zituvimet XR (sitagliptin/metformin extended-release) – </w:t>
      </w:r>
      <w:r w:rsidRPr="000F6A59">
        <w:rPr>
          <w:rFonts w:ascii="Arial" w:hAnsi="Arial" w:cs="Arial"/>
          <w:b/>
          <w:bCs/>
          <w:sz w:val="22"/>
          <w:szCs w:val="22"/>
        </w:rPr>
        <w:t>PA</w:t>
      </w:r>
      <w:r w:rsidRPr="000F6A59">
        <w:rPr>
          <w:rFonts w:ascii="Arial" w:hAnsi="Arial" w:cs="Arial"/>
          <w:sz w:val="22"/>
          <w:szCs w:val="22"/>
        </w:rPr>
        <w:t>; M90</w:t>
      </w:r>
    </w:p>
    <w:p w14:paraId="43451928" w14:textId="671840BD" w:rsidR="00E24E22" w:rsidRDefault="00E24E22" w:rsidP="00E24E22">
      <w:pPr>
        <w:pStyle w:val="Heading2"/>
      </w:pPr>
      <w:r w:rsidRPr="00E24E22">
        <w:t xml:space="preserve">Abbreviations, Acronyms, and Symbols </w:t>
      </w:r>
    </w:p>
    <w:p w14:paraId="6077A1E5" w14:textId="6E5AD72A" w:rsidR="00E24E22" w:rsidRPr="006D72AD" w:rsidRDefault="00E24E22" w:rsidP="00BB1FDB">
      <w:pPr>
        <w:shd w:val="clear" w:color="auto" w:fill="FFFFFF"/>
        <w:tabs>
          <w:tab w:val="left" w:pos="180"/>
          <w:tab w:val="left" w:pos="360"/>
        </w:tabs>
        <w:spacing w:after="160" w:line="240" w:lineRule="auto"/>
        <w:ind w:left="274" w:hanging="360"/>
        <w:rPr>
          <w:sz w:val="18"/>
          <w:szCs w:val="18"/>
        </w:rPr>
      </w:pPr>
      <w:r w:rsidRPr="006D72AD">
        <w:rPr>
          <w:sz w:val="18"/>
          <w:szCs w:val="18"/>
        </w:rPr>
        <w:t># Designates a brand-name drug with FDA “A”-rated generic equivalents. Prior authorization is required for the brand, unless</w:t>
      </w:r>
      <w:r w:rsidR="007B76EB" w:rsidRPr="006D72AD">
        <w:rPr>
          <w:sz w:val="18"/>
          <w:szCs w:val="18"/>
        </w:rPr>
        <w:t xml:space="preserve"> </w:t>
      </w:r>
      <w:r w:rsidRPr="006D72AD">
        <w:rPr>
          <w:sz w:val="18"/>
          <w:szCs w:val="18"/>
        </w:rPr>
        <w:t>a</w:t>
      </w:r>
      <w:r w:rsidR="007B76EB" w:rsidRPr="006D72AD">
        <w:rPr>
          <w:sz w:val="18"/>
          <w:szCs w:val="18"/>
        </w:rPr>
        <w:t xml:space="preserve"> </w:t>
      </w:r>
      <w:r w:rsidRPr="006D72AD">
        <w:rPr>
          <w:sz w:val="18"/>
          <w:szCs w:val="18"/>
        </w:rPr>
        <w:t xml:space="preserve">particular form of that drug (for example, tablet, capsule, or liquid) does not have an FDA “A”-rated generic equivalent. </w:t>
      </w:r>
    </w:p>
    <w:p w14:paraId="75A11300" w14:textId="5B90FEDB"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CO Carve-Out. This agent is listed on the Acute Hospital Carve-Out Drugs List and is subject to additional monitoring and billing</w:t>
      </w:r>
      <w:r w:rsidR="00F955CA" w:rsidRPr="006D72AD">
        <w:rPr>
          <w:sz w:val="18"/>
          <w:szCs w:val="18"/>
        </w:rPr>
        <w:t xml:space="preserve">  </w:t>
      </w:r>
      <w:r w:rsidRPr="006D72AD">
        <w:rPr>
          <w:sz w:val="18"/>
          <w:szCs w:val="18"/>
        </w:rPr>
        <w:t>requirements. All requests for one-time cell and gene therapies (as listed on the Acute Hospital Carve-Out Drug List), including for members enrolled in an Accountable Care Partnership Plan (ACPP) or Managed Care Organization (MCO), will be reviewed by the MassHealth Drug Utilization Review (DUR) Program.</w:t>
      </w:r>
    </w:p>
    <w:p w14:paraId="3F62E2B5" w14:textId="77777777"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4A7B8722"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in order for the provider to receive reimbursement. Note: PA applies to both the brand-name and the FDA “A”-rated generic equivalent of listed product. </w:t>
      </w:r>
    </w:p>
    <w:p w14:paraId="7FFBFD56"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Dispensing in up to a 90-day supply is allowed. May not include all strengths or formulations. Quantity limits and other restrictions may apply. </w:t>
      </w:r>
    </w:p>
    <w:p w14:paraId="0132D238"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15B75921"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bookmarkStart w:id="8"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713969F9" w14:textId="1487C1B5" w:rsidR="00A650DC" w:rsidRPr="00F82CB3" w:rsidRDefault="00E24E22" w:rsidP="00F82CB3">
      <w:pPr>
        <w:spacing w:after="120" w:line="240" w:lineRule="auto"/>
        <w:ind w:left="270" w:hanging="360"/>
        <w:rPr>
          <w:rFonts w:cs="Arial"/>
          <w:szCs w:val="22"/>
        </w:rPr>
      </w:pPr>
      <w:r w:rsidRPr="006D72AD">
        <w:rPr>
          <w:rFonts w:eastAsia="Calibri" w:cs="Arial"/>
          <w:bCs/>
          <w:sz w:val="18"/>
          <w:szCs w:val="18"/>
        </w:rPr>
        <w:t>PD</w:t>
      </w:r>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8"/>
    </w:p>
    <w:sectPr w:rsidR="00A650DC" w:rsidRPr="00F82CB3" w:rsidSect="00F82CB3">
      <w:headerReference w:type="default" r:id="rId16"/>
      <w:footerReference w:type="default" r:id="rId17"/>
      <w:type w:val="continuous"/>
      <w:pgSz w:w="12240" w:h="15840" w:code="1"/>
      <w:pgMar w:top="360" w:right="907" w:bottom="446"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22B6" w14:textId="77777777" w:rsidR="00BF1867" w:rsidRDefault="00BF1867" w:rsidP="00492602">
      <w:r>
        <w:separator/>
      </w:r>
    </w:p>
  </w:endnote>
  <w:endnote w:type="continuationSeparator" w:id="0">
    <w:p w14:paraId="288CDB05" w14:textId="77777777" w:rsidR="00BF1867" w:rsidRDefault="00BF186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F3C6" w14:textId="77777777" w:rsidR="00393814" w:rsidRDefault="00393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7883" w14:textId="77777777" w:rsidR="00BF1867" w:rsidRDefault="00BF1867" w:rsidP="00492602">
      <w:r>
        <w:separator/>
      </w:r>
    </w:p>
  </w:footnote>
  <w:footnote w:type="continuationSeparator" w:id="0">
    <w:p w14:paraId="113CD885" w14:textId="77777777" w:rsidR="00BF1867" w:rsidRDefault="00BF186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B881" w14:textId="77777777" w:rsidR="00393814" w:rsidRDefault="00393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C10F" w14:textId="77777777" w:rsidR="00393814" w:rsidRDefault="003938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532C08B2" w:rsidR="00492602" w:rsidRDefault="00492602" w:rsidP="00BB1FDB">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9437DF" w:rsidRPr="009437DF">
      <w:rPr>
        <w:color w:val="auto"/>
        <w:sz w:val="18"/>
        <w:szCs w:val="18"/>
      </w:rPr>
      <w:t>256</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93814">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F4C"/>
    <w:multiLevelType w:val="hybridMultilevel"/>
    <w:tmpl w:val="3B302AA8"/>
    <w:lvl w:ilvl="0" w:tplc="6D74651E">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B62A8"/>
    <w:multiLevelType w:val="hybridMultilevel"/>
    <w:tmpl w:val="3A2AB1D2"/>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FF7A42"/>
    <w:multiLevelType w:val="hybridMultilevel"/>
    <w:tmpl w:val="C746601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8055241"/>
    <w:multiLevelType w:val="hybridMultilevel"/>
    <w:tmpl w:val="85CA3A9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5A50E45"/>
    <w:multiLevelType w:val="hybridMultilevel"/>
    <w:tmpl w:val="F5B6CC02"/>
    <w:lvl w:ilvl="0" w:tplc="0952DC44">
      <w:start w:val="1"/>
      <w:numFmt w:val="bullet"/>
      <w:lvlText w:val=""/>
      <w:lvlJc w:val="left"/>
      <w:pPr>
        <w:ind w:left="1080" w:hanging="360"/>
      </w:pPr>
      <w:rPr>
        <w:rFonts w:ascii="Symbol" w:hAnsi="Symbol" w:hint="default"/>
        <w:sz w:val="22"/>
        <w:szCs w:val="22"/>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56482787">
    <w:abstractNumId w:val="15"/>
  </w:num>
  <w:num w:numId="2" w16cid:durableId="678387703">
    <w:abstractNumId w:val="21"/>
  </w:num>
  <w:num w:numId="3" w16cid:durableId="171258805">
    <w:abstractNumId w:val="26"/>
  </w:num>
  <w:num w:numId="4" w16cid:durableId="933971704">
    <w:abstractNumId w:val="10"/>
  </w:num>
  <w:num w:numId="5" w16cid:durableId="1146894553">
    <w:abstractNumId w:val="14"/>
  </w:num>
  <w:num w:numId="6" w16cid:durableId="1099835229">
    <w:abstractNumId w:val="20"/>
  </w:num>
  <w:num w:numId="7" w16cid:durableId="1091773746">
    <w:abstractNumId w:val="27"/>
  </w:num>
  <w:num w:numId="8" w16cid:durableId="775977178">
    <w:abstractNumId w:val="3"/>
  </w:num>
  <w:num w:numId="9" w16cid:durableId="1192911353">
    <w:abstractNumId w:val="0"/>
  </w:num>
  <w:num w:numId="10" w16cid:durableId="1998994280">
    <w:abstractNumId w:val="24"/>
  </w:num>
  <w:num w:numId="11" w16cid:durableId="7752956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6"/>
  </w:num>
  <w:num w:numId="13" w16cid:durableId="489909912">
    <w:abstractNumId w:val="26"/>
  </w:num>
  <w:num w:numId="14" w16cid:durableId="12777144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20"/>
  </w:num>
  <w:num w:numId="16" w16cid:durableId="1632830456">
    <w:abstractNumId w:val="22"/>
  </w:num>
  <w:num w:numId="17" w16cid:durableId="1271858877">
    <w:abstractNumId w:val="2"/>
  </w:num>
  <w:num w:numId="18" w16cid:durableId="1285695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7"/>
  </w:num>
  <w:num w:numId="20" w16cid:durableId="155609916">
    <w:abstractNumId w:val="4"/>
  </w:num>
  <w:num w:numId="21" w16cid:durableId="749011242">
    <w:abstractNumId w:val="12"/>
  </w:num>
  <w:num w:numId="22" w16cid:durableId="2135520725">
    <w:abstractNumId w:val="28"/>
  </w:num>
  <w:num w:numId="23" w16cid:durableId="1269894124">
    <w:abstractNumId w:val="31"/>
  </w:num>
  <w:num w:numId="24" w16cid:durableId="1534229008">
    <w:abstractNumId w:val="19"/>
  </w:num>
  <w:num w:numId="25" w16cid:durableId="480999597">
    <w:abstractNumId w:val="25"/>
  </w:num>
  <w:num w:numId="26" w16cid:durableId="1484080441">
    <w:abstractNumId w:val="10"/>
    <w:lvlOverride w:ilvl="0">
      <w:startOverride w:val="1"/>
    </w:lvlOverride>
  </w:num>
  <w:num w:numId="27" w16cid:durableId="339738625">
    <w:abstractNumId w:val="10"/>
  </w:num>
  <w:num w:numId="28" w16cid:durableId="1054817669">
    <w:abstractNumId w:val="8"/>
  </w:num>
  <w:num w:numId="29" w16cid:durableId="1907379004">
    <w:abstractNumId w:val="30"/>
  </w:num>
  <w:num w:numId="30" w16cid:durableId="2355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31076">
    <w:abstractNumId w:val="29"/>
  </w:num>
  <w:num w:numId="32" w16cid:durableId="66678507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066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386787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670849">
    <w:abstractNumId w:val="5"/>
  </w:num>
  <w:num w:numId="36" w16cid:durableId="178122067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274678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66273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86F28"/>
    <w:rsid w:val="001A125B"/>
    <w:rsid w:val="001C1481"/>
    <w:rsid w:val="001D3436"/>
    <w:rsid w:val="001E779F"/>
    <w:rsid w:val="001F6F0B"/>
    <w:rsid w:val="002005A5"/>
    <w:rsid w:val="0021214A"/>
    <w:rsid w:val="00212477"/>
    <w:rsid w:val="00212622"/>
    <w:rsid w:val="002275AE"/>
    <w:rsid w:val="002509E9"/>
    <w:rsid w:val="00267FBD"/>
    <w:rsid w:val="00274F3E"/>
    <w:rsid w:val="00276F3A"/>
    <w:rsid w:val="00286CBE"/>
    <w:rsid w:val="00290C8D"/>
    <w:rsid w:val="00291397"/>
    <w:rsid w:val="002C7C67"/>
    <w:rsid w:val="002D390F"/>
    <w:rsid w:val="002D738C"/>
    <w:rsid w:val="002E2F9E"/>
    <w:rsid w:val="002F459B"/>
    <w:rsid w:val="003152DA"/>
    <w:rsid w:val="003240F1"/>
    <w:rsid w:val="0033053B"/>
    <w:rsid w:val="00351497"/>
    <w:rsid w:val="00360067"/>
    <w:rsid w:val="00361733"/>
    <w:rsid w:val="0036343A"/>
    <w:rsid w:val="00372195"/>
    <w:rsid w:val="0037373E"/>
    <w:rsid w:val="00375713"/>
    <w:rsid w:val="00380F7C"/>
    <w:rsid w:val="00382054"/>
    <w:rsid w:val="003911FC"/>
    <w:rsid w:val="00393814"/>
    <w:rsid w:val="003B6839"/>
    <w:rsid w:val="003C45A1"/>
    <w:rsid w:val="003D3B27"/>
    <w:rsid w:val="003F533B"/>
    <w:rsid w:val="004233B0"/>
    <w:rsid w:val="00447A5F"/>
    <w:rsid w:val="004555D9"/>
    <w:rsid w:val="00456B5A"/>
    <w:rsid w:val="00457528"/>
    <w:rsid w:val="004664D3"/>
    <w:rsid w:val="00482DDE"/>
    <w:rsid w:val="00492602"/>
    <w:rsid w:val="0049423D"/>
    <w:rsid w:val="00494D38"/>
    <w:rsid w:val="004A3BAA"/>
    <w:rsid w:val="004A6C4D"/>
    <w:rsid w:val="004A7395"/>
    <w:rsid w:val="004C1DAD"/>
    <w:rsid w:val="004D1BC7"/>
    <w:rsid w:val="004D20D7"/>
    <w:rsid w:val="004D79B2"/>
    <w:rsid w:val="004F249B"/>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77AD7"/>
    <w:rsid w:val="00581E50"/>
    <w:rsid w:val="005835F0"/>
    <w:rsid w:val="005842A0"/>
    <w:rsid w:val="005958DD"/>
    <w:rsid w:val="005A2859"/>
    <w:rsid w:val="005A57BA"/>
    <w:rsid w:val="005B15B3"/>
    <w:rsid w:val="005C1528"/>
    <w:rsid w:val="005D723D"/>
    <w:rsid w:val="005E3688"/>
    <w:rsid w:val="005E48BC"/>
    <w:rsid w:val="005F2371"/>
    <w:rsid w:val="005F40D5"/>
    <w:rsid w:val="00623469"/>
    <w:rsid w:val="00634C49"/>
    <w:rsid w:val="00637A67"/>
    <w:rsid w:val="006425F0"/>
    <w:rsid w:val="00644AAF"/>
    <w:rsid w:val="00650095"/>
    <w:rsid w:val="00651CA7"/>
    <w:rsid w:val="00656A01"/>
    <w:rsid w:val="00657D21"/>
    <w:rsid w:val="006615EC"/>
    <w:rsid w:val="00673F96"/>
    <w:rsid w:val="00674418"/>
    <w:rsid w:val="00674428"/>
    <w:rsid w:val="006753A6"/>
    <w:rsid w:val="00677EE7"/>
    <w:rsid w:val="00686C26"/>
    <w:rsid w:val="00690023"/>
    <w:rsid w:val="00696F48"/>
    <w:rsid w:val="0069772F"/>
    <w:rsid w:val="006A1AD3"/>
    <w:rsid w:val="006A767B"/>
    <w:rsid w:val="006A7D28"/>
    <w:rsid w:val="006D3B5F"/>
    <w:rsid w:val="006D72AD"/>
    <w:rsid w:val="006E0C20"/>
    <w:rsid w:val="006E22A3"/>
    <w:rsid w:val="006F35F9"/>
    <w:rsid w:val="007319D7"/>
    <w:rsid w:val="00731FAF"/>
    <w:rsid w:val="00736BFB"/>
    <w:rsid w:val="007426BF"/>
    <w:rsid w:val="00756348"/>
    <w:rsid w:val="00760FDF"/>
    <w:rsid w:val="00763358"/>
    <w:rsid w:val="007757E7"/>
    <w:rsid w:val="00781D3B"/>
    <w:rsid w:val="007A038A"/>
    <w:rsid w:val="007A41F5"/>
    <w:rsid w:val="007B2D5C"/>
    <w:rsid w:val="007B2F2D"/>
    <w:rsid w:val="007B33B4"/>
    <w:rsid w:val="007B4429"/>
    <w:rsid w:val="007B7425"/>
    <w:rsid w:val="007B76EB"/>
    <w:rsid w:val="007F5417"/>
    <w:rsid w:val="00804116"/>
    <w:rsid w:val="00812480"/>
    <w:rsid w:val="00816C8D"/>
    <w:rsid w:val="00816CE2"/>
    <w:rsid w:val="00821937"/>
    <w:rsid w:val="008340D0"/>
    <w:rsid w:val="008403CA"/>
    <w:rsid w:val="008474A5"/>
    <w:rsid w:val="0085395A"/>
    <w:rsid w:val="00853F8E"/>
    <w:rsid w:val="0086142C"/>
    <w:rsid w:val="00863B44"/>
    <w:rsid w:val="00870F52"/>
    <w:rsid w:val="00872E7F"/>
    <w:rsid w:val="00880FA9"/>
    <w:rsid w:val="008930F1"/>
    <w:rsid w:val="00893F45"/>
    <w:rsid w:val="008A650C"/>
    <w:rsid w:val="008B3C1B"/>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437DF"/>
    <w:rsid w:val="00956812"/>
    <w:rsid w:val="0095770E"/>
    <w:rsid w:val="009725E5"/>
    <w:rsid w:val="00974CFD"/>
    <w:rsid w:val="0097559E"/>
    <w:rsid w:val="00977BC2"/>
    <w:rsid w:val="00981567"/>
    <w:rsid w:val="00982F9F"/>
    <w:rsid w:val="009C0B43"/>
    <w:rsid w:val="009C3981"/>
    <w:rsid w:val="009D1341"/>
    <w:rsid w:val="009D1846"/>
    <w:rsid w:val="009D6D73"/>
    <w:rsid w:val="009D79C6"/>
    <w:rsid w:val="009F0440"/>
    <w:rsid w:val="009F0526"/>
    <w:rsid w:val="00A01DE3"/>
    <w:rsid w:val="00A06542"/>
    <w:rsid w:val="00A11371"/>
    <w:rsid w:val="00A120E1"/>
    <w:rsid w:val="00A2577C"/>
    <w:rsid w:val="00A31FAA"/>
    <w:rsid w:val="00A343A9"/>
    <w:rsid w:val="00A5239C"/>
    <w:rsid w:val="00A571F6"/>
    <w:rsid w:val="00A650DC"/>
    <w:rsid w:val="00A6764A"/>
    <w:rsid w:val="00A84255"/>
    <w:rsid w:val="00A853D9"/>
    <w:rsid w:val="00AB08DB"/>
    <w:rsid w:val="00AC1AC7"/>
    <w:rsid w:val="00AD18B8"/>
    <w:rsid w:val="00AD33D5"/>
    <w:rsid w:val="00AE21FC"/>
    <w:rsid w:val="00B01BAA"/>
    <w:rsid w:val="00B032A8"/>
    <w:rsid w:val="00B05470"/>
    <w:rsid w:val="00B07BD7"/>
    <w:rsid w:val="00B10600"/>
    <w:rsid w:val="00B13AA5"/>
    <w:rsid w:val="00B3099B"/>
    <w:rsid w:val="00B40A71"/>
    <w:rsid w:val="00B45236"/>
    <w:rsid w:val="00B503C7"/>
    <w:rsid w:val="00B54AB5"/>
    <w:rsid w:val="00B6176E"/>
    <w:rsid w:val="00B645C9"/>
    <w:rsid w:val="00B86F04"/>
    <w:rsid w:val="00B92C96"/>
    <w:rsid w:val="00BA64D7"/>
    <w:rsid w:val="00BA68F0"/>
    <w:rsid w:val="00BB1FDB"/>
    <w:rsid w:val="00BD08CA"/>
    <w:rsid w:val="00BE0808"/>
    <w:rsid w:val="00BF0DF4"/>
    <w:rsid w:val="00BF1867"/>
    <w:rsid w:val="00C00CF2"/>
    <w:rsid w:val="00C07C16"/>
    <w:rsid w:val="00C15672"/>
    <w:rsid w:val="00C21680"/>
    <w:rsid w:val="00C24879"/>
    <w:rsid w:val="00C24EF5"/>
    <w:rsid w:val="00C304E6"/>
    <w:rsid w:val="00C31421"/>
    <w:rsid w:val="00C33753"/>
    <w:rsid w:val="00C35B94"/>
    <w:rsid w:val="00C559C9"/>
    <w:rsid w:val="00C82FA4"/>
    <w:rsid w:val="00CA0669"/>
    <w:rsid w:val="00CA1E7C"/>
    <w:rsid w:val="00CA6DE2"/>
    <w:rsid w:val="00CB0030"/>
    <w:rsid w:val="00CB7521"/>
    <w:rsid w:val="00CC3DC3"/>
    <w:rsid w:val="00CC57AC"/>
    <w:rsid w:val="00CC776C"/>
    <w:rsid w:val="00CD2047"/>
    <w:rsid w:val="00CD6D68"/>
    <w:rsid w:val="00CF2057"/>
    <w:rsid w:val="00D0584B"/>
    <w:rsid w:val="00D16BAA"/>
    <w:rsid w:val="00D2695E"/>
    <w:rsid w:val="00D450C8"/>
    <w:rsid w:val="00D521FA"/>
    <w:rsid w:val="00D56B8E"/>
    <w:rsid w:val="00D66801"/>
    <w:rsid w:val="00D764EB"/>
    <w:rsid w:val="00D779F2"/>
    <w:rsid w:val="00D81121"/>
    <w:rsid w:val="00D939D0"/>
    <w:rsid w:val="00DA0D31"/>
    <w:rsid w:val="00DA6071"/>
    <w:rsid w:val="00DA6A55"/>
    <w:rsid w:val="00DB423E"/>
    <w:rsid w:val="00DF73DB"/>
    <w:rsid w:val="00E06F7D"/>
    <w:rsid w:val="00E15923"/>
    <w:rsid w:val="00E24139"/>
    <w:rsid w:val="00E24E22"/>
    <w:rsid w:val="00E3616D"/>
    <w:rsid w:val="00E50862"/>
    <w:rsid w:val="00E60ABB"/>
    <w:rsid w:val="00E62D91"/>
    <w:rsid w:val="00E67611"/>
    <w:rsid w:val="00E67713"/>
    <w:rsid w:val="00E72DFF"/>
    <w:rsid w:val="00E92E47"/>
    <w:rsid w:val="00E9576D"/>
    <w:rsid w:val="00EA235F"/>
    <w:rsid w:val="00EC08AC"/>
    <w:rsid w:val="00EC1948"/>
    <w:rsid w:val="00ED4639"/>
    <w:rsid w:val="00EE54D2"/>
    <w:rsid w:val="00EF7C8A"/>
    <w:rsid w:val="00F2514F"/>
    <w:rsid w:val="00F25E7F"/>
    <w:rsid w:val="00F274DE"/>
    <w:rsid w:val="00F6038A"/>
    <w:rsid w:val="00F643E6"/>
    <w:rsid w:val="00F73811"/>
    <w:rsid w:val="00F76D69"/>
    <w:rsid w:val="00F82CB3"/>
    <w:rsid w:val="00F9012C"/>
    <w:rsid w:val="00F9097E"/>
    <w:rsid w:val="00F93C6C"/>
    <w:rsid w:val="00F955CA"/>
    <w:rsid w:val="00FA5147"/>
    <w:rsid w:val="00FB0C11"/>
    <w:rsid w:val="00FB5301"/>
    <w:rsid w:val="00FD4894"/>
    <w:rsid w:val="00FD7351"/>
    <w:rsid w:val="00FE5811"/>
    <w:rsid w:val="00FE6B9E"/>
    <w:rsid w:val="00FF0433"/>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Title">
    <w:name w:val="Title"/>
    <w:basedOn w:val="Heading1"/>
    <w:next w:val="Normal"/>
    <w:link w:val="TitleChar"/>
    <w:qFormat/>
    <w:rsid w:val="00E24E22"/>
    <w:pPr>
      <w:keepNext w:val="0"/>
      <w:keepLines w:val="0"/>
      <w:tabs>
        <w:tab w:val="clear" w:pos="4680"/>
        <w:tab w:val="clear" w:pos="9360"/>
      </w:tabs>
      <w:autoSpaceDE w:val="0"/>
      <w:autoSpaceDN w:val="0"/>
      <w:adjustRightInd w:val="0"/>
      <w:spacing w:before="0" w:after="80" w:line="288" w:lineRule="auto"/>
      <w:textAlignment w:val="baseline"/>
    </w:pPr>
    <w:rPr>
      <w:rFonts w:eastAsia="Times New Roman" w:cs="Arial"/>
      <w:b/>
      <w:bCs/>
      <w:szCs w:val="28"/>
    </w:rPr>
  </w:style>
  <w:style w:type="character" w:customStyle="1" w:styleId="TitleChar">
    <w:name w:val="Title Char"/>
    <w:basedOn w:val="DefaultParagraphFont"/>
    <w:link w:val="Title"/>
    <w:rsid w:val="00E24E22"/>
    <w:rPr>
      <w:rFonts w:ascii="Arial Black" w:hAnsi="Arial Black" w:cs="Arial"/>
      <w:b/>
      <w:bCs/>
      <w:sz w:val="28"/>
      <w:szCs w:val="28"/>
    </w:rPr>
  </w:style>
  <w:style w:type="character" w:styleId="UnresolvedMention">
    <w:name w:val="Unresolved Mention"/>
    <w:basedOn w:val="DefaultParagraphFont"/>
    <w:uiPriority w:val="99"/>
    <w:semiHidden/>
    <w:unhideWhenUsed/>
    <w:rsid w:val="00E24E22"/>
    <w:rPr>
      <w:color w:val="605E5C"/>
      <w:shd w:val="clear" w:color="auto" w:fill="E1DFDD"/>
    </w:rPr>
  </w:style>
  <w:style w:type="paragraph" w:styleId="Revision">
    <w:name w:val="Revision"/>
    <w:hidden/>
    <w:uiPriority w:val="99"/>
    <w:semiHidden/>
    <w:rsid w:val="00E24E22"/>
    <w:rPr>
      <w:rFonts w:ascii="Arial" w:hAnsi="Arial"/>
      <w:sz w:val="22"/>
      <w:szCs w:val="24"/>
    </w:rPr>
  </w:style>
  <w:style w:type="character" w:styleId="CommentReference">
    <w:name w:val="annotation reference"/>
    <w:basedOn w:val="DefaultParagraphFont"/>
    <w:semiHidden/>
    <w:unhideWhenUsed/>
    <w:rsid w:val="00E24E22"/>
    <w:rPr>
      <w:sz w:val="16"/>
      <w:szCs w:val="16"/>
    </w:rPr>
  </w:style>
  <w:style w:type="paragraph" w:styleId="CommentText">
    <w:name w:val="annotation text"/>
    <w:basedOn w:val="Normal"/>
    <w:link w:val="CommentTextChar"/>
    <w:unhideWhenUsed/>
    <w:rsid w:val="00E24E22"/>
    <w:pPr>
      <w:spacing w:line="240" w:lineRule="auto"/>
    </w:pPr>
    <w:rPr>
      <w:sz w:val="20"/>
      <w:szCs w:val="20"/>
    </w:rPr>
  </w:style>
  <w:style w:type="character" w:customStyle="1" w:styleId="CommentTextChar">
    <w:name w:val="Comment Text Char"/>
    <w:basedOn w:val="DefaultParagraphFont"/>
    <w:link w:val="CommentText"/>
    <w:rsid w:val="00E24E22"/>
    <w:rPr>
      <w:rFonts w:ascii="Arial" w:hAnsi="Arial"/>
    </w:rPr>
  </w:style>
  <w:style w:type="paragraph" w:styleId="CommentSubject">
    <w:name w:val="annotation subject"/>
    <w:basedOn w:val="CommentText"/>
    <w:next w:val="CommentText"/>
    <w:link w:val="CommentSubjectChar"/>
    <w:semiHidden/>
    <w:unhideWhenUsed/>
    <w:rsid w:val="00E24E22"/>
    <w:rPr>
      <w:b/>
      <w:bCs/>
    </w:rPr>
  </w:style>
  <w:style w:type="character" w:customStyle="1" w:styleId="CommentSubjectChar">
    <w:name w:val="Comment Subject Char"/>
    <w:basedOn w:val="CommentTextChar"/>
    <w:link w:val="CommentSubject"/>
    <w:semiHidden/>
    <w:rsid w:val="00E24E22"/>
    <w:rPr>
      <w:rFonts w:ascii="Arial" w:hAnsi="Arial"/>
      <w:b/>
      <w:bCs/>
    </w:rPr>
  </w:style>
  <w:style w:type="character" w:styleId="FollowedHyperlink">
    <w:name w:val="FollowedHyperlink"/>
    <w:basedOn w:val="DefaultParagraphFont"/>
    <w:semiHidden/>
    <w:unhideWhenUsed/>
    <w:rsid w:val="005F4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hdl.pharmacy.services.conduent.com/MHDL/pubdruglist.do?category=MassHealth+Drug+List+A+-+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6427</Characters>
  <Application>Microsoft Office Word</Application>
  <DocSecurity>0</DocSecurity>
  <Lines>136</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2025-10-01T13:48:00Z</dcterms:created>
  <dcterms:modified xsi:type="dcterms:W3CDTF">2025-10-01T13:49:00Z</dcterms:modified>
</cp:coreProperties>
</file>