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D226" w14:textId="77777777" w:rsidR="00AC6D20" w:rsidRDefault="00AC6D20" w:rsidP="00AC6D20">
      <w:pPr>
        <w:pStyle w:val="Noparagraphstyle"/>
        <w:tabs>
          <w:tab w:val="left" w:pos="4350"/>
        </w:tabs>
        <w:rPr>
          <w:rFonts w:ascii="Arial Narrow" w:hAnsi="Arial Narrow"/>
          <w:b/>
          <w:sz w:val="20"/>
          <w:szCs w:val="20"/>
        </w:rPr>
      </w:pPr>
    </w:p>
    <w:p w14:paraId="25AC92D3" w14:textId="117A6BD6" w:rsidR="00074716" w:rsidRDefault="000A622F" w:rsidP="00AC6D20">
      <w:pPr>
        <w:pStyle w:val="Noparagraphstyle"/>
        <w:tabs>
          <w:tab w:val="left" w:pos="4350"/>
        </w:tabs>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06A272D9">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18394E" w:rsidRPr="0018394E">
        <w:rPr>
          <w:rFonts w:ascii="Arial Narrow" w:hAnsi="Arial Narrow"/>
          <w:b/>
          <w:color w:val="auto"/>
          <w:sz w:val="20"/>
          <w:szCs w:val="20"/>
        </w:rPr>
        <w:t>25</w:t>
      </w:r>
      <w:r w:rsidR="00613998">
        <w:rPr>
          <w:rFonts w:ascii="Arial Narrow" w:hAnsi="Arial Narrow"/>
          <w:b/>
          <w:color w:val="auto"/>
          <w:sz w:val="20"/>
          <w:szCs w:val="20"/>
        </w:rPr>
        <w:t>8</w:t>
      </w:r>
      <w:r w:rsidR="0018394E" w:rsidRPr="0018394E">
        <w:rPr>
          <w:rFonts w:ascii="Arial Narrow" w:hAnsi="Arial Narrow"/>
          <w:b/>
          <w:color w:val="auto"/>
          <w:sz w:val="20"/>
          <w:szCs w:val="20"/>
        </w:rPr>
        <w:t xml:space="preserve">, October </w:t>
      </w:r>
      <w:r w:rsidR="00613998">
        <w:rPr>
          <w:rFonts w:ascii="Arial Narrow" w:hAnsi="Arial Narrow"/>
          <w:b/>
          <w:color w:val="auto"/>
          <w:sz w:val="20"/>
          <w:szCs w:val="20"/>
        </w:rPr>
        <w:t>2</w:t>
      </w:r>
      <w:r w:rsidR="00457BE6">
        <w:rPr>
          <w:rFonts w:ascii="Arial Narrow" w:hAnsi="Arial Narrow"/>
          <w:b/>
          <w:color w:val="auto"/>
          <w:sz w:val="20"/>
          <w:szCs w:val="20"/>
        </w:rPr>
        <w:t>1</w:t>
      </w:r>
      <w:r w:rsidR="0018394E" w:rsidRPr="0018394E">
        <w:rPr>
          <w:rFonts w:ascii="Arial Narrow" w:hAnsi="Arial Narrow"/>
          <w:b/>
          <w:color w:val="auto"/>
          <w:sz w:val="20"/>
          <w:szCs w:val="20"/>
        </w:rPr>
        <w:t>, 2025</w:t>
      </w:r>
      <w:r w:rsidR="00AC6D20">
        <w:rPr>
          <w:rFonts w:ascii="Arial Narrow" w:hAnsi="Arial Narrow"/>
          <w:b/>
          <w:color w:val="auto"/>
          <w:sz w:val="20"/>
          <w:szCs w:val="20"/>
        </w:rPr>
        <w:tab/>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AC6D20">
          <w:footerReference w:type="default" r:id="rId9"/>
          <w:footerReference w:type="first" r:id="rId10"/>
          <w:pgSz w:w="12240" w:h="15840" w:code="1"/>
          <w:pgMar w:top="360" w:right="907" w:bottom="446" w:left="907" w:header="432" w:footer="288" w:gutter="0"/>
          <w:cols w:space="720"/>
          <w:docGrid w:linePitch="360"/>
        </w:sectPr>
      </w:pPr>
    </w:p>
    <w:p w14:paraId="7DA91BA1" w14:textId="1054B332" w:rsidR="00CD6D68" w:rsidRPr="00B05470" w:rsidRDefault="00D21159" w:rsidP="00C72B6F">
      <w:pPr>
        <w:pStyle w:val="Heading1"/>
        <w:spacing w:after="120"/>
        <w:rPr>
          <w:szCs w:val="28"/>
        </w:rPr>
      </w:pPr>
      <w:r>
        <w:rPr>
          <w:szCs w:val="28"/>
        </w:rPr>
        <w:t>Upcoming Changes to the Health Safety Net Formulary – Effective January 12, 2026</w:t>
      </w:r>
    </w:p>
    <w:p w14:paraId="35E068AC" w14:textId="77777777"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The Health Safety Net (HSN) is changing the management of the HSN formulary, effective January 12, 2026. Historically, reimbursable HSN pharmacy services have largely matched the MassHealth formulary. </w:t>
      </w:r>
    </w:p>
    <w:p w14:paraId="0FE1BEE4" w14:textId="77777777" w:rsidR="009F1995" w:rsidRPr="009F1995" w:rsidRDefault="009F1995" w:rsidP="009F1995">
      <w:pPr>
        <w:rPr>
          <w:rFonts w:ascii="Times New Roman" w:hAnsi="Times New Roman"/>
          <w:b/>
          <w:bCs/>
          <w:sz w:val="24"/>
        </w:rPr>
      </w:pPr>
      <w:r w:rsidRPr="009F1995">
        <w:rPr>
          <w:rFonts w:eastAsia="Arial"/>
          <w:b/>
          <w:bCs/>
        </w:rPr>
        <w:t xml:space="preserve">The following key changes are effective January 12, 2026: </w:t>
      </w:r>
    </w:p>
    <w:tbl>
      <w:tblPr>
        <w:tblStyle w:val="TableGrid"/>
        <w:tblW w:w="0" w:type="auto"/>
        <w:tblLayout w:type="fixed"/>
        <w:tblLook w:val="04A0" w:firstRow="1" w:lastRow="0" w:firstColumn="1" w:lastColumn="0" w:noHBand="0" w:noVBand="1"/>
      </w:tblPr>
      <w:tblGrid>
        <w:gridCol w:w="6345"/>
        <w:gridCol w:w="4000"/>
      </w:tblGrid>
      <w:tr w:rsidR="009F1995" w:rsidRPr="009F1995" w14:paraId="2A8DB588" w14:textId="77777777" w:rsidTr="00882CD0">
        <w:trPr>
          <w:trHeight w:val="300"/>
        </w:trPr>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64F10A" w14:textId="77777777" w:rsidR="009F1995" w:rsidRPr="009F1995" w:rsidRDefault="009F1995" w:rsidP="009F1995">
            <w:pPr>
              <w:spacing w:line="264" w:lineRule="auto"/>
              <w:rPr>
                <w:rFonts w:eastAsia="Arial" w:cs="Arial"/>
                <w:color w:val="000000" w:themeColor="text1"/>
                <w:szCs w:val="22"/>
              </w:rPr>
            </w:pPr>
            <w:r w:rsidRPr="009F1995">
              <w:rPr>
                <w:rFonts w:eastAsia="Arial" w:cs="Arial"/>
                <w:color w:val="000000" w:themeColor="text1"/>
                <w:szCs w:val="22"/>
              </w:rPr>
              <w:t xml:space="preserve">Generally reimbursable </w:t>
            </w:r>
            <w:r w:rsidRPr="009F1995">
              <w:rPr>
                <w:rFonts w:eastAsia="Arial" w:cs="Arial"/>
                <w:b/>
                <w:bCs/>
                <w:color w:val="000000" w:themeColor="text1"/>
                <w:szCs w:val="22"/>
              </w:rPr>
              <w:t>without prior authorization (PA):</w:t>
            </w:r>
            <w:r w:rsidRPr="009F1995">
              <w:rPr>
                <w:rFonts w:eastAsia="Arial" w:cs="Arial"/>
                <w:color w:val="000000" w:themeColor="text1"/>
                <w:szCs w:val="22"/>
              </w:rPr>
              <w:t xml:space="preserve"> </w:t>
            </w:r>
          </w:p>
        </w:tc>
        <w:tc>
          <w:tcPr>
            <w:tcW w:w="4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5800005" w14:textId="77777777" w:rsidR="009F1995" w:rsidRPr="009F1995" w:rsidRDefault="009F1995" w:rsidP="009F1995">
            <w:pPr>
              <w:spacing w:line="264" w:lineRule="auto"/>
              <w:rPr>
                <w:rFonts w:eastAsia="Arial" w:cs="Arial"/>
                <w:color w:val="000000" w:themeColor="text1"/>
                <w:szCs w:val="22"/>
              </w:rPr>
            </w:pPr>
            <w:r w:rsidRPr="009F1995">
              <w:rPr>
                <w:rFonts w:eastAsia="Arial" w:cs="Arial"/>
                <w:color w:val="000000" w:themeColor="text1"/>
                <w:szCs w:val="22"/>
              </w:rPr>
              <w:t xml:space="preserve">Generally reimbursable </w:t>
            </w:r>
            <w:r w:rsidRPr="009F1995">
              <w:rPr>
                <w:rFonts w:eastAsia="Arial" w:cs="Arial"/>
                <w:b/>
                <w:bCs/>
                <w:color w:val="000000" w:themeColor="text1"/>
                <w:szCs w:val="22"/>
              </w:rPr>
              <w:t>with PA:</w:t>
            </w:r>
            <w:r w:rsidRPr="009F1995">
              <w:rPr>
                <w:rFonts w:eastAsia="Arial" w:cs="Arial"/>
                <w:color w:val="000000" w:themeColor="text1"/>
                <w:szCs w:val="22"/>
              </w:rPr>
              <w:t xml:space="preserve"> </w:t>
            </w:r>
          </w:p>
        </w:tc>
      </w:tr>
      <w:tr w:rsidR="009F1995" w:rsidRPr="009F1995" w14:paraId="641B3C8F" w14:textId="77777777" w:rsidTr="00882CD0">
        <w:trPr>
          <w:trHeight w:val="2100"/>
        </w:trPr>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9E399"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Generic medications (including unbranded biosimilars) </w:t>
            </w:r>
          </w:p>
          <w:p w14:paraId="741D191B"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Select brand medications on the MassHealth brand-over generic list (BOGL)</w:t>
            </w:r>
          </w:p>
          <w:p w14:paraId="1B590750"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Select non-drug products (i.e., alcohol swabs, ketone test strips, lancets, pen needles, syringes, urine glucose test strips) </w:t>
            </w:r>
          </w:p>
          <w:p w14:paraId="417A4E1F"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Preferred test strips within quantity limits </w:t>
            </w:r>
          </w:p>
          <w:p w14:paraId="0C13CEBC"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Vaccines</w:t>
            </w:r>
          </w:p>
        </w:tc>
        <w:tc>
          <w:tcPr>
            <w:tcW w:w="4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EC31B"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 xml:space="preserve">Preferred non-drug products (e.g., continuous glucose monitors, continuous subcutaneous insulin infusion devices) </w:t>
            </w:r>
          </w:p>
          <w:p w14:paraId="58BFE795"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Brand medications not listed on the MassHealth BOGL</w:t>
            </w:r>
          </w:p>
          <w:p w14:paraId="552413DF"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Other medications when clinically necessary</w:t>
            </w:r>
          </w:p>
        </w:tc>
      </w:tr>
    </w:tbl>
    <w:p w14:paraId="24FC3624" w14:textId="2D395FC2" w:rsidR="00C72B6F" w:rsidRPr="00C72B6F" w:rsidRDefault="00C72B6F" w:rsidP="00C72B6F">
      <w:pPr>
        <w:pStyle w:val="Default"/>
        <w:spacing w:after="120"/>
        <w:rPr>
          <w:rFonts w:ascii="Arial" w:hAnsi="Arial" w:cs="Arial"/>
          <w:color w:val="auto"/>
          <w:sz w:val="22"/>
          <w:szCs w:val="22"/>
        </w:rPr>
      </w:pPr>
    </w:p>
    <w:p w14:paraId="2AB5B9E7" w14:textId="069E99FC" w:rsidR="00C72B6F" w:rsidRPr="003C1824" w:rsidRDefault="00C72B6F" w:rsidP="00C72B6F">
      <w:pPr>
        <w:pStyle w:val="Default"/>
        <w:spacing w:after="120"/>
        <w:rPr>
          <w:rFonts w:ascii="Arial" w:hAnsi="Arial" w:cs="Arial"/>
          <w:b/>
          <w:bCs/>
          <w:color w:val="auto"/>
          <w:sz w:val="22"/>
          <w:szCs w:val="22"/>
        </w:rPr>
      </w:pPr>
      <w:r w:rsidRPr="003C1824">
        <w:rPr>
          <w:rFonts w:ascii="Arial" w:hAnsi="Arial" w:cs="Arial"/>
          <w:b/>
          <w:bCs/>
          <w:color w:val="auto"/>
          <w:sz w:val="22"/>
          <w:szCs w:val="22"/>
        </w:rPr>
        <w:t xml:space="preserve">Effective January 12, 2026, PA will be required for most brand medications and all preferred non-drug products (see table above). All currently approved PAs will be terminated effective January 12, 2026. </w:t>
      </w:r>
    </w:p>
    <w:p w14:paraId="3E10BA46" w14:textId="6AF1F01D"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Please note that </w:t>
      </w:r>
      <w:r w:rsidRPr="003C1824">
        <w:rPr>
          <w:rFonts w:ascii="Arial" w:hAnsi="Arial" w:cs="Arial"/>
          <w:b/>
          <w:bCs/>
          <w:color w:val="auto"/>
          <w:sz w:val="22"/>
          <w:szCs w:val="22"/>
        </w:rPr>
        <w:t>HSN is not insurance</w:t>
      </w:r>
      <w:r w:rsidRPr="00C72B6F">
        <w:rPr>
          <w:rFonts w:ascii="Arial" w:hAnsi="Arial" w:cs="Arial"/>
          <w:color w:val="auto"/>
          <w:sz w:val="22"/>
          <w:szCs w:val="22"/>
        </w:rPr>
        <w:t xml:space="preserve">. Uninsured or underinsured HSN patients may be eligible to receive brand medications through manufacturer patient assistance programs, if available. Please see the </w:t>
      </w:r>
      <w:hyperlink r:id="rId11" w:history="1">
        <w:r w:rsidRPr="00BC0898">
          <w:rPr>
            <w:rStyle w:val="Hyperlink"/>
            <w:rFonts w:ascii="Arial" w:hAnsi="Arial" w:cs="Arial"/>
            <w:sz w:val="22"/>
            <w:szCs w:val="22"/>
          </w:rPr>
          <w:t>MassHealth Drug List</w:t>
        </w:r>
      </w:hyperlink>
      <w:r w:rsidRPr="00C72B6F">
        <w:rPr>
          <w:rFonts w:ascii="Arial" w:hAnsi="Arial" w:cs="Arial"/>
          <w:color w:val="auto"/>
          <w:sz w:val="22"/>
          <w:szCs w:val="22"/>
        </w:rPr>
        <w:t xml:space="preserve"> </w:t>
      </w:r>
      <w:r w:rsidRPr="008E54AA">
        <w:rPr>
          <w:rFonts w:ascii="Arial" w:hAnsi="Arial" w:cs="Arial"/>
          <w:b/>
          <w:bCs/>
          <w:color w:val="auto"/>
          <w:sz w:val="22"/>
          <w:szCs w:val="22"/>
        </w:rPr>
        <w:t>Upcoming HSN Formulary Changes</w:t>
      </w:r>
      <w:r w:rsidRPr="00C72B6F">
        <w:rPr>
          <w:rFonts w:ascii="Arial" w:hAnsi="Arial" w:cs="Arial"/>
          <w:color w:val="auto"/>
          <w:sz w:val="22"/>
          <w:szCs w:val="22"/>
        </w:rPr>
        <w:t xml:space="preserve"> page for more information on patient assistance programs.    </w:t>
      </w:r>
    </w:p>
    <w:p w14:paraId="22C6DD48" w14:textId="77777777"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Requests for brand medications not on the BOGL will be evaluated for appropriate diagnosis, trial(s) with all clinically appropriate generic and BOGL alternatives, medical necessity, and documentation of application to manufacturer patient assistance program (if available).  </w:t>
      </w:r>
    </w:p>
    <w:p w14:paraId="5A7A9181" w14:textId="65976DB2" w:rsidR="00457BE6" w:rsidRDefault="00C72B6F" w:rsidP="006437CF">
      <w:pPr>
        <w:pStyle w:val="Default"/>
        <w:spacing w:after="120" w:line="276" w:lineRule="auto"/>
        <w:rPr>
          <w:rFonts w:ascii="Arial" w:hAnsi="Arial" w:cs="Arial"/>
          <w:color w:val="auto"/>
          <w:sz w:val="22"/>
          <w:szCs w:val="22"/>
        </w:rPr>
      </w:pPr>
      <w:r w:rsidRPr="00D35592">
        <w:rPr>
          <w:rFonts w:ascii="Arial" w:hAnsi="Arial" w:cs="Arial"/>
          <w:b/>
          <w:bCs/>
          <w:color w:val="auto"/>
          <w:sz w:val="22"/>
          <w:szCs w:val="22"/>
        </w:rPr>
        <w:t>Providers should work with patients to apply to manufacturer patient assistance programs where appropriate and are encouraged to do so ahead of the upcoming HSN formulary changes</w:t>
      </w:r>
      <w:r w:rsidRPr="00C72B6F">
        <w:rPr>
          <w:rFonts w:ascii="Arial" w:hAnsi="Arial" w:cs="Arial"/>
          <w:color w:val="auto"/>
          <w:sz w:val="22"/>
          <w:szCs w:val="22"/>
        </w:rPr>
        <w:t xml:space="preserve">. Please see the </w:t>
      </w:r>
      <w:hyperlink r:id="rId12" w:history="1">
        <w:r w:rsidRPr="00BC0898">
          <w:rPr>
            <w:rStyle w:val="Hyperlink"/>
            <w:rFonts w:ascii="Arial" w:hAnsi="Arial" w:cs="Arial"/>
            <w:sz w:val="22"/>
            <w:szCs w:val="22"/>
          </w:rPr>
          <w:t>MassHealth Drug List</w:t>
        </w:r>
      </w:hyperlink>
      <w:r w:rsidRPr="00C72B6F">
        <w:rPr>
          <w:rFonts w:ascii="Arial" w:hAnsi="Arial" w:cs="Arial"/>
          <w:color w:val="auto"/>
          <w:sz w:val="22"/>
          <w:szCs w:val="22"/>
        </w:rPr>
        <w:t xml:space="preserve"> </w:t>
      </w:r>
      <w:r w:rsidRPr="00D35592">
        <w:rPr>
          <w:rFonts w:ascii="Arial" w:hAnsi="Arial" w:cs="Arial"/>
          <w:b/>
          <w:bCs/>
          <w:color w:val="auto"/>
          <w:sz w:val="22"/>
          <w:szCs w:val="22"/>
        </w:rPr>
        <w:t>Upcoming HSN Formulary Changes</w:t>
      </w:r>
      <w:r w:rsidRPr="00C72B6F">
        <w:rPr>
          <w:rFonts w:ascii="Arial" w:hAnsi="Arial" w:cs="Arial"/>
          <w:color w:val="auto"/>
          <w:sz w:val="22"/>
          <w:szCs w:val="22"/>
        </w:rPr>
        <w:t xml:space="preserve"> page for a list of medications reimbursable without PA for highly utilized therapeutic classes.</w:t>
      </w:r>
      <w:r w:rsidR="00457BE6">
        <w:rPr>
          <w:rFonts w:ascii="Arial" w:hAnsi="Arial" w:cs="Arial"/>
          <w:color w:val="auto"/>
          <w:sz w:val="22"/>
          <w:szCs w:val="22"/>
        </w:rPr>
        <w:br w:type="page"/>
      </w:r>
    </w:p>
    <w:p w14:paraId="74CCC4DA" w14:textId="6455B871" w:rsidR="00A0045E" w:rsidRDefault="00C72B6F" w:rsidP="00C537D4">
      <w:pPr>
        <w:pStyle w:val="Default"/>
        <w:spacing w:line="276" w:lineRule="auto"/>
        <w:rPr>
          <w:rFonts w:ascii="Arial" w:hAnsi="Arial" w:cs="Arial"/>
          <w:b/>
          <w:bCs/>
          <w:color w:val="auto"/>
          <w:sz w:val="22"/>
          <w:szCs w:val="22"/>
        </w:rPr>
      </w:pPr>
      <w:r w:rsidRPr="00C72B6F">
        <w:rPr>
          <w:rFonts w:ascii="Arial" w:hAnsi="Arial" w:cs="Arial"/>
          <w:color w:val="auto"/>
          <w:sz w:val="22"/>
          <w:szCs w:val="22"/>
        </w:rPr>
        <w:lastRenderedPageBreak/>
        <w:t xml:space="preserve">Additionally, HSN will enforce cost-avoidance at the pharmacy for patients with other payment options or existing insurance coverage to ensure HSN is the payer of last resort. </w:t>
      </w:r>
      <w:r w:rsidRPr="008248F9">
        <w:rPr>
          <w:rFonts w:ascii="Arial" w:hAnsi="Arial" w:cs="Arial"/>
          <w:b/>
          <w:bCs/>
          <w:color w:val="auto"/>
          <w:sz w:val="22"/>
          <w:szCs w:val="22"/>
        </w:rPr>
        <w:t>Emergency overrides will also be limited to a 72-hour supply of medication, and vacation overrides will no longer be available.</w:t>
      </w:r>
    </w:p>
    <w:p w14:paraId="3A5FEAC8" w14:textId="77777777" w:rsidR="00457BE6" w:rsidRDefault="00457BE6" w:rsidP="00C537D4">
      <w:pPr>
        <w:pStyle w:val="Default"/>
        <w:spacing w:line="276" w:lineRule="auto"/>
        <w:rPr>
          <w:rFonts w:ascii="Arial" w:hAnsi="Arial" w:cs="Arial"/>
          <w:b/>
          <w:bCs/>
          <w:color w:val="auto"/>
          <w:sz w:val="22"/>
          <w:szCs w:val="22"/>
        </w:rPr>
      </w:pPr>
    </w:p>
    <w:p w14:paraId="59B52E74" w14:textId="0C85EA66" w:rsidR="00A0045E" w:rsidRPr="00C72B6F" w:rsidRDefault="00A0045E" w:rsidP="00C537D4">
      <w:pPr>
        <w:pStyle w:val="Default"/>
        <w:spacing w:line="276" w:lineRule="auto"/>
        <w:rPr>
          <w:rFonts w:ascii="Arial" w:hAnsi="Arial" w:cs="Arial"/>
          <w:color w:val="auto"/>
          <w:sz w:val="22"/>
          <w:szCs w:val="22"/>
        </w:rPr>
      </w:pPr>
      <w:r w:rsidRPr="00C72B6F">
        <w:rPr>
          <w:rFonts w:ascii="Arial" w:hAnsi="Arial" w:cs="Arial"/>
          <w:color w:val="auto"/>
          <w:sz w:val="22"/>
          <w:szCs w:val="22"/>
        </w:rPr>
        <w:t xml:space="preserve">Pharmacists and prescribers who have questions regarding HSN PAs may contact the Drug Utilization Review Program at (800) 745-7318. </w:t>
      </w:r>
    </w:p>
    <w:p w14:paraId="5BE5F11C" w14:textId="1C6B435B" w:rsidR="00C72B6F" w:rsidRPr="00C72B6F" w:rsidRDefault="00C72B6F" w:rsidP="00C72B6F">
      <w:pPr>
        <w:pStyle w:val="Default"/>
        <w:spacing w:after="120"/>
        <w:rPr>
          <w:rFonts w:ascii="Arial" w:hAnsi="Arial" w:cs="Arial"/>
          <w:color w:val="auto"/>
          <w:sz w:val="22"/>
          <w:szCs w:val="22"/>
        </w:rPr>
      </w:pPr>
    </w:p>
    <w:sectPr w:rsidR="00C72B6F" w:rsidRPr="00C72B6F" w:rsidSect="00AC6D20">
      <w:headerReference w:type="default" r:id="rId13"/>
      <w:footerReference w:type="default" r:id="rId14"/>
      <w:type w:val="continuous"/>
      <w:pgSz w:w="12240" w:h="15840" w:code="1"/>
      <w:pgMar w:top="720" w:right="907" w:bottom="720" w:left="907" w:header="144"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1E35" w14:textId="77777777" w:rsidR="00B7370E" w:rsidRDefault="00B7370E" w:rsidP="00492602">
      <w:r>
        <w:separator/>
      </w:r>
    </w:p>
  </w:endnote>
  <w:endnote w:type="continuationSeparator" w:id="0">
    <w:p w14:paraId="2FA5DEB5" w14:textId="77777777" w:rsidR="00B7370E" w:rsidRDefault="00B7370E"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1B28" w14:textId="77777777" w:rsidR="00507649" w:rsidRDefault="00507649" w:rsidP="00507649">
    <w:pPr>
      <w:pStyle w:val="Footer"/>
      <w:pBdr>
        <w:top w:val="single" w:sz="18" w:space="1" w:color="auto"/>
      </w:pBdr>
      <w:tabs>
        <w:tab w:val="clear" w:pos="4680"/>
        <w:tab w:val="clear" w:pos="9360"/>
        <w:tab w:val="left" w:pos="3840"/>
      </w:tabs>
      <w:spacing w:before="120"/>
    </w:pPr>
    <w:r>
      <w:tab/>
    </w:r>
    <w:r>
      <w:tab/>
    </w:r>
  </w:p>
  <w:p w14:paraId="17A1F560" w14:textId="5212BF59" w:rsidR="00C77CC8" w:rsidRDefault="00C77CC8" w:rsidP="00507649">
    <w:pPr>
      <w:pStyle w:val="Footer"/>
      <w:tabs>
        <w:tab w:val="clear" w:pos="4680"/>
        <w:tab w:val="clear" w:pos="9360"/>
        <w:tab w:val="left" w:pos="19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BDA" w14:textId="77777777" w:rsidR="004B5DBE" w:rsidRPr="00F61D85"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F61D85">
      <w:rPr>
        <w:rFonts w:cs="Arial"/>
        <w:iCs/>
        <w:sz w:val="18"/>
        <w:szCs w:val="18"/>
      </w:rPr>
      <w:t>Please direct any questions or comments (or to be removed from this fax distribution) to</w:t>
    </w:r>
  </w:p>
  <w:p w14:paraId="0CE75DF8" w14:textId="77777777" w:rsidR="004B5DBE"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pPr>
    <w:hyperlink r:id="rId1" w:history="1">
      <w:r w:rsidRPr="00865BB3">
        <w:rPr>
          <w:rStyle w:val="Hyperlink"/>
          <w:rFonts w:cs="Arial"/>
          <w:iCs/>
          <w:sz w:val="18"/>
          <w:szCs w:val="18"/>
        </w:rPr>
        <w:t>PharmFactsMA@Conduent.com</w:t>
      </w:r>
    </w:hyperlink>
    <w:r>
      <w:rPr>
        <w:rFonts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12DA" w14:textId="77777777" w:rsidR="00B7370E" w:rsidRDefault="00B7370E" w:rsidP="00492602">
      <w:r>
        <w:separator/>
      </w:r>
    </w:p>
  </w:footnote>
  <w:footnote w:type="continuationSeparator" w:id="0">
    <w:p w14:paraId="1C5129E6" w14:textId="77777777" w:rsidR="00B7370E" w:rsidRDefault="00B7370E"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91CF" w14:textId="4FDB8D6A" w:rsidR="004B5DBE" w:rsidRPr="00C77CC8" w:rsidRDefault="004B5DBE" w:rsidP="00C77CC8">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Number 25</w:t>
    </w:r>
    <w:r w:rsidR="00613998">
      <w:rPr>
        <w:color w:val="auto"/>
        <w:sz w:val="18"/>
        <w:szCs w:val="18"/>
      </w:rPr>
      <w:t>8</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05A10C"/>
    <w:multiLevelType w:val="hybridMultilevel"/>
    <w:tmpl w:val="A7BA2340"/>
    <w:lvl w:ilvl="0" w:tplc="9C1C8E96">
      <w:start w:val="1"/>
      <w:numFmt w:val="bullet"/>
      <w:lvlText w:val="·"/>
      <w:lvlJc w:val="left"/>
      <w:pPr>
        <w:ind w:left="720" w:hanging="360"/>
      </w:pPr>
      <w:rPr>
        <w:rFonts w:ascii="Symbol" w:hAnsi="Symbol" w:hint="default"/>
      </w:rPr>
    </w:lvl>
    <w:lvl w:ilvl="1" w:tplc="AEE4E07E">
      <w:start w:val="1"/>
      <w:numFmt w:val="bullet"/>
      <w:lvlText w:val="o"/>
      <w:lvlJc w:val="left"/>
      <w:pPr>
        <w:ind w:left="1440" w:hanging="360"/>
      </w:pPr>
      <w:rPr>
        <w:rFonts w:ascii="Courier New" w:hAnsi="Courier New" w:hint="default"/>
      </w:rPr>
    </w:lvl>
    <w:lvl w:ilvl="2" w:tplc="BE7C51D6">
      <w:start w:val="1"/>
      <w:numFmt w:val="bullet"/>
      <w:lvlText w:val=""/>
      <w:lvlJc w:val="left"/>
      <w:pPr>
        <w:ind w:left="2160" w:hanging="360"/>
      </w:pPr>
      <w:rPr>
        <w:rFonts w:ascii="Wingdings" w:hAnsi="Wingdings" w:hint="default"/>
      </w:rPr>
    </w:lvl>
    <w:lvl w:ilvl="3" w:tplc="FB9C465A">
      <w:start w:val="1"/>
      <w:numFmt w:val="bullet"/>
      <w:lvlText w:val=""/>
      <w:lvlJc w:val="left"/>
      <w:pPr>
        <w:ind w:left="2880" w:hanging="360"/>
      </w:pPr>
      <w:rPr>
        <w:rFonts w:ascii="Symbol" w:hAnsi="Symbol" w:hint="default"/>
      </w:rPr>
    </w:lvl>
    <w:lvl w:ilvl="4" w:tplc="4970E50E">
      <w:start w:val="1"/>
      <w:numFmt w:val="bullet"/>
      <w:lvlText w:val="o"/>
      <w:lvlJc w:val="left"/>
      <w:pPr>
        <w:ind w:left="3600" w:hanging="360"/>
      </w:pPr>
      <w:rPr>
        <w:rFonts w:ascii="Courier New" w:hAnsi="Courier New" w:hint="default"/>
      </w:rPr>
    </w:lvl>
    <w:lvl w:ilvl="5" w:tplc="E3B09B8E">
      <w:start w:val="1"/>
      <w:numFmt w:val="bullet"/>
      <w:lvlText w:val=""/>
      <w:lvlJc w:val="left"/>
      <w:pPr>
        <w:ind w:left="4320" w:hanging="360"/>
      </w:pPr>
      <w:rPr>
        <w:rFonts w:ascii="Wingdings" w:hAnsi="Wingdings" w:hint="default"/>
      </w:rPr>
    </w:lvl>
    <w:lvl w:ilvl="6" w:tplc="369E9E28">
      <w:start w:val="1"/>
      <w:numFmt w:val="bullet"/>
      <w:lvlText w:val=""/>
      <w:lvlJc w:val="left"/>
      <w:pPr>
        <w:ind w:left="5040" w:hanging="360"/>
      </w:pPr>
      <w:rPr>
        <w:rFonts w:ascii="Symbol" w:hAnsi="Symbol" w:hint="default"/>
      </w:rPr>
    </w:lvl>
    <w:lvl w:ilvl="7" w:tplc="09B22ABA">
      <w:start w:val="1"/>
      <w:numFmt w:val="bullet"/>
      <w:lvlText w:val="o"/>
      <w:lvlJc w:val="left"/>
      <w:pPr>
        <w:ind w:left="5760" w:hanging="360"/>
      </w:pPr>
      <w:rPr>
        <w:rFonts w:ascii="Courier New" w:hAnsi="Courier New" w:hint="default"/>
      </w:rPr>
    </w:lvl>
    <w:lvl w:ilvl="8" w:tplc="94CCC2B8">
      <w:start w:val="1"/>
      <w:numFmt w:val="bullet"/>
      <w:lvlText w:val=""/>
      <w:lvlJc w:val="left"/>
      <w:pPr>
        <w:ind w:left="648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5"/>
  </w:num>
  <w:num w:numId="3" w16cid:durableId="171258805">
    <w:abstractNumId w:val="19"/>
  </w:num>
  <w:num w:numId="4" w16cid:durableId="933971704">
    <w:abstractNumId w:val="6"/>
  </w:num>
  <w:num w:numId="5" w16cid:durableId="1146894553">
    <w:abstractNumId w:val="8"/>
  </w:num>
  <w:num w:numId="6" w16cid:durableId="1099835229">
    <w:abstractNumId w:val="14"/>
  </w:num>
  <w:num w:numId="7" w16cid:durableId="1091773746">
    <w:abstractNumId w:val="20"/>
  </w:num>
  <w:num w:numId="8" w16cid:durableId="775977178">
    <w:abstractNumId w:val="2"/>
  </w:num>
  <w:num w:numId="9" w16cid:durableId="1192911353">
    <w:abstractNumId w:val="0"/>
  </w:num>
  <w:num w:numId="10" w16cid:durableId="1998994280">
    <w:abstractNumId w:val="17"/>
  </w:num>
  <w:num w:numId="11" w16cid:durableId="7752956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4"/>
  </w:num>
  <w:num w:numId="13" w16cid:durableId="489909912">
    <w:abstractNumId w:val="19"/>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4"/>
  </w:num>
  <w:num w:numId="16" w16cid:durableId="1632830456">
    <w:abstractNumId w:val="16"/>
  </w:num>
  <w:num w:numId="17" w16cid:durableId="1271858877">
    <w:abstractNumId w:val="1"/>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5"/>
  </w:num>
  <w:num w:numId="20" w16cid:durableId="155609916">
    <w:abstractNumId w:val="3"/>
  </w:num>
  <w:num w:numId="21" w16cid:durableId="749011242">
    <w:abstractNumId w:val="7"/>
  </w:num>
  <w:num w:numId="22" w16cid:durableId="2135520725">
    <w:abstractNumId w:val="21"/>
  </w:num>
  <w:num w:numId="23" w16cid:durableId="1269894124">
    <w:abstractNumId w:val="22"/>
  </w:num>
  <w:num w:numId="24" w16cid:durableId="1534229008">
    <w:abstractNumId w:val="13"/>
  </w:num>
  <w:num w:numId="25" w16cid:durableId="480999597">
    <w:abstractNumId w:val="18"/>
  </w:num>
  <w:num w:numId="26" w16cid:durableId="1484080441">
    <w:abstractNumId w:val="6"/>
    <w:lvlOverride w:ilvl="0">
      <w:startOverride w:val="1"/>
    </w:lvlOverride>
  </w:num>
  <w:num w:numId="27" w16cid:durableId="339738625">
    <w:abstractNumId w:val="6"/>
  </w:num>
  <w:num w:numId="28" w16cid:durableId="1663393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13217"/>
    <w:rsid w:val="0002450C"/>
    <w:rsid w:val="00054839"/>
    <w:rsid w:val="00061F50"/>
    <w:rsid w:val="000658A5"/>
    <w:rsid w:val="000713D3"/>
    <w:rsid w:val="00074014"/>
    <w:rsid w:val="00074716"/>
    <w:rsid w:val="00081E8E"/>
    <w:rsid w:val="00095A18"/>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394E"/>
    <w:rsid w:val="001864A9"/>
    <w:rsid w:val="001A125B"/>
    <w:rsid w:val="001C1481"/>
    <w:rsid w:val="001E779F"/>
    <w:rsid w:val="001F6F0B"/>
    <w:rsid w:val="002023C0"/>
    <w:rsid w:val="0021214A"/>
    <w:rsid w:val="00212477"/>
    <w:rsid w:val="00212622"/>
    <w:rsid w:val="002275AE"/>
    <w:rsid w:val="002509E9"/>
    <w:rsid w:val="00267FBD"/>
    <w:rsid w:val="00274F3E"/>
    <w:rsid w:val="00276F3A"/>
    <w:rsid w:val="00286CBE"/>
    <w:rsid w:val="00291397"/>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5713"/>
    <w:rsid w:val="00382054"/>
    <w:rsid w:val="003911FC"/>
    <w:rsid w:val="003B6839"/>
    <w:rsid w:val="003C1824"/>
    <w:rsid w:val="003C45A1"/>
    <w:rsid w:val="003D3B27"/>
    <w:rsid w:val="003F533B"/>
    <w:rsid w:val="004233B0"/>
    <w:rsid w:val="00447A5F"/>
    <w:rsid w:val="004555D9"/>
    <w:rsid w:val="00456B5A"/>
    <w:rsid w:val="00457528"/>
    <w:rsid w:val="00457BE6"/>
    <w:rsid w:val="004664D3"/>
    <w:rsid w:val="00492602"/>
    <w:rsid w:val="0049423D"/>
    <w:rsid w:val="00494D38"/>
    <w:rsid w:val="004A3BAA"/>
    <w:rsid w:val="004A7395"/>
    <w:rsid w:val="004B5DBE"/>
    <w:rsid w:val="004C1DAD"/>
    <w:rsid w:val="004D1BC7"/>
    <w:rsid w:val="004D20D7"/>
    <w:rsid w:val="004D79B2"/>
    <w:rsid w:val="004F5506"/>
    <w:rsid w:val="004F5612"/>
    <w:rsid w:val="005052D9"/>
    <w:rsid w:val="0050764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D19B6"/>
    <w:rsid w:val="005D723D"/>
    <w:rsid w:val="005E3688"/>
    <w:rsid w:val="005F2371"/>
    <w:rsid w:val="00613998"/>
    <w:rsid w:val="00623469"/>
    <w:rsid w:val="00634C49"/>
    <w:rsid w:val="00637A67"/>
    <w:rsid w:val="006437CF"/>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248F9"/>
    <w:rsid w:val="008340D0"/>
    <w:rsid w:val="008403CA"/>
    <w:rsid w:val="008474A5"/>
    <w:rsid w:val="0085395A"/>
    <w:rsid w:val="00853F8E"/>
    <w:rsid w:val="0086142C"/>
    <w:rsid w:val="00870F52"/>
    <w:rsid w:val="00872E7F"/>
    <w:rsid w:val="00880FA9"/>
    <w:rsid w:val="008930F1"/>
    <w:rsid w:val="00893F45"/>
    <w:rsid w:val="008C1341"/>
    <w:rsid w:val="008C3C39"/>
    <w:rsid w:val="008C5414"/>
    <w:rsid w:val="008C66D8"/>
    <w:rsid w:val="008E4B33"/>
    <w:rsid w:val="008E54AA"/>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D1341"/>
    <w:rsid w:val="009D6D73"/>
    <w:rsid w:val="009D79C6"/>
    <w:rsid w:val="009F0440"/>
    <w:rsid w:val="009F0526"/>
    <w:rsid w:val="009F1995"/>
    <w:rsid w:val="00A0045E"/>
    <w:rsid w:val="00A01DE3"/>
    <w:rsid w:val="00A06542"/>
    <w:rsid w:val="00A11371"/>
    <w:rsid w:val="00A120E1"/>
    <w:rsid w:val="00A2577C"/>
    <w:rsid w:val="00A31FAA"/>
    <w:rsid w:val="00A343A9"/>
    <w:rsid w:val="00A5239C"/>
    <w:rsid w:val="00A571F6"/>
    <w:rsid w:val="00A650DC"/>
    <w:rsid w:val="00A6764A"/>
    <w:rsid w:val="00A84255"/>
    <w:rsid w:val="00A853D9"/>
    <w:rsid w:val="00AC1AC7"/>
    <w:rsid w:val="00AC6D20"/>
    <w:rsid w:val="00AD18B8"/>
    <w:rsid w:val="00AD33D5"/>
    <w:rsid w:val="00AE21FC"/>
    <w:rsid w:val="00B01BAA"/>
    <w:rsid w:val="00B03EAA"/>
    <w:rsid w:val="00B05470"/>
    <w:rsid w:val="00B07BD7"/>
    <w:rsid w:val="00B10600"/>
    <w:rsid w:val="00B13AA5"/>
    <w:rsid w:val="00B3099B"/>
    <w:rsid w:val="00B40A71"/>
    <w:rsid w:val="00B45236"/>
    <w:rsid w:val="00B503C7"/>
    <w:rsid w:val="00B54AB5"/>
    <w:rsid w:val="00B645C9"/>
    <w:rsid w:val="00B7370E"/>
    <w:rsid w:val="00B86F04"/>
    <w:rsid w:val="00B92C96"/>
    <w:rsid w:val="00BA64D7"/>
    <w:rsid w:val="00BA68F0"/>
    <w:rsid w:val="00BC0898"/>
    <w:rsid w:val="00BC0F57"/>
    <w:rsid w:val="00BD08CA"/>
    <w:rsid w:val="00BE0808"/>
    <w:rsid w:val="00BF0DF4"/>
    <w:rsid w:val="00C00CF2"/>
    <w:rsid w:val="00C15672"/>
    <w:rsid w:val="00C21680"/>
    <w:rsid w:val="00C24EF5"/>
    <w:rsid w:val="00C304E6"/>
    <w:rsid w:val="00C31421"/>
    <w:rsid w:val="00C33753"/>
    <w:rsid w:val="00C34328"/>
    <w:rsid w:val="00C35B94"/>
    <w:rsid w:val="00C537D4"/>
    <w:rsid w:val="00C559C9"/>
    <w:rsid w:val="00C72B6F"/>
    <w:rsid w:val="00C77CC8"/>
    <w:rsid w:val="00C82FA4"/>
    <w:rsid w:val="00CA0669"/>
    <w:rsid w:val="00CA1E7C"/>
    <w:rsid w:val="00CB0030"/>
    <w:rsid w:val="00CB7521"/>
    <w:rsid w:val="00CC57AC"/>
    <w:rsid w:val="00CC776C"/>
    <w:rsid w:val="00CD6D68"/>
    <w:rsid w:val="00CF2057"/>
    <w:rsid w:val="00D0584B"/>
    <w:rsid w:val="00D21159"/>
    <w:rsid w:val="00D2695E"/>
    <w:rsid w:val="00D35592"/>
    <w:rsid w:val="00D450C8"/>
    <w:rsid w:val="00D521FA"/>
    <w:rsid w:val="00D66801"/>
    <w:rsid w:val="00D779F2"/>
    <w:rsid w:val="00D81121"/>
    <w:rsid w:val="00D939D0"/>
    <w:rsid w:val="00DA6A55"/>
    <w:rsid w:val="00DB423E"/>
    <w:rsid w:val="00DF73DB"/>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1D85"/>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0FB5DB16-213F-49C5-A742-2019D1C2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BC0898"/>
    <w:rPr>
      <w:color w:val="605E5C"/>
      <w:shd w:val="clear" w:color="auto" w:fill="E1DFDD"/>
    </w:rPr>
  </w:style>
  <w:style w:type="character" w:styleId="FollowedHyperlink">
    <w:name w:val="FollowedHyperlink"/>
    <w:basedOn w:val="DefaultParagraphFont"/>
    <w:semiHidden/>
    <w:unhideWhenUsed/>
    <w:rsid w:val="00183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dl.pharmacy.services.conduent.com/MHD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Eisan, Jenna (EHS)</cp:lastModifiedBy>
  <cp:revision>3</cp:revision>
  <dcterms:created xsi:type="dcterms:W3CDTF">2025-09-15T16:19:00Z</dcterms:created>
  <dcterms:modified xsi:type="dcterms:W3CDTF">2025-10-20T20:05:00Z</dcterms:modified>
</cp:coreProperties>
</file>