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29B8" w14:textId="77777777" w:rsidR="007C45D0" w:rsidRDefault="007C45D0" w:rsidP="00C559C9">
      <w:pPr>
        <w:pStyle w:val="Noparagraphstyle"/>
        <w:rPr>
          <w:rFonts w:ascii="Arial Narrow" w:hAnsi="Arial Narrow"/>
          <w:b/>
          <w:sz w:val="20"/>
          <w:szCs w:val="20"/>
        </w:rPr>
      </w:pPr>
    </w:p>
    <w:p w14:paraId="25AC92D3" w14:textId="759E53F3" w:rsidR="00074716" w:rsidRDefault="000A622F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64C9194F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9C9">
        <w:rPr>
          <w:rFonts w:ascii="Arial Narrow" w:hAnsi="Arial Narrow"/>
          <w:b/>
          <w:sz w:val="20"/>
          <w:szCs w:val="20"/>
        </w:rPr>
        <w:t xml:space="preserve">Number </w:t>
      </w:r>
      <w:r w:rsidR="002174E8" w:rsidRPr="002174E8">
        <w:rPr>
          <w:rFonts w:ascii="Arial Narrow" w:hAnsi="Arial Narrow"/>
          <w:b/>
          <w:color w:val="auto"/>
          <w:sz w:val="20"/>
          <w:szCs w:val="20"/>
        </w:rPr>
        <w:t>25</w:t>
      </w:r>
      <w:r w:rsidR="006007FE">
        <w:rPr>
          <w:rFonts w:ascii="Arial Narrow" w:hAnsi="Arial Narrow"/>
          <w:b/>
          <w:color w:val="auto"/>
          <w:sz w:val="20"/>
          <w:szCs w:val="20"/>
        </w:rPr>
        <w:t>9</w:t>
      </w:r>
      <w:r w:rsidR="00C559C9" w:rsidRPr="002174E8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2174E8" w:rsidRPr="002174E8">
        <w:rPr>
          <w:rFonts w:ascii="Arial Narrow" w:hAnsi="Arial Narrow"/>
          <w:b/>
          <w:color w:val="auto"/>
          <w:sz w:val="20"/>
          <w:szCs w:val="20"/>
        </w:rPr>
        <w:t xml:space="preserve">October </w:t>
      </w:r>
      <w:r w:rsidR="001F5CB4">
        <w:rPr>
          <w:rFonts w:ascii="Arial Narrow" w:hAnsi="Arial Narrow"/>
          <w:b/>
          <w:color w:val="auto"/>
          <w:sz w:val="20"/>
          <w:szCs w:val="20"/>
        </w:rPr>
        <w:t>31</w:t>
      </w:r>
      <w:r w:rsidR="002174E8" w:rsidRPr="002174E8">
        <w:rPr>
          <w:rFonts w:ascii="Arial Narrow" w:hAnsi="Arial Narrow"/>
          <w:b/>
          <w:color w:val="auto"/>
          <w:sz w:val="20"/>
          <w:szCs w:val="20"/>
        </w:rPr>
        <w:t>, 2025</w:t>
      </w:r>
    </w:p>
    <w:p w14:paraId="32BF3DE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858B47B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5C6B8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301F7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87FE7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317BFC5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FCA92D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75B24B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7CD72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905EA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568DC23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39B08B0" w14:textId="11024760" w:rsidR="00074716" w:rsidRDefault="00074716" w:rsidP="0007471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cs="Arial"/>
          <w:color w:val="000000"/>
          <w:sz w:val="21"/>
          <w:szCs w:val="21"/>
        </w:rPr>
        <w:sectPr w:rsidR="00074716" w:rsidSect="007C45D0">
          <w:footerReference w:type="default" r:id="rId9"/>
          <w:footerReference w:type="first" r:id="rId10"/>
          <w:pgSz w:w="12240" w:h="15840" w:code="1"/>
          <w:pgMar w:top="360" w:right="907" w:bottom="446" w:left="907" w:header="720" w:footer="288" w:gutter="0"/>
          <w:cols w:space="720"/>
          <w:docGrid w:linePitch="360"/>
        </w:sectPr>
      </w:pPr>
    </w:p>
    <w:p w14:paraId="7DD37226" w14:textId="77777777" w:rsidR="00BD3D3E" w:rsidRDefault="00BD3D3E" w:rsidP="00BD3D3E">
      <w:pPr>
        <w:spacing w:after="120"/>
        <w:rPr>
          <w:rFonts w:ascii="Arial Black" w:eastAsiaTheme="majorEastAsia" w:hAnsi="Arial Black" w:cstheme="majorBidi"/>
          <w:sz w:val="28"/>
          <w:szCs w:val="28"/>
        </w:rPr>
      </w:pPr>
      <w:r w:rsidRPr="00BD3D3E">
        <w:rPr>
          <w:rFonts w:ascii="Arial Black" w:eastAsiaTheme="majorEastAsia" w:hAnsi="Arial Black" w:cstheme="majorBidi"/>
          <w:sz w:val="28"/>
          <w:szCs w:val="28"/>
        </w:rPr>
        <w:t xml:space="preserve">Effective January 5, 2026 – Changes to MassHealth Management of Genvoya®, Stribild®, Odefsey®, and Complera®  </w:t>
      </w:r>
    </w:p>
    <w:p w14:paraId="0E5EA1E0" w14:textId="374BB4B4" w:rsidR="00F67431" w:rsidRDefault="00F67431" w:rsidP="00F67431">
      <w:pPr>
        <w:rPr>
          <w:rFonts w:eastAsia="Arial" w:cs="Arial"/>
          <w:color w:val="000000" w:themeColor="text1"/>
          <w:szCs w:val="22"/>
        </w:rPr>
      </w:pPr>
      <w:r w:rsidRPr="5E9A6908">
        <w:rPr>
          <w:rFonts w:eastAsia="Arial" w:cs="Arial"/>
          <w:color w:val="000000" w:themeColor="text1"/>
          <w:szCs w:val="22"/>
        </w:rPr>
        <w:t>Effective January 5, 2026, MassHealth will require prior authorization (PA) for use of the following medications for the treatment of human immunodeficiency virus (HIV)</w:t>
      </w:r>
      <w:r>
        <w:rPr>
          <w:rFonts w:eastAsia="Arial" w:cs="Arial"/>
          <w:color w:val="000000" w:themeColor="text1"/>
          <w:szCs w:val="22"/>
        </w:rPr>
        <w:t>.</w:t>
      </w:r>
      <w:r w:rsidRPr="5E9A6908">
        <w:rPr>
          <w:rFonts w:eastAsia="Arial" w:cs="Arial"/>
          <w:color w:val="000000" w:themeColor="text1"/>
          <w:szCs w:val="22"/>
        </w:rPr>
        <w:t xml:space="preserve"> </w:t>
      </w:r>
    </w:p>
    <w:p w14:paraId="5F74BE67" w14:textId="77777777" w:rsidR="00F67431" w:rsidRDefault="00F67431" w:rsidP="00F67431">
      <w:pPr>
        <w:numPr>
          <w:ilvl w:val="0"/>
          <w:numId w:val="29"/>
        </w:numPr>
        <w:rPr>
          <w:rFonts w:eastAsia="Arial" w:cs="Arial"/>
          <w:color w:val="000000" w:themeColor="text1"/>
          <w:szCs w:val="22"/>
        </w:rPr>
      </w:pPr>
      <w:r w:rsidRPr="1C210FC9">
        <w:rPr>
          <w:rFonts w:eastAsia="Arial" w:cs="Arial"/>
          <w:color w:val="000000" w:themeColor="text1"/>
          <w:szCs w:val="22"/>
        </w:rPr>
        <w:t>Genvoya</w:t>
      </w:r>
      <w:r w:rsidRPr="1C210FC9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1C210FC9">
        <w:rPr>
          <w:rFonts w:eastAsia="Arial" w:cs="Arial"/>
          <w:color w:val="000000" w:themeColor="text1"/>
          <w:szCs w:val="22"/>
        </w:rPr>
        <w:t xml:space="preserve"> (elvitegravir/cobicistat/emtricitabine/tenofovir alafenamide)</w:t>
      </w:r>
    </w:p>
    <w:p w14:paraId="1CB95FD2" w14:textId="77777777" w:rsidR="00F67431" w:rsidRDefault="00F67431" w:rsidP="00F67431">
      <w:pPr>
        <w:numPr>
          <w:ilvl w:val="0"/>
          <w:numId w:val="29"/>
        </w:numPr>
        <w:rPr>
          <w:rFonts w:eastAsia="Arial" w:cs="Arial"/>
          <w:color w:val="000000" w:themeColor="text1"/>
          <w:szCs w:val="22"/>
        </w:rPr>
      </w:pPr>
      <w:r w:rsidRPr="6C6691C1">
        <w:rPr>
          <w:rFonts w:eastAsia="Arial" w:cs="Arial"/>
          <w:color w:val="000000" w:themeColor="text1"/>
          <w:szCs w:val="22"/>
        </w:rPr>
        <w:t>Stribild</w:t>
      </w:r>
      <w:r w:rsidRPr="6C6691C1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6C6691C1">
        <w:rPr>
          <w:rFonts w:eastAsia="Arial" w:cs="Arial"/>
          <w:color w:val="000000" w:themeColor="text1"/>
          <w:szCs w:val="22"/>
        </w:rPr>
        <w:t xml:space="preserve"> (elvitegravir/cobicistat/emtricitabine/tenofovir disoproxil fumarate)</w:t>
      </w:r>
    </w:p>
    <w:p w14:paraId="0E9DAC12" w14:textId="77777777" w:rsidR="00F67431" w:rsidRDefault="00F67431" w:rsidP="00F67431">
      <w:pPr>
        <w:numPr>
          <w:ilvl w:val="0"/>
          <w:numId w:val="29"/>
        </w:numPr>
        <w:rPr>
          <w:rFonts w:eastAsia="Arial" w:cs="Arial"/>
          <w:color w:val="000000" w:themeColor="text1"/>
          <w:szCs w:val="22"/>
        </w:rPr>
      </w:pPr>
      <w:r w:rsidRPr="6C6691C1">
        <w:rPr>
          <w:rFonts w:eastAsia="Arial" w:cs="Arial"/>
          <w:color w:val="000000" w:themeColor="text1"/>
          <w:szCs w:val="22"/>
        </w:rPr>
        <w:t>Odefsey</w:t>
      </w:r>
      <w:r w:rsidRPr="6C6691C1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6C6691C1">
        <w:rPr>
          <w:rFonts w:eastAsia="Arial" w:cs="Arial"/>
          <w:color w:val="000000" w:themeColor="text1"/>
          <w:szCs w:val="22"/>
        </w:rPr>
        <w:t xml:space="preserve"> (emtricitabine/rilpivirine/tenofovir alafenamide)</w:t>
      </w:r>
    </w:p>
    <w:p w14:paraId="51DEEB88" w14:textId="77777777" w:rsidR="00F67431" w:rsidRDefault="00F67431" w:rsidP="00F67431">
      <w:pPr>
        <w:numPr>
          <w:ilvl w:val="0"/>
          <w:numId w:val="29"/>
        </w:numPr>
        <w:rPr>
          <w:rFonts w:eastAsia="Arial" w:cs="Arial"/>
          <w:color w:val="000000" w:themeColor="text1"/>
          <w:szCs w:val="22"/>
        </w:rPr>
      </w:pPr>
      <w:r w:rsidRPr="6C6691C1">
        <w:rPr>
          <w:rFonts w:eastAsia="Arial" w:cs="Arial"/>
          <w:color w:val="000000" w:themeColor="text1"/>
          <w:szCs w:val="22"/>
        </w:rPr>
        <w:t>Complera</w:t>
      </w:r>
      <w:r w:rsidRPr="6C6691C1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6C6691C1">
        <w:rPr>
          <w:rFonts w:eastAsia="Arial" w:cs="Arial"/>
          <w:color w:val="000000" w:themeColor="text1"/>
          <w:szCs w:val="22"/>
        </w:rPr>
        <w:t xml:space="preserve"> (emtricitabine/rilpivirine/tenofovir disoproxil fumarate). </w:t>
      </w:r>
    </w:p>
    <w:p w14:paraId="6FFE94B3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</w:p>
    <w:p w14:paraId="149B7E22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  <w:r w:rsidRPr="5E9A6908">
        <w:rPr>
          <w:rFonts w:eastAsia="Arial" w:cs="Arial"/>
          <w:color w:val="000000" w:themeColor="text1"/>
          <w:szCs w:val="22"/>
        </w:rPr>
        <w:t>In general, PA will require appropriate diagnosis and rationale for use of the agents over available alternatives including the commercially available separate agents, if applicable (see table below).</w:t>
      </w:r>
    </w:p>
    <w:p w14:paraId="108547D4" w14:textId="77777777" w:rsidR="00F67431" w:rsidRDefault="00F67431" w:rsidP="00F67431">
      <w:pPr>
        <w:numPr>
          <w:ilvl w:val="0"/>
          <w:numId w:val="28"/>
        </w:numPr>
        <w:rPr>
          <w:rFonts w:eastAsia="Arial" w:cs="Arial"/>
          <w:color w:val="000000" w:themeColor="text1"/>
          <w:szCs w:val="22"/>
        </w:rPr>
      </w:pPr>
      <w:r w:rsidRPr="6C6691C1">
        <w:rPr>
          <w:rFonts w:eastAsia="Arial" w:cs="Arial"/>
          <w:color w:val="000000" w:themeColor="text1"/>
          <w:szCs w:val="22"/>
        </w:rPr>
        <w:t xml:space="preserve">For </w:t>
      </w:r>
      <w:r w:rsidRPr="6C6691C1">
        <w:rPr>
          <w:rFonts w:eastAsia="Arial" w:cs="Arial"/>
          <w:b/>
          <w:bCs/>
          <w:color w:val="000000" w:themeColor="text1"/>
          <w:szCs w:val="22"/>
        </w:rPr>
        <w:t>Odefsey</w:t>
      </w:r>
      <w:r w:rsidRPr="6C6691C1">
        <w:rPr>
          <w:rFonts w:eastAsia="Arial" w:cs="Arial"/>
          <w:b/>
          <w:bCs/>
          <w:color w:val="000000" w:themeColor="text1"/>
          <w:szCs w:val="22"/>
          <w:vertAlign w:val="superscript"/>
        </w:rPr>
        <w:t>®</w:t>
      </w:r>
      <w:r w:rsidRPr="6C6691C1">
        <w:rPr>
          <w:rFonts w:eastAsia="Arial" w:cs="Arial"/>
          <w:color w:val="000000" w:themeColor="text1"/>
          <w:szCs w:val="22"/>
        </w:rPr>
        <w:t xml:space="preserve"> (emtricitabine/rilpivirine/tenofovir alafenamide) the same regimen is available without PA as </w:t>
      </w:r>
      <w:r w:rsidRPr="6C6691C1">
        <w:rPr>
          <w:rFonts w:eastAsia="Arial" w:cs="Arial"/>
          <w:b/>
          <w:bCs/>
          <w:color w:val="000000" w:themeColor="text1"/>
          <w:szCs w:val="22"/>
        </w:rPr>
        <w:t>Descovy</w:t>
      </w:r>
      <w:r w:rsidRPr="6C6691C1">
        <w:rPr>
          <w:rFonts w:eastAsia="Arial" w:cs="Arial"/>
          <w:b/>
          <w:bCs/>
          <w:color w:val="000000" w:themeColor="text1"/>
          <w:szCs w:val="22"/>
          <w:vertAlign w:val="superscript"/>
        </w:rPr>
        <w:t>®</w:t>
      </w:r>
      <w:r w:rsidRPr="6C6691C1">
        <w:rPr>
          <w:rFonts w:eastAsia="Arial" w:cs="Arial"/>
          <w:b/>
          <w:bCs/>
          <w:color w:val="000000" w:themeColor="text1"/>
          <w:szCs w:val="22"/>
        </w:rPr>
        <w:t xml:space="preserve"> </w:t>
      </w:r>
      <w:r w:rsidRPr="6C6691C1">
        <w:rPr>
          <w:rFonts w:eastAsia="Arial" w:cs="Arial"/>
          <w:color w:val="000000" w:themeColor="text1"/>
          <w:szCs w:val="22"/>
        </w:rPr>
        <w:t xml:space="preserve">(emtricitabine/tenofovir alafenamide) plus </w:t>
      </w:r>
      <w:r w:rsidRPr="6C6691C1">
        <w:rPr>
          <w:rFonts w:eastAsia="Arial" w:cs="Arial"/>
          <w:b/>
          <w:bCs/>
          <w:color w:val="000000" w:themeColor="text1"/>
          <w:szCs w:val="22"/>
        </w:rPr>
        <w:t>Edurant</w:t>
      </w:r>
      <w:r w:rsidRPr="6C6691C1">
        <w:rPr>
          <w:rFonts w:eastAsia="Arial" w:cs="Arial"/>
          <w:b/>
          <w:bCs/>
          <w:color w:val="000000" w:themeColor="text1"/>
          <w:szCs w:val="22"/>
          <w:vertAlign w:val="superscript"/>
        </w:rPr>
        <w:t>®</w:t>
      </w:r>
      <w:r w:rsidRPr="6C6691C1">
        <w:rPr>
          <w:rFonts w:eastAsia="Arial" w:cs="Arial"/>
          <w:color w:val="000000" w:themeColor="text1"/>
          <w:szCs w:val="22"/>
        </w:rPr>
        <w:t xml:space="preserve"> (rilpivirine). </w:t>
      </w:r>
    </w:p>
    <w:p w14:paraId="642153D3" w14:textId="77777777" w:rsidR="00F67431" w:rsidRDefault="00F67431" w:rsidP="00F67431">
      <w:pPr>
        <w:numPr>
          <w:ilvl w:val="0"/>
          <w:numId w:val="28"/>
        </w:numPr>
        <w:rPr>
          <w:rFonts w:eastAsia="Arial" w:cs="Arial"/>
          <w:color w:val="000000" w:themeColor="text1"/>
          <w:szCs w:val="22"/>
        </w:rPr>
      </w:pPr>
      <w:r w:rsidRPr="6CE588E5">
        <w:rPr>
          <w:rFonts w:eastAsia="Arial" w:cs="Arial"/>
          <w:color w:val="000000" w:themeColor="text1"/>
          <w:szCs w:val="22"/>
        </w:rPr>
        <w:t xml:space="preserve">For </w:t>
      </w:r>
      <w:r w:rsidRPr="6CE588E5">
        <w:rPr>
          <w:rFonts w:eastAsia="Arial" w:cs="Arial"/>
          <w:b/>
          <w:bCs/>
          <w:color w:val="000000" w:themeColor="text1"/>
          <w:szCs w:val="22"/>
        </w:rPr>
        <w:t>Complera</w:t>
      </w:r>
      <w:r w:rsidRPr="6CE588E5">
        <w:rPr>
          <w:rFonts w:eastAsia="Arial" w:cs="Arial"/>
          <w:b/>
          <w:bCs/>
          <w:color w:val="000000" w:themeColor="text1"/>
          <w:szCs w:val="22"/>
          <w:vertAlign w:val="superscript"/>
        </w:rPr>
        <w:t>®</w:t>
      </w:r>
      <w:r w:rsidRPr="6CE588E5">
        <w:rPr>
          <w:rFonts w:eastAsia="Arial" w:cs="Arial"/>
          <w:color w:val="000000" w:themeColor="text1"/>
          <w:szCs w:val="22"/>
        </w:rPr>
        <w:t xml:space="preserve"> (emtricitabine/rilpivirine/tenofovir disoproxil fumarate) the same regimen is available without PA as generic </w:t>
      </w:r>
      <w:r w:rsidRPr="6CE588E5">
        <w:rPr>
          <w:rFonts w:eastAsia="Arial" w:cs="Arial"/>
          <w:b/>
          <w:bCs/>
          <w:color w:val="000000" w:themeColor="text1"/>
          <w:szCs w:val="22"/>
        </w:rPr>
        <w:t>emtricitabine/tenofovir disoproxil fumarate</w:t>
      </w:r>
      <w:r w:rsidRPr="6CE588E5">
        <w:rPr>
          <w:rFonts w:eastAsia="Arial" w:cs="Arial"/>
          <w:color w:val="000000" w:themeColor="text1"/>
          <w:szCs w:val="22"/>
        </w:rPr>
        <w:t xml:space="preserve"> plus </w:t>
      </w:r>
      <w:r w:rsidRPr="6CE588E5">
        <w:rPr>
          <w:rFonts w:eastAsia="Arial" w:cs="Arial"/>
          <w:b/>
          <w:bCs/>
          <w:color w:val="000000" w:themeColor="text1"/>
          <w:szCs w:val="22"/>
        </w:rPr>
        <w:t>Edurant</w:t>
      </w:r>
      <w:r w:rsidRPr="6CE588E5">
        <w:rPr>
          <w:rFonts w:eastAsia="Arial" w:cs="Arial"/>
          <w:b/>
          <w:bCs/>
          <w:color w:val="000000" w:themeColor="text1"/>
          <w:szCs w:val="22"/>
          <w:vertAlign w:val="superscript"/>
        </w:rPr>
        <w:t>®</w:t>
      </w:r>
      <w:r w:rsidRPr="6CE588E5">
        <w:rPr>
          <w:rFonts w:eastAsia="Arial" w:cs="Arial"/>
          <w:color w:val="000000" w:themeColor="text1"/>
          <w:szCs w:val="22"/>
        </w:rPr>
        <w:t xml:space="preserve"> (rilpivirine). </w:t>
      </w:r>
    </w:p>
    <w:p w14:paraId="6D99AE40" w14:textId="77777777" w:rsidR="00F67431" w:rsidRDefault="00F67431" w:rsidP="00F67431">
      <w:pPr>
        <w:ind w:left="720"/>
        <w:rPr>
          <w:rFonts w:eastAsia="Arial" w:cs="Arial"/>
          <w:color w:val="000000" w:themeColor="text1"/>
          <w:szCs w:val="22"/>
        </w:rPr>
      </w:pPr>
    </w:p>
    <w:p w14:paraId="3BBEBCF8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  <w:r w:rsidRPr="6C6691C1">
        <w:rPr>
          <w:rFonts w:eastAsia="Arial" w:cs="Arial"/>
          <w:color w:val="000000" w:themeColor="text1"/>
          <w:szCs w:val="22"/>
        </w:rPr>
        <w:t>Providers are encouraged to work with patients to determine appropriate alternatives, and should consider patient-specific factors like pregnancy, pill-burden, comorbidities, and treatment history.</w:t>
      </w:r>
    </w:p>
    <w:p w14:paraId="1F644957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</w:p>
    <w:p w14:paraId="655E60E0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  <w:r w:rsidRPr="6C6691C1">
        <w:rPr>
          <w:rFonts w:eastAsia="Arial" w:cs="Arial"/>
          <w:color w:val="000000" w:themeColor="text1"/>
          <w:szCs w:val="22"/>
        </w:rPr>
        <w:t xml:space="preserve">A list of commonly used alternative antiretroviral therapies covered without PA, within quantity limits, is below. A full list of covered antiretrovirals is available on the </w:t>
      </w:r>
      <w:hyperlink r:id="rId11">
        <w:r w:rsidRPr="6C6691C1">
          <w:rPr>
            <w:rStyle w:val="Hyperlink"/>
            <w:rFonts w:eastAsia="Arial" w:cs="Arial"/>
            <w:szCs w:val="22"/>
          </w:rPr>
          <w:t>MassHealth Drug List (MHDL).</w:t>
        </w:r>
      </w:hyperlink>
    </w:p>
    <w:p w14:paraId="70B75C25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</w:p>
    <w:p w14:paraId="4556F16D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  <w:r w:rsidRPr="6C6691C1">
        <w:rPr>
          <w:rFonts w:eastAsia="Arial" w:cs="Arial"/>
          <w:color w:val="000000" w:themeColor="text1"/>
          <w:szCs w:val="22"/>
        </w:rPr>
        <w:t>If necessary, while a PA is being submitted, pharmacies may reach out to the member’s health plan to request emergency supplies to ensure that treatment is not disrupted.</w:t>
      </w:r>
    </w:p>
    <w:p w14:paraId="3378B159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75"/>
        <w:gridCol w:w="5175"/>
      </w:tblGrid>
      <w:tr w:rsidR="00F67431" w14:paraId="6999F8FE" w14:textId="77777777" w:rsidTr="00BD64BE">
        <w:trPr>
          <w:trHeight w:val="285"/>
        </w:trPr>
        <w:tc>
          <w:tcPr>
            <w:tcW w:w="103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8387980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Alternative Antiretroviral Therapies Available Without PA Within Quantity Limits </w:t>
            </w:r>
          </w:p>
        </w:tc>
      </w:tr>
      <w:tr w:rsidR="00F67431" w14:paraId="5785FA8A" w14:textId="77777777" w:rsidTr="00BD64BE">
        <w:trPr>
          <w:trHeight w:val="285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2F20BC7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>Drug Brand Name</w:t>
            </w:r>
          </w:p>
        </w:tc>
        <w:tc>
          <w:tcPr>
            <w:tcW w:w="5175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ABAB387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>Drug Generic Name</w:t>
            </w:r>
          </w:p>
        </w:tc>
      </w:tr>
      <w:tr w:rsidR="00F67431" w14:paraId="17EE39FA" w14:textId="77777777" w:rsidTr="00BD64BE">
        <w:trPr>
          <w:trHeight w:val="285"/>
        </w:trPr>
        <w:tc>
          <w:tcPr>
            <w:tcW w:w="1035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9E95853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Combination products </w:t>
            </w:r>
          </w:p>
        </w:tc>
      </w:tr>
      <w:tr w:rsidR="00F67431" w14:paraId="5CD76FDD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32ECC9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Triumeq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B2A10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abacavir / dolutegravir / lamivudine</w:t>
            </w:r>
          </w:p>
        </w:tc>
      </w:tr>
      <w:tr w:rsidR="00F67431" w14:paraId="56FF8986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FEB5C95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Epzicom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B9E2B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abacavir / lamivudine</w:t>
            </w:r>
          </w:p>
        </w:tc>
      </w:tr>
      <w:tr w:rsidR="00F67431" w14:paraId="3A2EE6D5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44BB279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Trizivir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0A88C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abacavir / lamivudine / zidovudine</w:t>
            </w:r>
          </w:p>
        </w:tc>
      </w:tr>
      <w:tr w:rsidR="00F67431" w14:paraId="63152A71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45A425C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Evotaz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B09A1E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atazanavir / cobicistat</w:t>
            </w:r>
          </w:p>
        </w:tc>
      </w:tr>
    </w:tbl>
    <w:p w14:paraId="4932728F" w14:textId="5463E7BB" w:rsidR="006007FE" w:rsidRDefault="006007FE"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75"/>
        <w:gridCol w:w="5175"/>
      </w:tblGrid>
      <w:tr w:rsidR="00F67431" w14:paraId="6DFE0D16" w14:textId="77777777" w:rsidTr="00BD64BE">
        <w:trPr>
          <w:trHeight w:val="285"/>
        </w:trPr>
        <w:tc>
          <w:tcPr>
            <w:tcW w:w="103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B6D45E" w14:textId="5E01FE9B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>
              <w:lastRenderedPageBreak/>
              <w:br w:type="page"/>
            </w: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Alternative Antiretroviral Therapies Available Without PA Within Quantity Limits </w:t>
            </w:r>
          </w:p>
        </w:tc>
      </w:tr>
      <w:tr w:rsidR="00F67431" w14:paraId="5DF6E658" w14:textId="77777777" w:rsidTr="00BD64BE">
        <w:trPr>
          <w:trHeight w:val="285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4905A5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>Drug Brand Name</w:t>
            </w:r>
          </w:p>
        </w:tc>
        <w:tc>
          <w:tcPr>
            <w:tcW w:w="5175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6A6022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>Drug Generic Name</w:t>
            </w:r>
          </w:p>
        </w:tc>
      </w:tr>
      <w:tr w:rsidR="00F67431" w14:paraId="7D5A06EE" w14:textId="77777777" w:rsidTr="00BD64BE">
        <w:trPr>
          <w:trHeight w:val="285"/>
        </w:trPr>
        <w:tc>
          <w:tcPr>
            <w:tcW w:w="1035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3EFB0AF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Combination products </w:t>
            </w:r>
          </w:p>
        </w:tc>
      </w:tr>
      <w:tr w:rsidR="00AA6659" w14:paraId="5A30F9B4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F7C3605" w14:textId="77777777" w:rsidR="00AA6659" w:rsidRDefault="00AA6659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Biktarvy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137A7" w14:textId="77777777" w:rsidR="00AA6659" w:rsidRDefault="00AA6659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bictegravir / emtricitabine / tenofovir alafenamide</w:t>
            </w:r>
          </w:p>
        </w:tc>
      </w:tr>
      <w:tr w:rsidR="00AA6659" w14:paraId="56742AA2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3E847EF" w14:textId="77777777" w:rsidR="00AA6659" w:rsidRDefault="00AA6659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Cabenuva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1C51A0" w14:textId="77777777" w:rsidR="00AA6659" w:rsidRDefault="00AA6659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cabotegravir / rilpivirine</w:t>
            </w:r>
          </w:p>
        </w:tc>
      </w:tr>
      <w:tr w:rsidR="00F67431" w14:paraId="2DB5CA0F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0DB800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Prezcobix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CC5A6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darunavir / cobicistat</w:t>
            </w:r>
          </w:p>
        </w:tc>
      </w:tr>
      <w:tr w:rsidR="00F67431" w14:paraId="5D286386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2157FB6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Symtuza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D12FEC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darunavir / cobicistat / emtricitabine / tenofovir alafenamide</w:t>
            </w:r>
          </w:p>
        </w:tc>
      </w:tr>
      <w:tr w:rsidR="00F67431" w14:paraId="47A6DC24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17EF002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Dovato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CA5EE2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dolutegravir / lamivudine</w:t>
            </w:r>
          </w:p>
        </w:tc>
      </w:tr>
      <w:tr w:rsidR="00F67431" w14:paraId="044F5472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7583B53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Juluca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8CEB9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dolutegravir / rilpivirine</w:t>
            </w:r>
          </w:p>
        </w:tc>
      </w:tr>
      <w:tr w:rsidR="00F67431" w14:paraId="0FB5813A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2674698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Delstrigo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0C235C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doravirine / lamivudine / tenofovir disoproxil fumarate</w:t>
            </w:r>
          </w:p>
        </w:tc>
      </w:tr>
      <w:tr w:rsidR="00F67431" w14:paraId="7DBEAA3C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12B4AD6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Atripla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E2D97F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efavirenz / emtricitabine / tenofovir</w:t>
            </w:r>
          </w:p>
        </w:tc>
      </w:tr>
      <w:tr w:rsidR="00F67431" w14:paraId="213ADC04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695BC7B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 xml:space="preserve">Descovy 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6C77C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emtricitabine / tenofovir alafenamide</w:t>
            </w:r>
          </w:p>
        </w:tc>
      </w:tr>
      <w:tr w:rsidR="00F67431" w14:paraId="74386C66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A17421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Truvada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4E845C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emtricitabine / tenofovir disoproxil fumarate</w:t>
            </w:r>
          </w:p>
        </w:tc>
      </w:tr>
      <w:tr w:rsidR="00F67431" w14:paraId="433013AB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3A380F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Combivir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982E2C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lamivudine / zidovudine</w:t>
            </w:r>
          </w:p>
        </w:tc>
      </w:tr>
      <w:tr w:rsidR="00F67431" w14:paraId="197A53F5" w14:textId="77777777" w:rsidTr="00BD64BE">
        <w:trPr>
          <w:trHeight w:val="285"/>
        </w:trPr>
        <w:tc>
          <w:tcPr>
            <w:tcW w:w="1035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66F5E1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Non-Nucleoside Reverse Transcriptase Inhibitors (NNRTIs) </w:t>
            </w:r>
          </w:p>
        </w:tc>
      </w:tr>
      <w:tr w:rsidR="00F67431" w14:paraId="7F257982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F3942E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Pifeltro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8868B4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doravirine</w:t>
            </w:r>
          </w:p>
        </w:tc>
      </w:tr>
      <w:tr w:rsidR="00F67431" w14:paraId="1CAB6083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BB3724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34DA67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efavirenz</w:t>
            </w:r>
          </w:p>
        </w:tc>
      </w:tr>
      <w:tr w:rsidR="00F67431" w14:paraId="73CC5B80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5A232D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Intelence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462BA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etravirine</w:t>
            </w:r>
          </w:p>
        </w:tc>
      </w:tr>
      <w:tr w:rsidR="00F67431" w14:paraId="4A177A4B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1DF26DA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23BA8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nevirapine</w:t>
            </w:r>
          </w:p>
        </w:tc>
      </w:tr>
      <w:tr w:rsidR="00F67431" w14:paraId="388D395B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1BB6D0F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Edurant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539BD0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rilpivirine</w:t>
            </w:r>
          </w:p>
        </w:tc>
      </w:tr>
      <w:tr w:rsidR="00F67431" w14:paraId="121C0284" w14:textId="77777777" w:rsidTr="00BD64BE">
        <w:trPr>
          <w:trHeight w:val="285"/>
        </w:trPr>
        <w:tc>
          <w:tcPr>
            <w:tcW w:w="1035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CDE2AC8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>Nucleoside Reverse Transcriptase Inhibitors (NRTIs)</w:t>
            </w:r>
          </w:p>
        </w:tc>
      </w:tr>
      <w:tr w:rsidR="00F67431" w14:paraId="61DEA96A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993CD8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Ziagen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C021D5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abacavir</w:t>
            </w:r>
          </w:p>
        </w:tc>
      </w:tr>
      <w:tr w:rsidR="00F67431" w14:paraId="37BF1394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6163AD3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DB7909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didanosine</w:t>
            </w:r>
          </w:p>
        </w:tc>
      </w:tr>
      <w:tr w:rsidR="00F67431" w14:paraId="1BA50C97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85EEF48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Emtriva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E60D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emtricitabine</w:t>
            </w:r>
          </w:p>
        </w:tc>
      </w:tr>
      <w:tr w:rsidR="00F67431" w14:paraId="586B08A8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5E0CE74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Epivir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5D0A90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lamivudine 10 mg/mL solution</w:t>
            </w:r>
          </w:p>
        </w:tc>
      </w:tr>
      <w:tr w:rsidR="00F67431" w14:paraId="0F38B017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D3806C6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Epivir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68A96F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lamivudine 150 mg, 300 mg tablet</w:t>
            </w:r>
          </w:p>
        </w:tc>
      </w:tr>
      <w:tr w:rsidR="00F67431" w14:paraId="2F8F3C9C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CC80EA4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66A77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stavudine</w:t>
            </w:r>
          </w:p>
        </w:tc>
      </w:tr>
      <w:tr w:rsidR="00F67431" w14:paraId="5653EA11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514FD5F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Retrovir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48F10A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zidovudine</w:t>
            </w:r>
          </w:p>
        </w:tc>
      </w:tr>
      <w:tr w:rsidR="00F67431" w14:paraId="0D56B1A2" w14:textId="77777777" w:rsidTr="00BD64BE">
        <w:trPr>
          <w:trHeight w:val="285"/>
        </w:trPr>
        <w:tc>
          <w:tcPr>
            <w:tcW w:w="1035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C477B6B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Protease Inhibitors (PI) </w:t>
            </w:r>
          </w:p>
        </w:tc>
      </w:tr>
      <w:tr w:rsidR="00F67431" w14:paraId="46FA246D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E94DC5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Reyataz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596810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atazanavir</w:t>
            </w:r>
          </w:p>
        </w:tc>
      </w:tr>
      <w:tr w:rsidR="00F67431" w14:paraId="126D919E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55431C2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Prezista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058FE2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darunavir</w:t>
            </w:r>
          </w:p>
        </w:tc>
      </w:tr>
      <w:tr w:rsidR="00F67431" w14:paraId="35BEF5C6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0781CF0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Kaletra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FAE20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lopinavir / ritonavir</w:t>
            </w:r>
          </w:p>
        </w:tc>
      </w:tr>
      <w:tr w:rsidR="00F67431" w14:paraId="49C8A981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9E779E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Viracept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B9B7C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nelfinavir</w:t>
            </w:r>
          </w:p>
        </w:tc>
      </w:tr>
      <w:tr w:rsidR="00F67431" w14:paraId="407611E2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21BA25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Norvir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EB8D7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ritonavir packet</w:t>
            </w:r>
          </w:p>
        </w:tc>
      </w:tr>
      <w:tr w:rsidR="00F67431" w14:paraId="3F98D967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C98D5A9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Norvir</w:t>
            </w:r>
          </w:p>
        </w:tc>
        <w:tc>
          <w:tcPr>
            <w:tcW w:w="51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495D9B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ritonavir tablet</w:t>
            </w:r>
          </w:p>
        </w:tc>
      </w:tr>
      <w:tr w:rsidR="00F67431" w14:paraId="6A599334" w14:textId="77777777" w:rsidTr="00BD64BE">
        <w:trPr>
          <w:trHeight w:val="285"/>
        </w:trPr>
        <w:tc>
          <w:tcPr>
            <w:tcW w:w="517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5D912F1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Aptivus</w:t>
            </w:r>
          </w:p>
        </w:tc>
        <w:tc>
          <w:tcPr>
            <w:tcW w:w="517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88F2D" w14:textId="77777777" w:rsidR="00F67431" w:rsidRDefault="00F67431" w:rsidP="00BD64BE">
            <w:pPr>
              <w:rPr>
                <w:rFonts w:eastAsia="Arial" w:cs="Arial"/>
                <w:color w:val="000000" w:themeColor="text1"/>
                <w:szCs w:val="22"/>
              </w:rPr>
            </w:pPr>
            <w:r w:rsidRPr="6C6691C1">
              <w:rPr>
                <w:rFonts w:eastAsia="Arial" w:cs="Arial"/>
                <w:color w:val="000000" w:themeColor="text1"/>
                <w:szCs w:val="22"/>
              </w:rPr>
              <w:t>tipranavir</w:t>
            </w:r>
          </w:p>
        </w:tc>
      </w:tr>
    </w:tbl>
    <w:p w14:paraId="09711446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</w:p>
    <w:p w14:paraId="522387DD" w14:textId="77777777" w:rsidR="00F67431" w:rsidRDefault="00F67431" w:rsidP="00F67431">
      <w:pPr>
        <w:rPr>
          <w:rFonts w:eastAsia="Arial" w:cs="Arial"/>
          <w:color w:val="000000" w:themeColor="text1"/>
          <w:szCs w:val="22"/>
        </w:rPr>
      </w:pPr>
      <w:r w:rsidRPr="6CE588E5">
        <w:rPr>
          <w:rFonts w:eastAsia="Arial" w:cs="Arial"/>
          <w:color w:val="000000" w:themeColor="text1"/>
          <w:szCs w:val="22"/>
        </w:rPr>
        <w:t xml:space="preserve">The MassHealth Drug List is on the MassHealth Pharmacy Program website at </w:t>
      </w:r>
      <w:hyperlink r:id="rId12">
        <w:r w:rsidRPr="6CE588E5">
          <w:rPr>
            <w:rStyle w:val="Hyperlink"/>
            <w:rFonts w:eastAsia="Arial" w:cs="Arial"/>
            <w:szCs w:val="22"/>
          </w:rPr>
          <w:t>www.mass.gov/masshealth/pharmacy</w:t>
        </w:r>
      </w:hyperlink>
      <w:r w:rsidRPr="6CE588E5">
        <w:rPr>
          <w:rFonts w:eastAsia="Arial" w:cs="Arial"/>
          <w:color w:val="000000" w:themeColor="text1"/>
          <w:szCs w:val="22"/>
        </w:rPr>
        <w:t>.</w:t>
      </w:r>
    </w:p>
    <w:p w14:paraId="381FF93C" w14:textId="77777777" w:rsidR="00F67431" w:rsidRPr="001C14F2" w:rsidRDefault="00F67431" w:rsidP="00F67431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1C14F2">
        <w:rPr>
          <w:rFonts w:eastAsia="Arial" w:cs="Arial"/>
          <w:szCs w:val="22"/>
        </w:rPr>
        <w:t xml:space="preserve">  </w:t>
      </w:r>
    </w:p>
    <w:p w14:paraId="3DA9455E" w14:textId="21F31C01" w:rsidR="00F67431" w:rsidRPr="001C14F2" w:rsidRDefault="00F67431" w:rsidP="00F67431">
      <w:pPr>
        <w:autoSpaceDE w:val="0"/>
        <w:autoSpaceDN w:val="0"/>
        <w:adjustRightInd w:val="0"/>
        <w:rPr>
          <w:rFonts w:eastAsia="Arial" w:cs="Arial"/>
          <w:sz w:val="18"/>
          <w:szCs w:val="18"/>
        </w:rPr>
        <w:sectPr w:rsidR="00F67431" w:rsidRPr="001C14F2" w:rsidSect="00AA6659">
          <w:headerReference w:type="default" r:id="rId13"/>
          <w:footerReference w:type="default" r:id="rId14"/>
          <w:type w:val="continuous"/>
          <w:pgSz w:w="12240" w:h="15840" w:code="1"/>
          <w:pgMar w:top="360" w:right="907" w:bottom="1080" w:left="907" w:header="144" w:footer="576" w:gutter="0"/>
          <w:cols w:sep="1" w:space="720"/>
          <w:docGrid w:linePitch="360"/>
        </w:sectPr>
      </w:pPr>
    </w:p>
    <w:p w14:paraId="21D7076F" w14:textId="77777777" w:rsidR="00F67431" w:rsidRDefault="00F67431" w:rsidP="00AA6659">
      <w:pPr>
        <w:shd w:val="clear" w:color="auto" w:fill="FFFFFF"/>
        <w:rPr>
          <w:bCs/>
          <w:sz w:val="18"/>
          <w:szCs w:val="18"/>
        </w:rPr>
      </w:pPr>
    </w:p>
    <w:sectPr w:rsidR="00F67431" w:rsidSect="00F67431">
      <w:footerReference w:type="default" r:id="rId15"/>
      <w:footerReference w:type="first" r:id="rId16"/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E563" w14:textId="77777777" w:rsidR="008E6B67" w:rsidRDefault="008E6B67" w:rsidP="00492602">
      <w:r>
        <w:separator/>
      </w:r>
    </w:p>
  </w:endnote>
  <w:endnote w:type="continuationSeparator" w:id="0">
    <w:p w14:paraId="6DEFC4B2" w14:textId="77777777" w:rsidR="008E6B67" w:rsidRDefault="008E6B67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278A" w14:textId="756EE1FF" w:rsidR="00637A67" w:rsidRDefault="00D014AC" w:rsidP="00D014AC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  <w:r w:rsidR="006D3B5F">
      <w:tab/>
    </w:r>
  </w:p>
  <w:p w14:paraId="67997D61" w14:textId="77777777" w:rsidR="00837C3F" w:rsidRDefault="00837C3F" w:rsidP="00D014AC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AC9" w14:textId="77777777" w:rsidR="00F67431" w:rsidRPr="00D11DC6" w:rsidRDefault="00F67431" w:rsidP="00D11DC6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spacing w:line="240" w:lineRule="auto"/>
      <w:jc w:val="center"/>
      <w:textAlignment w:val="baseline"/>
      <w:rPr>
        <w:rFonts w:cs="Arial"/>
        <w:iCs/>
        <w:sz w:val="18"/>
        <w:szCs w:val="18"/>
      </w:rPr>
    </w:pPr>
    <w:r w:rsidRPr="00D11DC6">
      <w:rPr>
        <w:rFonts w:cs="Arial"/>
        <w:iCs/>
        <w:sz w:val="18"/>
        <w:szCs w:val="18"/>
      </w:rPr>
      <w:t>Please direct any questions or comments (or to be removed from this fax distribution) to</w:t>
    </w:r>
  </w:p>
  <w:p w14:paraId="1F380D99" w14:textId="77777777" w:rsidR="00F67431" w:rsidRPr="00D11DC6" w:rsidRDefault="00F67431" w:rsidP="00D11DC6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spacing w:line="240" w:lineRule="auto"/>
      <w:jc w:val="center"/>
      <w:textAlignment w:val="baseline"/>
      <w:rPr>
        <w:rFonts w:cs="Arial"/>
        <w:iCs/>
        <w:sz w:val="18"/>
        <w:szCs w:val="18"/>
      </w:rPr>
    </w:pPr>
    <w:hyperlink r:id="rId1" w:history="1">
      <w:r w:rsidRPr="00473CC9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>.</w:t>
    </w:r>
    <w:r w:rsidRPr="00D11DC6">
      <w:rPr>
        <w:rFonts w:cs="Arial"/>
        <w:iCs/>
        <w:sz w:val="18"/>
        <w:szCs w:val="18"/>
      </w:rPr>
      <w:t xml:space="preserve"> </w:t>
    </w:r>
  </w:p>
  <w:p w14:paraId="446E727C" w14:textId="77777777" w:rsidR="00F67431" w:rsidRDefault="00F67431" w:rsidP="00D014AC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D476" w14:textId="77777777" w:rsidR="00160EBC" w:rsidRDefault="00160EBC" w:rsidP="00AD4486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EE97" w14:textId="77777777" w:rsidR="00160EBC" w:rsidRDefault="00160EBC">
    <w:pPr>
      <w:pStyle w:val="Footer"/>
    </w:pPr>
    <w:r>
      <w:t>[Type text]</w:t>
    </w:r>
  </w:p>
  <w:p w14:paraId="18DEEEF9" w14:textId="77777777" w:rsidR="00160EBC" w:rsidRDefault="0016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134A" w14:textId="77777777" w:rsidR="008E6B67" w:rsidRDefault="008E6B67" w:rsidP="00492602">
      <w:r>
        <w:separator/>
      </w:r>
    </w:p>
  </w:footnote>
  <w:footnote w:type="continuationSeparator" w:id="0">
    <w:p w14:paraId="4A14963F" w14:textId="77777777" w:rsidR="008E6B67" w:rsidRDefault="008E6B67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F078" w14:textId="77777777" w:rsidR="007C45D0" w:rsidRPr="00C77CC8" w:rsidRDefault="007C45D0" w:rsidP="00AA6659">
    <w:pPr>
      <w:pStyle w:val="Default"/>
      <w:pBdr>
        <w:bottom w:val="single" w:sz="18" w:space="1" w:color="auto"/>
      </w:pBdr>
      <w:tabs>
        <w:tab w:val="right" w:pos="10440"/>
      </w:tabs>
      <w:spacing w:before="480"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>Number 25</w:t>
    </w:r>
    <w:r>
      <w:rPr>
        <w:color w:val="auto"/>
        <w:sz w:val="18"/>
        <w:szCs w:val="18"/>
      </w:rPr>
      <w:t>9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color w:val="auto"/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  <w:p w14:paraId="342D2E1F" w14:textId="77777777" w:rsidR="007C45D0" w:rsidRDefault="007C4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55C"/>
    <w:multiLevelType w:val="hybridMultilevel"/>
    <w:tmpl w:val="DB5258FC"/>
    <w:lvl w:ilvl="0" w:tplc="43FCA314">
      <w:start w:val="1"/>
      <w:numFmt w:val="lowerLetter"/>
      <w:pStyle w:val="Numberedlist"/>
      <w:lvlText w:val="%1."/>
      <w:lvlJc w:val="left"/>
      <w:pPr>
        <w:ind w:left="108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1EB95"/>
    <w:multiLevelType w:val="hybridMultilevel"/>
    <w:tmpl w:val="42C8684A"/>
    <w:lvl w:ilvl="0" w:tplc="5394D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A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AB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C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82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A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C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23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0C5364"/>
    <w:multiLevelType w:val="hybridMultilevel"/>
    <w:tmpl w:val="AA5AE920"/>
    <w:lvl w:ilvl="0" w:tplc="189C9A0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1AABA"/>
    <w:multiLevelType w:val="hybridMultilevel"/>
    <w:tmpl w:val="DBBE8DE2"/>
    <w:lvl w:ilvl="0" w:tplc="8EA61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E6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C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60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48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85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69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09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42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2787">
    <w:abstractNumId w:val="9"/>
  </w:num>
  <w:num w:numId="2" w16cid:durableId="678387703">
    <w:abstractNumId w:val="15"/>
  </w:num>
  <w:num w:numId="3" w16cid:durableId="171258805">
    <w:abstractNumId w:val="19"/>
  </w:num>
  <w:num w:numId="4" w16cid:durableId="933971704">
    <w:abstractNumId w:val="6"/>
  </w:num>
  <w:num w:numId="5" w16cid:durableId="1146894553">
    <w:abstractNumId w:val="8"/>
  </w:num>
  <w:num w:numId="6" w16cid:durableId="1099835229">
    <w:abstractNumId w:val="14"/>
  </w:num>
  <w:num w:numId="7" w16cid:durableId="1091773746">
    <w:abstractNumId w:val="20"/>
  </w:num>
  <w:num w:numId="8" w16cid:durableId="775977178">
    <w:abstractNumId w:val="2"/>
  </w:num>
  <w:num w:numId="9" w16cid:durableId="1192911353">
    <w:abstractNumId w:val="0"/>
  </w:num>
  <w:num w:numId="10" w16cid:durableId="1998994280">
    <w:abstractNumId w:val="17"/>
  </w:num>
  <w:num w:numId="11" w16cid:durableId="77529562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9363">
    <w:abstractNumId w:val="4"/>
  </w:num>
  <w:num w:numId="13" w16cid:durableId="489909912">
    <w:abstractNumId w:val="19"/>
  </w:num>
  <w:num w:numId="14" w16cid:durableId="12777144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933419">
    <w:abstractNumId w:val="14"/>
  </w:num>
  <w:num w:numId="16" w16cid:durableId="1632830456">
    <w:abstractNumId w:val="16"/>
  </w:num>
  <w:num w:numId="17" w16cid:durableId="1271858877">
    <w:abstractNumId w:val="1"/>
  </w:num>
  <w:num w:numId="18" w16cid:durableId="1285695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985">
    <w:abstractNumId w:val="5"/>
  </w:num>
  <w:num w:numId="20" w16cid:durableId="155609916">
    <w:abstractNumId w:val="3"/>
  </w:num>
  <w:num w:numId="21" w16cid:durableId="749011242">
    <w:abstractNumId w:val="7"/>
  </w:num>
  <w:num w:numId="22" w16cid:durableId="2135520725">
    <w:abstractNumId w:val="21"/>
  </w:num>
  <w:num w:numId="23" w16cid:durableId="1269894124">
    <w:abstractNumId w:val="22"/>
  </w:num>
  <w:num w:numId="24" w16cid:durableId="1534229008">
    <w:abstractNumId w:val="12"/>
  </w:num>
  <w:num w:numId="25" w16cid:durableId="480999597">
    <w:abstractNumId w:val="18"/>
  </w:num>
  <w:num w:numId="26" w16cid:durableId="1484080441">
    <w:abstractNumId w:val="6"/>
    <w:lvlOverride w:ilvl="0">
      <w:startOverride w:val="1"/>
    </w:lvlOverride>
  </w:num>
  <w:num w:numId="27" w16cid:durableId="339738625">
    <w:abstractNumId w:val="6"/>
  </w:num>
  <w:num w:numId="28" w16cid:durableId="2037268626">
    <w:abstractNumId w:val="13"/>
  </w:num>
  <w:num w:numId="29" w16cid:durableId="10741621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55153"/>
    <w:rsid w:val="00061F50"/>
    <w:rsid w:val="000658A5"/>
    <w:rsid w:val="000713D3"/>
    <w:rsid w:val="00074014"/>
    <w:rsid w:val="00074716"/>
    <w:rsid w:val="00081E8E"/>
    <w:rsid w:val="0008706E"/>
    <w:rsid w:val="000A622F"/>
    <w:rsid w:val="000A6318"/>
    <w:rsid w:val="000D1502"/>
    <w:rsid w:val="00102EDF"/>
    <w:rsid w:val="00123D58"/>
    <w:rsid w:val="00124EAA"/>
    <w:rsid w:val="0012682D"/>
    <w:rsid w:val="001378CB"/>
    <w:rsid w:val="00137D3D"/>
    <w:rsid w:val="00140D08"/>
    <w:rsid w:val="00147437"/>
    <w:rsid w:val="00157A49"/>
    <w:rsid w:val="00160EBC"/>
    <w:rsid w:val="00171445"/>
    <w:rsid w:val="001721D8"/>
    <w:rsid w:val="0018357E"/>
    <w:rsid w:val="001864A9"/>
    <w:rsid w:val="001A125B"/>
    <w:rsid w:val="001C1481"/>
    <w:rsid w:val="001E234B"/>
    <w:rsid w:val="001E779F"/>
    <w:rsid w:val="001F5CB4"/>
    <w:rsid w:val="001F6F0B"/>
    <w:rsid w:val="0021214A"/>
    <w:rsid w:val="00212477"/>
    <w:rsid w:val="00212622"/>
    <w:rsid w:val="002174E8"/>
    <w:rsid w:val="002275AE"/>
    <w:rsid w:val="002509E9"/>
    <w:rsid w:val="00267FBD"/>
    <w:rsid w:val="00274F3E"/>
    <w:rsid w:val="00276F3A"/>
    <w:rsid w:val="00286CBE"/>
    <w:rsid w:val="00291397"/>
    <w:rsid w:val="002C7C67"/>
    <w:rsid w:val="002D390F"/>
    <w:rsid w:val="002D738C"/>
    <w:rsid w:val="002E2F9E"/>
    <w:rsid w:val="002F232A"/>
    <w:rsid w:val="002F459B"/>
    <w:rsid w:val="003152DA"/>
    <w:rsid w:val="003240F1"/>
    <w:rsid w:val="0033053B"/>
    <w:rsid w:val="00351497"/>
    <w:rsid w:val="00360067"/>
    <w:rsid w:val="00361733"/>
    <w:rsid w:val="0036343A"/>
    <w:rsid w:val="00372195"/>
    <w:rsid w:val="00372205"/>
    <w:rsid w:val="0037373E"/>
    <w:rsid w:val="00375713"/>
    <w:rsid w:val="00382054"/>
    <w:rsid w:val="003911FC"/>
    <w:rsid w:val="003B6839"/>
    <w:rsid w:val="003C45A1"/>
    <w:rsid w:val="003D3B27"/>
    <w:rsid w:val="003F533B"/>
    <w:rsid w:val="004233B0"/>
    <w:rsid w:val="00447A5F"/>
    <w:rsid w:val="004516DC"/>
    <w:rsid w:val="004555D9"/>
    <w:rsid w:val="00456B5A"/>
    <w:rsid w:val="00457528"/>
    <w:rsid w:val="004664D3"/>
    <w:rsid w:val="00492602"/>
    <w:rsid w:val="0049423D"/>
    <w:rsid w:val="00494D38"/>
    <w:rsid w:val="004A3BAA"/>
    <w:rsid w:val="004A7395"/>
    <w:rsid w:val="004C1DAD"/>
    <w:rsid w:val="004D1BC7"/>
    <w:rsid w:val="004D20D7"/>
    <w:rsid w:val="004D79B2"/>
    <w:rsid w:val="004F5506"/>
    <w:rsid w:val="004F5612"/>
    <w:rsid w:val="005052D9"/>
    <w:rsid w:val="00516394"/>
    <w:rsid w:val="0052118E"/>
    <w:rsid w:val="00527F95"/>
    <w:rsid w:val="005314A6"/>
    <w:rsid w:val="0054782F"/>
    <w:rsid w:val="005502E1"/>
    <w:rsid w:val="00554060"/>
    <w:rsid w:val="0055514F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1376"/>
    <w:rsid w:val="005A57BA"/>
    <w:rsid w:val="005B15B3"/>
    <w:rsid w:val="005D723D"/>
    <w:rsid w:val="005E3688"/>
    <w:rsid w:val="005F2371"/>
    <w:rsid w:val="006007FE"/>
    <w:rsid w:val="00623469"/>
    <w:rsid w:val="006255CB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753A6"/>
    <w:rsid w:val="00686C26"/>
    <w:rsid w:val="00690023"/>
    <w:rsid w:val="00696F48"/>
    <w:rsid w:val="0069772F"/>
    <w:rsid w:val="006A1AD3"/>
    <w:rsid w:val="006A767B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63358"/>
    <w:rsid w:val="007757E7"/>
    <w:rsid w:val="00781D3B"/>
    <w:rsid w:val="007A038A"/>
    <w:rsid w:val="007A41F5"/>
    <w:rsid w:val="007B2F2D"/>
    <w:rsid w:val="007B33B4"/>
    <w:rsid w:val="007B4429"/>
    <w:rsid w:val="007B7425"/>
    <w:rsid w:val="007C45D0"/>
    <w:rsid w:val="007F5417"/>
    <w:rsid w:val="00804116"/>
    <w:rsid w:val="00812480"/>
    <w:rsid w:val="00816C8D"/>
    <w:rsid w:val="00816CE2"/>
    <w:rsid w:val="00821937"/>
    <w:rsid w:val="008340D0"/>
    <w:rsid w:val="00837C3F"/>
    <w:rsid w:val="008403CA"/>
    <w:rsid w:val="008474A5"/>
    <w:rsid w:val="0085395A"/>
    <w:rsid w:val="00853F8E"/>
    <w:rsid w:val="0086142C"/>
    <w:rsid w:val="00866EE3"/>
    <w:rsid w:val="00870F52"/>
    <w:rsid w:val="00872E7F"/>
    <w:rsid w:val="00880FA9"/>
    <w:rsid w:val="008930F1"/>
    <w:rsid w:val="00893F45"/>
    <w:rsid w:val="008C1341"/>
    <w:rsid w:val="008C5414"/>
    <w:rsid w:val="008C66D8"/>
    <w:rsid w:val="008E4B33"/>
    <w:rsid w:val="008E6B67"/>
    <w:rsid w:val="008F0130"/>
    <w:rsid w:val="008F2E4C"/>
    <w:rsid w:val="00905C46"/>
    <w:rsid w:val="00906EEC"/>
    <w:rsid w:val="009117FB"/>
    <w:rsid w:val="009166DF"/>
    <w:rsid w:val="009204C7"/>
    <w:rsid w:val="00922030"/>
    <w:rsid w:val="00932FD3"/>
    <w:rsid w:val="009365C7"/>
    <w:rsid w:val="00937424"/>
    <w:rsid w:val="0094076D"/>
    <w:rsid w:val="00941258"/>
    <w:rsid w:val="00942245"/>
    <w:rsid w:val="00956812"/>
    <w:rsid w:val="0095770E"/>
    <w:rsid w:val="009725E5"/>
    <w:rsid w:val="00974CFD"/>
    <w:rsid w:val="00981567"/>
    <w:rsid w:val="009C0B43"/>
    <w:rsid w:val="009C3981"/>
    <w:rsid w:val="009C50D7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2577C"/>
    <w:rsid w:val="00A31FAA"/>
    <w:rsid w:val="00A343A9"/>
    <w:rsid w:val="00A5239C"/>
    <w:rsid w:val="00A571F6"/>
    <w:rsid w:val="00A650DC"/>
    <w:rsid w:val="00A6764A"/>
    <w:rsid w:val="00A84255"/>
    <w:rsid w:val="00A853D9"/>
    <w:rsid w:val="00AA6659"/>
    <w:rsid w:val="00AC1AC7"/>
    <w:rsid w:val="00AD18B8"/>
    <w:rsid w:val="00AD33D5"/>
    <w:rsid w:val="00AE21FC"/>
    <w:rsid w:val="00B01BAA"/>
    <w:rsid w:val="00B05470"/>
    <w:rsid w:val="00B07BD7"/>
    <w:rsid w:val="00B10600"/>
    <w:rsid w:val="00B13AA5"/>
    <w:rsid w:val="00B3099B"/>
    <w:rsid w:val="00B40A71"/>
    <w:rsid w:val="00B45236"/>
    <w:rsid w:val="00B503C7"/>
    <w:rsid w:val="00B520E2"/>
    <w:rsid w:val="00B54AB5"/>
    <w:rsid w:val="00B645C9"/>
    <w:rsid w:val="00B86F04"/>
    <w:rsid w:val="00B91ED7"/>
    <w:rsid w:val="00B92C96"/>
    <w:rsid w:val="00BA64D7"/>
    <w:rsid w:val="00BA68F0"/>
    <w:rsid w:val="00BD08CA"/>
    <w:rsid w:val="00BD3D3E"/>
    <w:rsid w:val="00BE0808"/>
    <w:rsid w:val="00BF0DF4"/>
    <w:rsid w:val="00C00CF2"/>
    <w:rsid w:val="00C15672"/>
    <w:rsid w:val="00C21680"/>
    <w:rsid w:val="00C24EF5"/>
    <w:rsid w:val="00C304E6"/>
    <w:rsid w:val="00C31421"/>
    <w:rsid w:val="00C33753"/>
    <w:rsid w:val="00C35B94"/>
    <w:rsid w:val="00C53DF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14AC"/>
    <w:rsid w:val="00D0584B"/>
    <w:rsid w:val="00D11DC6"/>
    <w:rsid w:val="00D2695E"/>
    <w:rsid w:val="00D450C8"/>
    <w:rsid w:val="00D521FA"/>
    <w:rsid w:val="00D66801"/>
    <w:rsid w:val="00D779F2"/>
    <w:rsid w:val="00D81121"/>
    <w:rsid w:val="00D939D0"/>
    <w:rsid w:val="00DA6A55"/>
    <w:rsid w:val="00DB423E"/>
    <w:rsid w:val="00DF73DB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82B3A"/>
    <w:rsid w:val="00E92E47"/>
    <w:rsid w:val="00E9576D"/>
    <w:rsid w:val="00EC08AC"/>
    <w:rsid w:val="00EC1948"/>
    <w:rsid w:val="00ED4639"/>
    <w:rsid w:val="00EE54D2"/>
    <w:rsid w:val="00EF7C8A"/>
    <w:rsid w:val="00F21A0D"/>
    <w:rsid w:val="00F2514F"/>
    <w:rsid w:val="00F25E7F"/>
    <w:rsid w:val="00F274DE"/>
    <w:rsid w:val="00F6038A"/>
    <w:rsid w:val="00F643E6"/>
    <w:rsid w:val="00F67431"/>
    <w:rsid w:val="00F76D69"/>
    <w:rsid w:val="00F9012C"/>
    <w:rsid w:val="00F9097E"/>
    <w:rsid w:val="00F93C6C"/>
    <w:rsid w:val="00FA5147"/>
    <w:rsid w:val="00FB0C11"/>
    <w:rsid w:val="00FB5301"/>
    <w:rsid w:val="00FD4894"/>
    <w:rsid w:val="00FE58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  <w15:docId w15:val="{B86CDE8A-19F9-473D-8B9A-2C050AF5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3B0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Header"/>
    <w:next w:val="Normal"/>
    <w:link w:val="Heading1Char"/>
    <w:qFormat/>
    <w:rsid w:val="006A767B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73DB"/>
    <w:pPr>
      <w:keepNext/>
      <w:keepLines/>
      <w:spacing w:before="160" w:after="120"/>
      <w:outlineLvl w:val="1"/>
    </w:pPr>
    <w:rPr>
      <w:rFonts w:ascii="Arial Black" w:eastAsiaTheme="majorEastAsia" w:hAnsi="Arial Black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3DB"/>
    <w:pPr>
      <w:keepNext/>
      <w:keepLines/>
      <w:spacing w:before="160" w:after="12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cs="Arial"/>
      <w:color w:val="000000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767B"/>
    <w:rPr>
      <w:rFonts w:ascii="Arial Black" w:eastAsiaTheme="majorEastAsia" w:hAnsi="Arial Black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F73DB"/>
    <w:rPr>
      <w:rFonts w:ascii="Arial Black" w:eastAsiaTheme="majorEastAsia" w:hAnsi="Arial Black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F73DB"/>
    <w:rPr>
      <w:rFonts w:ascii="Arial Black" w:eastAsiaTheme="majorEastAsia" w:hAnsi="Arial Black" w:cstheme="majorBidi"/>
      <w:sz w:val="22"/>
      <w:szCs w:val="24"/>
    </w:rPr>
  </w:style>
  <w:style w:type="paragraph" w:customStyle="1" w:styleId="Bulletedlist">
    <w:name w:val="Bulleted list"/>
    <w:basedOn w:val="Normal"/>
    <w:link w:val="BulletedlistChar"/>
    <w:qFormat/>
    <w:rsid w:val="00A2577C"/>
    <w:pPr>
      <w:numPr>
        <w:numId w:val="25"/>
      </w:numPr>
      <w:ind w:left="720"/>
    </w:pPr>
    <w:rPr>
      <w:rFonts w:cs="Arial"/>
      <w:szCs w:val="22"/>
    </w:rPr>
  </w:style>
  <w:style w:type="character" w:customStyle="1" w:styleId="BulletedlistChar">
    <w:name w:val="Bulleted list Char"/>
    <w:basedOn w:val="DefaultParagraphFont"/>
    <w:link w:val="Bulletedlist"/>
    <w:rsid w:val="00A2577C"/>
    <w:rPr>
      <w:rFonts w:ascii="Arial" w:hAnsi="Arial" w:cs="Arial"/>
      <w:sz w:val="22"/>
      <w:szCs w:val="22"/>
    </w:rPr>
  </w:style>
  <w:style w:type="paragraph" w:customStyle="1" w:styleId="Numberedlist">
    <w:name w:val="Numbered list"/>
    <w:basedOn w:val="Normal"/>
    <w:link w:val="NumberedlistChar"/>
    <w:qFormat/>
    <w:rsid w:val="00C24EF5"/>
    <w:pPr>
      <w:numPr>
        <w:numId w:val="4"/>
      </w:numPr>
      <w:autoSpaceDE w:val="0"/>
      <w:autoSpaceDN w:val="0"/>
      <w:adjustRightInd w:val="0"/>
    </w:pPr>
    <w:rPr>
      <w:rFonts w:cs="Arial"/>
      <w:color w:val="000000"/>
      <w:lang w:val="fr-FR"/>
    </w:rPr>
  </w:style>
  <w:style w:type="character" w:customStyle="1" w:styleId="NumberedlistChar">
    <w:name w:val="Numbered list Char"/>
    <w:basedOn w:val="DefaultParagraphFont"/>
    <w:link w:val="Numberedlist"/>
    <w:rsid w:val="00C24EF5"/>
    <w:rPr>
      <w:rFonts w:ascii="Arial" w:hAnsi="Arial" w:cs="Arial"/>
      <w:color w:val="000000"/>
      <w:sz w:val="22"/>
      <w:szCs w:val="24"/>
      <w:lang w:val="fr-FR"/>
    </w:rPr>
  </w:style>
  <w:style w:type="paragraph" w:customStyle="1" w:styleId="subbullet">
    <w:name w:val="subbullet"/>
    <w:basedOn w:val="Bulletedlist"/>
    <w:link w:val="subbulletChar"/>
    <w:qFormat/>
    <w:rsid w:val="006A1AD3"/>
    <w:pPr>
      <w:ind w:left="1440"/>
    </w:pPr>
  </w:style>
  <w:style w:type="character" w:customStyle="1" w:styleId="subbulletChar">
    <w:name w:val="subbullet Char"/>
    <w:basedOn w:val="BulletedlistChar"/>
    <w:link w:val="subbullet"/>
    <w:rsid w:val="006A1AD3"/>
    <w:rPr>
      <w:rFonts w:ascii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11D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234B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semiHidden/>
    <w:unhideWhenUsed/>
    <w:rsid w:val="009C5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masshealth/pharma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hdl.pharmacy.services.conduent.com/MHD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Eisan, Jenna (EHS)</cp:lastModifiedBy>
  <cp:revision>23</cp:revision>
  <dcterms:created xsi:type="dcterms:W3CDTF">2025-09-15T16:19:00Z</dcterms:created>
  <dcterms:modified xsi:type="dcterms:W3CDTF">2025-10-31T15:08:00Z</dcterms:modified>
</cp:coreProperties>
</file>