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DBD5" w14:textId="0491DC1B" w:rsidR="008F2307" w:rsidRPr="001C14F2" w:rsidRDefault="00F178E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  <w:r w:rsidRPr="001C14F2">
        <w:rPr>
          <w:rFonts w:cs="Arial"/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0C803F8B" wp14:editId="64BD0E57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611112" cy="1847088"/>
            <wp:effectExtent l="0" t="0" r="0" b="1270"/>
            <wp:wrapNone/>
            <wp:docPr id="267023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112" cy="184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307" w:rsidRPr="001C14F2">
        <w:rPr>
          <w:rFonts w:ascii="Arial Narrow" w:hAnsi="Arial Narrow"/>
          <w:b/>
          <w:sz w:val="20"/>
          <w:szCs w:val="20"/>
        </w:rPr>
        <w:t xml:space="preserve">Number </w:t>
      </w:r>
      <w:r w:rsidR="00D020F8">
        <w:rPr>
          <w:rFonts w:ascii="Arial Narrow" w:hAnsi="Arial Narrow"/>
          <w:b/>
          <w:color w:val="auto"/>
          <w:sz w:val="20"/>
          <w:szCs w:val="20"/>
        </w:rPr>
        <w:t>260</w:t>
      </w:r>
      <w:r w:rsidR="008F2307" w:rsidRPr="001C14F2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D020F8">
        <w:rPr>
          <w:rFonts w:ascii="Arial Narrow" w:hAnsi="Arial Narrow"/>
          <w:b/>
          <w:color w:val="auto"/>
          <w:sz w:val="20"/>
          <w:szCs w:val="20"/>
        </w:rPr>
        <w:t>November 7, 202</w:t>
      </w:r>
      <w:r w:rsidR="00140DF7">
        <w:rPr>
          <w:rFonts w:ascii="Arial Narrow" w:hAnsi="Arial Narrow"/>
          <w:b/>
          <w:color w:val="auto"/>
          <w:sz w:val="20"/>
          <w:szCs w:val="20"/>
        </w:rPr>
        <w:t>5</w:t>
      </w:r>
    </w:p>
    <w:p w14:paraId="50A17C1C" w14:textId="194FC646" w:rsidR="002C690F" w:rsidRPr="001C14F2" w:rsidRDefault="002C690F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1963495" w14:textId="715173AA" w:rsidR="002C690F" w:rsidRPr="001C14F2" w:rsidRDefault="002C690F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7E8EBD14" w14:textId="18AEBAA5" w:rsidR="00F66ACE" w:rsidRPr="001C14F2" w:rsidRDefault="00F66AC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7B311556" w14:textId="1EA040A2" w:rsidR="00F66ACE" w:rsidRPr="001C14F2" w:rsidRDefault="00F66AC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6A73100E" w14:textId="0963251C" w:rsidR="00F66ACE" w:rsidRPr="001C14F2" w:rsidRDefault="00F66AC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226944F7" w14:textId="77777777" w:rsidR="00F66ACE" w:rsidRPr="001C14F2" w:rsidRDefault="00F66AC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57A3E558" w14:textId="77777777" w:rsidR="00F66ACE" w:rsidRPr="001C14F2" w:rsidRDefault="00F66AC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7D23F871" w14:textId="77777777" w:rsidR="00F66ACE" w:rsidRPr="001C14F2" w:rsidRDefault="00F66AC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6BABAA9E" w14:textId="77777777" w:rsidR="00F66ACE" w:rsidRPr="001C14F2" w:rsidRDefault="00F66ACE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56A843BC" w14:textId="0856AACD" w:rsidR="006F35F9" w:rsidRPr="001C14F2" w:rsidRDefault="006F35F9" w:rsidP="002C690F">
      <w:pPr>
        <w:pStyle w:val="NormalWeb"/>
        <w:shd w:val="clear" w:color="auto" w:fill="FFFFFF"/>
        <w:spacing w:before="0" w:beforeAutospacing="0" w:after="225" w:afterAutospacing="0"/>
        <w:ind w:right="144"/>
        <w:jc w:val="both"/>
        <w:rPr>
          <w:rFonts w:ascii="Arial" w:hAnsi="Arial" w:cs="Arial"/>
          <w:color w:val="000000"/>
          <w:sz w:val="21"/>
          <w:szCs w:val="21"/>
        </w:rPr>
        <w:sectPr w:rsidR="006F35F9" w:rsidRPr="001C14F2" w:rsidSect="00410B13">
          <w:headerReference w:type="default" r:id="rId12"/>
          <w:footerReference w:type="default" r:id="rId13"/>
          <w:footerReference w:type="first" r:id="rId14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</w:p>
    <w:p w14:paraId="0C44FDC6" w14:textId="059A01BF" w:rsidR="185D5405" w:rsidRDefault="185D5405" w:rsidP="185D5405">
      <w:pPr>
        <w:pStyle w:val="BodyText1"/>
        <w:rPr>
          <w:rFonts w:eastAsia="Arial"/>
          <w:b/>
          <w:bCs/>
          <w:color w:val="auto"/>
          <w:sz w:val="24"/>
          <w:szCs w:val="24"/>
        </w:rPr>
      </w:pPr>
    </w:p>
    <w:p w14:paraId="1181B99F" w14:textId="7EBFE68D" w:rsidR="00DE4B37" w:rsidRPr="00DE4B37" w:rsidRDefault="13A40D3E" w:rsidP="6DE903A3">
      <w:pPr>
        <w:pStyle w:val="BodyText1"/>
        <w:spacing w:line="240" w:lineRule="auto"/>
        <w:rPr>
          <w:rFonts w:eastAsia="Arial"/>
          <w:b/>
          <w:bCs/>
          <w:color w:val="auto"/>
          <w:sz w:val="24"/>
          <w:szCs w:val="24"/>
        </w:rPr>
      </w:pPr>
      <w:r w:rsidRPr="6DE903A3">
        <w:rPr>
          <w:rFonts w:eastAsia="Arial"/>
          <w:b/>
          <w:bCs/>
          <w:color w:val="auto"/>
          <w:sz w:val="24"/>
          <w:szCs w:val="24"/>
        </w:rPr>
        <w:t xml:space="preserve">Upcoming </w:t>
      </w:r>
      <w:r w:rsidR="264502C4" w:rsidRPr="6DE903A3">
        <w:rPr>
          <w:rFonts w:eastAsia="Arial"/>
          <w:b/>
          <w:bCs/>
          <w:color w:val="auto"/>
          <w:sz w:val="24"/>
          <w:szCs w:val="24"/>
        </w:rPr>
        <w:t>Chang</w:t>
      </w:r>
      <w:r w:rsidR="5BE306B2" w:rsidRPr="6DE903A3">
        <w:rPr>
          <w:rFonts w:eastAsia="Arial"/>
          <w:b/>
          <w:bCs/>
          <w:color w:val="auto"/>
          <w:sz w:val="24"/>
          <w:szCs w:val="24"/>
        </w:rPr>
        <w:t>e</w:t>
      </w:r>
      <w:r w:rsidR="5205B7C3" w:rsidRPr="6DE903A3">
        <w:rPr>
          <w:rFonts w:eastAsia="Arial"/>
          <w:b/>
          <w:bCs/>
          <w:color w:val="auto"/>
          <w:sz w:val="24"/>
          <w:szCs w:val="24"/>
        </w:rPr>
        <w:t>s</w:t>
      </w:r>
      <w:r w:rsidR="264502C4" w:rsidRPr="6DE903A3">
        <w:rPr>
          <w:rFonts w:eastAsia="Arial"/>
          <w:b/>
          <w:bCs/>
          <w:color w:val="auto"/>
          <w:sz w:val="24"/>
          <w:szCs w:val="24"/>
        </w:rPr>
        <w:t xml:space="preserve"> to </w:t>
      </w:r>
      <w:r w:rsidR="72A3DEA5" w:rsidRPr="6DE903A3">
        <w:rPr>
          <w:rFonts w:eastAsia="Arial"/>
          <w:b/>
          <w:bCs/>
          <w:color w:val="auto"/>
          <w:sz w:val="24"/>
          <w:szCs w:val="24"/>
        </w:rPr>
        <w:t xml:space="preserve">MassHealth </w:t>
      </w:r>
      <w:r w:rsidR="264502C4" w:rsidRPr="6DE903A3">
        <w:rPr>
          <w:rFonts w:eastAsia="Arial"/>
          <w:b/>
          <w:bCs/>
          <w:color w:val="auto"/>
          <w:sz w:val="24"/>
          <w:szCs w:val="24"/>
        </w:rPr>
        <w:t xml:space="preserve">Management of </w:t>
      </w:r>
      <w:r w:rsidR="000339AA" w:rsidRPr="6DE903A3">
        <w:rPr>
          <w:rFonts w:eastAsia="Arial"/>
          <w:b/>
          <w:bCs/>
          <w:color w:val="auto"/>
          <w:sz w:val="24"/>
          <w:szCs w:val="24"/>
        </w:rPr>
        <w:t>A</w:t>
      </w:r>
      <w:r w:rsidR="6C2E446C" w:rsidRPr="6DE903A3">
        <w:rPr>
          <w:rFonts w:eastAsia="Arial"/>
          <w:b/>
          <w:bCs/>
          <w:color w:val="auto"/>
          <w:sz w:val="24"/>
          <w:szCs w:val="24"/>
        </w:rPr>
        <w:t>dalimumab</w:t>
      </w:r>
      <w:r w:rsidR="000339AA" w:rsidRPr="6DE903A3">
        <w:rPr>
          <w:rFonts w:eastAsia="Arial"/>
          <w:b/>
          <w:bCs/>
          <w:color w:val="auto"/>
          <w:sz w:val="24"/>
          <w:szCs w:val="24"/>
        </w:rPr>
        <w:t xml:space="preserve"> </w:t>
      </w:r>
      <w:r w:rsidR="2717D309" w:rsidRPr="6DE903A3">
        <w:rPr>
          <w:rFonts w:eastAsia="Arial"/>
          <w:b/>
          <w:bCs/>
          <w:color w:val="auto"/>
          <w:sz w:val="24"/>
          <w:szCs w:val="24"/>
        </w:rPr>
        <w:t xml:space="preserve">and Ustekinumab </w:t>
      </w:r>
      <w:r w:rsidR="000339AA" w:rsidRPr="6DE903A3">
        <w:rPr>
          <w:rFonts w:eastAsia="Arial"/>
          <w:b/>
          <w:bCs/>
          <w:color w:val="auto"/>
          <w:sz w:val="24"/>
          <w:szCs w:val="24"/>
        </w:rPr>
        <w:t xml:space="preserve">Biosimilars </w:t>
      </w:r>
    </w:p>
    <w:p w14:paraId="097FA723" w14:textId="04B0B150" w:rsidR="264502C4" w:rsidRDefault="264502C4" w:rsidP="6DE903A3">
      <w:pPr>
        <w:rPr>
          <w:rFonts w:ascii="Arial" w:eastAsia="Arial" w:hAnsi="Arial" w:cs="Arial"/>
          <w:sz w:val="22"/>
          <w:szCs w:val="22"/>
        </w:rPr>
      </w:pPr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Effective </w:t>
      </w:r>
      <w:r w:rsidR="28F934D1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January </w:t>
      </w:r>
      <w:r w:rsidR="7308D202" w:rsidRPr="6DE903A3"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>, 202</w:t>
      </w:r>
      <w:r w:rsidR="313610EA" w:rsidRPr="6DE903A3">
        <w:rPr>
          <w:rFonts w:ascii="Arial" w:eastAsia="Arial" w:hAnsi="Arial" w:cs="Arial"/>
          <w:color w:val="000000" w:themeColor="text1"/>
          <w:sz w:val="22"/>
          <w:szCs w:val="22"/>
        </w:rPr>
        <w:t>6</w:t>
      </w:r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>, MassHealth</w:t>
      </w:r>
      <w:r w:rsidR="6D7CB67F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 will </w:t>
      </w:r>
      <w:r w:rsidR="73C0C35F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prefer </w:t>
      </w:r>
      <w:r w:rsidR="00476542" w:rsidRPr="6DE903A3">
        <w:rPr>
          <w:rFonts w:ascii="Arial" w:eastAsia="Arial" w:hAnsi="Arial" w:cs="Arial"/>
          <w:color w:val="000000" w:themeColor="text1"/>
          <w:sz w:val="22"/>
          <w:szCs w:val="22"/>
        </w:rPr>
        <w:t>several</w:t>
      </w:r>
      <w:r w:rsidR="6D7CB67F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1D04DE" w:rsidRPr="6DE903A3">
        <w:rPr>
          <w:rFonts w:ascii="Arial" w:eastAsia="Arial" w:hAnsi="Arial" w:cs="Arial"/>
          <w:color w:val="000000" w:themeColor="text1"/>
          <w:sz w:val="22"/>
          <w:szCs w:val="22"/>
        </w:rPr>
        <w:t>adalimumab</w:t>
      </w:r>
      <w:r w:rsidR="3713CAF8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 and ustekinumab biosimilars.</w:t>
      </w:r>
      <w:r w:rsidR="6880D28A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 A biosimilar is a biologic medication that is </w:t>
      </w:r>
      <w:proofErr w:type="gramStart"/>
      <w:r w:rsidR="6880D28A" w:rsidRPr="6DE903A3">
        <w:rPr>
          <w:rFonts w:ascii="Arial" w:eastAsia="Arial" w:hAnsi="Arial" w:cs="Arial"/>
          <w:color w:val="000000" w:themeColor="text1"/>
          <w:sz w:val="22"/>
          <w:szCs w:val="22"/>
        </w:rPr>
        <w:t>similar to</w:t>
      </w:r>
      <w:proofErr w:type="gramEnd"/>
      <w:r w:rsidR="6880D28A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 the original biologic medication approved by the FDA, sometimes called the </w:t>
      </w:r>
      <w:r w:rsidR="00FD31BC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="6880D28A" w:rsidRPr="6DE903A3">
        <w:rPr>
          <w:rFonts w:ascii="Arial" w:eastAsia="Arial" w:hAnsi="Arial" w:cs="Arial"/>
          <w:color w:val="000000" w:themeColor="text1"/>
          <w:sz w:val="22"/>
          <w:szCs w:val="22"/>
        </w:rPr>
        <w:t>reference product.</w:t>
      </w:r>
      <w:r w:rsidR="00FD31BC">
        <w:rPr>
          <w:rFonts w:ascii="Arial" w:eastAsia="Arial" w:hAnsi="Arial" w:cs="Arial"/>
          <w:color w:val="000000" w:themeColor="text1"/>
          <w:sz w:val="22"/>
          <w:szCs w:val="22"/>
        </w:rPr>
        <w:t>”</w:t>
      </w:r>
      <w:r w:rsidR="5F10C874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36795C" w:rsidRPr="6DE903A3">
        <w:rPr>
          <w:rFonts w:ascii="Arial" w:eastAsia="Arial" w:hAnsi="Arial" w:cs="Arial"/>
          <w:color w:val="000000" w:themeColor="text1"/>
          <w:sz w:val="22"/>
          <w:szCs w:val="22"/>
        </w:rPr>
        <w:t>Biosimilars have no clinically meaningful differences and are as equally safe and effective as the reference product.</w:t>
      </w:r>
    </w:p>
    <w:p w14:paraId="138D2CD3" w14:textId="740EE4A1" w:rsidR="000339AA" w:rsidRDefault="000339AA" w:rsidP="6DE903A3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85EFE68" w14:textId="132E9A44" w:rsidR="000339AA" w:rsidRDefault="6ACB78AC" w:rsidP="6DE903A3">
      <w:pPr>
        <w:pStyle w:val="BodyText1"/>
        <w:spacing w:line="240" w:lineRule="auto"/>
        <w:rPr>
          <w:rFonts w:eastAsia="Arial"/>
          <w:b/>
          <w:bCs/>
          <w:color w:val="000000" w:themeColor="text1"/>
          <w:sz w:val="24"/>
          <w:szCs w:val="24"/>
        </w:rPr>
      </w:pPr>
      <w:r w:rsidRPr="6DE903A3">
        <w:rPr>
          <w:rFonts w:eastAsia="Arial"/>
          <w:b/>
          <w:bCs/>
          <w:color w:val="auto"/>
          <w:sz w:val="24"/>
          <w:szCs w:val="24"/>
        </w:rPr>
        <w:t xml:space="preserve">Effective January 5, 2026, </w:t>
      </w:r>
      <w:proofErr w:type="spellStart"/>
      <w:r w:rsidRPr="6DE903A3">
        <w:rPr>
          <w:rFonts w:eastAsia="Arial"/>
          <w:b/>
          <w:bCs/>
          <w:color w:val="auto"/>
          <w:sz w:val="24"/>
          <w:szCs w:val="24"/>
        </w:rPr>
        <w:t>Hadlima</w:t>
      </w:r>
      <w:proofErr w:type="spellEnd"/>
      <w:r w:rsidRPr="6DE903A3">
        <w:rPr>
          <w:rFonts w:eastAsia="Arial"/>
          <w:b/>
          <w:bCs/>
          <w:color w:val="auto"/>
          <w:sz w:val="24"/>
          <w:szCs w:val="24"/>
          <w:vertAlign w:val="superscript"/>
        </w:rPr>
        <w:t>®</w:t>
      </w:r>
      <w:r w:rsidRPr="6DE903A3">
        <w:rPr>
          <w:rFonts w:eastAsia="Arial"/>
          <w:b/>
          <w:bCs/>
          <w:color w:val="auto"/>
          <w:sz w:val="24"/>
          <w:szCs w:val="24"/>
        </w:rPr>
        <w:t xml:space="preserve"> (adalimumab-</w:t>
      </w:r>
      <w:proofErr w:type="spellStart"/>
      <w:r w:rsidRPr="6DE903A3">
        <w:rPr>
          <w:rFonts w:eastAsia="Arial"/>
          <w:b/>
          <w:bCs/>
          <w:color w:val="auto"/>
          <w:sz w:val="24"/>
          <w:szCs w:val="24"/>
        </w:rPr>
        <w:t>bwwd</w:t>
      </w:r>
      <w:proofErr w:type="spellEnd"/>
      <w:r w:rsidRPr="6DE903A3">
        <w:rPr>
          <w:rFonts w:eastAsia="Arial"/>
          <w:b/>
          <w:bCs/>
          <w:color w:val="auto"/>
          <w:sz w:val="24"/>
          <w:szCs w:val="24"/>
        </w:rPr>
        <w:t>)</w:t>
      </w:r>
      <w:r w:rsidR="70F44D3C" w:rsidRPr="6DE903A3">
        <w:rPr>
          <w:rFonts w:eastAsia="Arial"/>
          <w:b/>
          <w:bCs/>
          <w:color w:val="auto"/>
          <w:sz w:val="24"/>
          <w:szCs w:val="24"/>
        </w:rPr>
        <w:t xml:space="preserve">, </w:t>
      </w:r>
      <w:r w:rsidRPr="6DE903A3">
        <w:rPr>
          <w:rFonts w:eastAsia="Arial"/>
          <w:b/>
          <w:bCs/>
          <w:color w:val="auto"/>
          <w:sz w:val="24"/>
          <w:szCs w:val="24"/>
        </w:rPr>
        <w:t>adalimumab-</w:t>
      </w:r>
      <w:proofErr w:type="spellStart"/>
      <w:r w:rsidRPr="6DE903A3">
        <w:rPr>
          <w:rFonts w:eastAsia="Arial"/>
          <w:b/>
          <w:bCs/>
          <w:color w:val="auto"/>
          <w:sz w:val="24"/>
          <w:szCs w:val="24"/>
        </w:rPr>
        <w:t>adaz</w:t>
      </w:r>
      <w:proofErr w:type="spellEnd"/>
      <w:r w:rsidR="649FA5B5" w:rsidRPr="6DE903A3">
        <w:rPr>
          <w:rFonts w:eastAsia="Arial"/>
          <w:b/>
          <w:bCs/>
          <w:color w:val="auto"/>
          <w:sz w:val="24"/>
          <w:szCs w:val="24"/>
        </w:rPr>
        <w:t xml:space="preserve">, </w:t>
      </w:r>
      <w:proofErr w:type="spellStart"/>
      <w:r w:rsidR="649FA5B5" w:rsidRPr="6DE903A3">
        <w:rPr>
          <w:rFonts w:eastAsia="Arial"/>
          <w:b/>
          <w:bCs/>
          <w:color w:val="auto"/>
          <w:sz w:val="24"/>
          <w:szCs w:val="24"/>
        </w:rPr>
        <w:t>Pyzchiva</w:t>
      </w:r>
      <w:proofErr w:type="spellEnd"/>
      <w:r w:rsidR="649FA5B5" w:rsidRPr="6DE903A3">
        <w:rPr>
          <w:rFonts w:eastAsia="Arial"/>
          <w:b/>
          <w:bCs/>
          <w:color w:val="auto"/>
          <w:sz w:val="24"/>
          <w:szCs w:val="24"/>
          <w:vertAlign w:val="superscript"/>
        </w:rPr>
        <w:t>®</w:t>
      </w:r>
      <w:r w:rsidR="649FA5B5" w:rsidRPr="6DE903A3">
        <w:rPr>
          <w:rFonts w:eastAsia="Arial"/>
          <w:b/>
          <w:bCs/>
          <w:color w:val="auto"/>
          <w:sz w:val="24"/>
          <w:szCs w:val="24"/>
        </w:rPr>
        <w:t xml:space="preserve"> (ustekinumab-</w:t>
      </w:r>
      <w:proofErr w:type="spellStart"/>
      <w:r w:rsidR="649FA5B5" w:rsidRPr="6DE903A3">
        <w:rPr>
          <w:rFonts w:eastAsia="Arial"/>
          <w:b/>
          <w:bCs/>
          <w:color w:val="auto"/>
          <w:sz w:val="24"/>
          <w:szCs w:val="24"/>
        </w:rPr>
        <w:t>ttwe</w:t>
      </w:r>
      <w:proofErr w:type="spellEnd"/>
      <w:r w:rsidR="649FA5B5" w:rsidRPr="6DE903A3">
        <w:rPr>
          <w:rFonts w:eastAsia="Arial"/>
          <w:b/>
          <w:bCs/>
          <w:color w:val="auto"/>
          <w:sz w:val="24"/>
          <w:szCs w:val="24"/>
        </w:rPr>
        <w:t xml:space="preserve">) and </w:t>
      </w:r>
      <w:proofErr w:type="spellStart"/>
      <w:r w:rsidR="649FA5B5" w:rsidRPr="6DE903A3">
        <w:rPr>
          <w:rFonts w:eastAsia="Arial"/>
          <w:b/>
          <w:bCs/>
          <w:color w:val="auto"/>
          <w:sz w:val="24"/>
          <w:szCs w:val="24"/>
        </w:rPr>
        <w:t>Imuldosa</w:t>
      </w:r>
      <w:proofErr w:type="spellEnd"/>
      <w:r w:rsidR="649FA5B5" w:rsidRPr="6DE903A3">
        <w:rPr>
          <w:rFonts w:eastAsia="Arial"/>
          <w:b/>
          <w:bCs/>
          <w:color w:val="auto"/>
          <w:sz w:val="24"/>
          <w:szCs w:val="24"/>
          <w:vertAlign w:val="superscript"/>
        </w:rPr>
        <w:t>®</w:t>
      </w:r>
      <w:r w:rsidR="649FA5B5" w:rsidRPr="6DE903A3">
        <w:rPr>
          <w:rFonts w:eastAsia="Arial"/>
          <w:b/>
          <w:bCs/>
          <w:color w:val="auto"/>
          <w:sz w:val="24"/>
          <w:szCs w:val="24"/>
        </w:rPr>
        <w:t xml:space="preserve"> (ustekinumab-</w:t>
      </w:r>
      <w:proofErr w:type="spellStart"/>
      <w:r w:rsidR="649FA5B5" w:rsidRPr="6DE903A3">
        <w:rPr>
          <w:rFonts w:eastAsia="Arial"/>
          <w:b/>
          <w:bCs/>
          <w:color w:val="auto"/>
          <w:sz w:val="24"/>
          <w:szCs w:val="24"/>
        </w:rPr>
        <w:t>srlf</w:t>
      </w:r>
      <w:proofErr w:type="spellEnd"/>
      <w:r w:rsidR="649FA5B5" w:rsidRPr="6DE903A3">
        <w:rPr>
          <w:rFonts w:eastAsia="Arial"/>
          <w:b/>
          <w:bCs/>
          <w:color w:val="auto"/>
          <w:sz w:val="24"/>
          <w:szCs w:val="24"/>
        </w:rPr>
        <w:t>)</w:t>
      </w:r>
      <w:r w:rsidRPr="6DE903A3">
        <w:rPr>
          <w:rFonts w:eastAsia="Arial"/>
          <w:b/>
          <w:bCs/>
          <w:color w:val="auto"/>
          <w:sz w:val="24"/>
          <w:szCs w:val="24"/>
        </w:rPr>
        <w:t xml:space="preserve"> are Preferred Drugs</w:t>
      </w:r>
    </w:p>
    <w:p w14:paraId="3518A9E1" w14:textId="67829684" w:rsidR="00770A97" w:rsidRDefault="33FD6C2E" w:rsidP="6DE903A3">
      <w:pPr>
        <w:rPr>
          <w:rFonts w:ascii="Arial" w:eastAsia="Arial" w:hAnsi="Arial" w:cs="Arial"/>
          <w:sz w:val="22"/>
          <w:szCs w:val="22"/>
        </w:rPr>
      </w:pPr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Preferred adalimumab biosimilars will include </w:t>
      </w:r>
      <w:proofErr w:type="spellStart"/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>Hadlima</w:t>
      </w:r>
      <w:proofErr w:type="spellEnd"/>
      <w:r w:rsidRPr="6DE903A3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 (adalimumab-</w:t>
      </w:r>
      <w:proofErr w:type="spellStart"/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>bwwd</w:t>
      </w:r>
      <w:proofErr w:type="spellEnd"/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>) and adalimumab-</w:t>
      </w:r>
      <w:proofErr w:type="spellStart"/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>adaz</w:t>
      </w:r>
      <w:proofErr w:type="spellEnd"/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1160971C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Preferred ustekinumab biosimilars will include </w:t>
      </w:r>
      <w:proofErr w:type="spellStart"/>
      <w:r w:rsidR="1160971C" w:rsidRPr="6DE903A3">
        <w:rPr>
          <w:rFonts w:ascii="Arial" w:eastAsia="Arial" w:hAnsi="Arial" w:cs="Arial"/>
          <w:color w:val="000000" w:themeColor="text1"/>
          <w:sz w:val="22"/>
          <w:szCs w:val="22"/>
        </w:rPr>
        <w:t>Pyzchiva</w:t>
      </w:r>
      <w:proofErr w:type="spellEnd"/>
      <w:r w:rsidR="1160971C" w:rsidRPr="6DE903A3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="1160971C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 (ustekinumab-</w:t>
      </w:r>
      <w:proofErr w:type="spellStart"/>
      <w:r w:rsidR="1160971C" w:rsidRPr="6DE903A3">
        <w:rPr>
          <w:rFonts w:ascii="Arial" w:eastAsia="Arial" w:hAnsi="Arial" w:cs="Arial"/>
          <w:color w:val="000000" w:themeColor="text1"/>
          <w:sz w:val="22"/>
          <w:szCs w:val="22"/>
        </w:rPr>
        <w:t>ttwe</w:t>
      </w:r>
      <w:proofErr w:type="spellEnd"/>
      <w:r w:rsidR="1160971C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) </w:t>
      </w:r>
      <w:r w:rsidR="580E3834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160971C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and </w:t>
      </w:r>
      <w:proofErr w:type="spellStart"/>
      <w:r w:rsidR="1160971C" w:rsidRPr="6DE903A3">
        <w:rPr>
          <w:rFonts w:ascii="Arial" w:eastAsia="Arial" w:hAnsi="Arial" w:cs="Arial"/>
          <w:color w:val="000000" w:themeColor="text1"/>
          <w:sz w:val="22"/>
          <w:szCs w:val="22"/>
        </w:rPr>
        <w:t>Imuldosa</w:t>
      </w:r>
      <w:proofErr w:type="spellEnd"/>
      <w:r w:rsidR="1160971C" w:rsidRPr="6DE903A3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="1160971C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 (ustekinumab-</w:t>
      </w:r>
      <w:proofErr w:type="spellStart"/>
      <w:r w:rsidR="1160971C" w:rsidRPr="6DE903A3">
        <w:rPr>
          <w:rFonts w:ascii="Arial" w:eastAsia="Arial" w:hAnsi="Arial" w:cs="Arial"/>
          <w:color w:val="000000" w:themeColor="text1"/>
          <w:sz w:val="22"/>
          <w:szCs w:val="22"/>
        </w:rPr>
        <w:t>srlf</w:t>
      </w:r>
      <w:proofErr w:type="spellEnd"/>
      <w:r w:rsidR="1160971C" w:rsidRPr="6DE903A3">
        <w:rPr>
          <w:rFonts w:ascii="Arial" w:eastAsia="Arial" w:hAnsi="Arial" w:cs="Arial"/>
          <w:color w:val="000000" w:themeColor="text1"/>
          <w:sz w:val="22"/>
          <w:szCs w:val="22"/>
        </w:rPr>
        <w:t>).</w:t>
      </w:r>
      <w:r w:rsidR="1160971C" w:rsidRPr="6DE903A3">
        <w:rPr>
          <w:rFonts w:ascii="Arial" w:eastAsia="Arial" w:hAnsi="Arial" w:cs="Arial"/>
          <w:sz w:val="22"/>
          <w:szCs w:val="22"/>
        </w:rPr>
        <w:t xml:space="preserve"> </w:t>
      </w:r>
      <w:r w:rsidR="2B1DD01C" w:rsidRPr="6DE903A3">
        <w:rPr>
          <w:rFonts w:ascii="Arial" w:eastAsia="Arial" w:hAnsi="Arial" w:cs="Arial"/>
          <w:sz w:val="22"/>
          <w:szCs w:val="22"/>
        </w:rPr>
        <w:t xml:space="preserve">In addition, </w:t>
      </w:r>
      <w:proofErr w:type="spellStart"/>
      <w:r w:rsidR="2B1DD01C" w:rsidRPr="6DE903A3">
        <w:rPr>
          <w:rFonts w:ascii="Arial" w:eastAsia="Arial" w:hAnsi="Arial" w:cs="Arial"/>
          <w:sz w:val="22"/>
          <w:szCs w:val="22"/>
        </w:rPr>
        <w:t>Steqeyma</w:t>
      </w:r>
      <w:proofErr w:type="spellEnd"/>
      <w:r w:rsidR="2B1DD01C" w:rsidRPr="6DE903A3">
        <w:rPr>
          <w:rFonts w:ascii="Arial" w:eastAsia="Arial" w:hAnsi="Arial" w:cs="Arial"/>
          <w:sz w:val="22"/>
          <w:szCs w:val="22"/>
          <w:vertAlign w:val="superscript"/>
        </w:rPr>
        <w:t>®</w:t>
      </w:r>
      <w:r w:rsidR="2B1DD01C" w:rsidRPr="6DE903A3">
        <w:rPr>
          <w:rFonts w:ascii="Arial" w:eastAsia="Arial" w:hAnsi="Arial" w:cs="Arial"/>
          <w:sz w:val="22"/>
          <w:szCs w:val="22"/>
        </w:rPr>
        <w:t xml:space="preserve"> (ustekinumab-</w:t>
      </w:r>
      <w:proofErr w:type="spellStart"/>
      <w:r w:rsidR="2B1DD01C" w:rsidRPr="6DE903A3">
        <w:rPr>
          <w:rFonts w:ascii="Arial" w:eastAsia="Arial" w:hAnsi="Arial" w:cs="Arial"/>
          <w:sz w:val="22"/>
          <w:szCs w:val="22"/>
        </w:rPr>
        <w:t>stba</w:t>
      </w:r>
      <w:proofErr w:type="spellEnd"/>
      <w:r w:rsidR="2B1DD01C" w:rsidRPr="6DE903A3">
        <w:rPr>
          <w:rFonts w:ascii="Arial" w:eastAsia="Arial" w:hAnsi="Arial" w:cs="Arial"/>
          <w:sz w:val="22"/>
          <w:szCs w:val="22"/>
        </w:rPr>
        <w:t>) will be accessible at parity with preferred ustekinumab biosimilars</w:t>
      </w:r>
      <w:r w:rsidR="02D248A8" w:rsidRPr="6DE903A3">
        <w:rPr>
          <w:rFonts w:ascii="Arial" w:eastAsia="Arial" w:hAnsi="Arial" w:cs="Arial"/>
          <w:sz w:val="22"/>
          <w:szCs w:val="22"/>
        </w:rPr>
        <w:t>.</w:t>
      </w:r>
    </w:p>
    <w:p w14:paraId="3C86B8A3" w14:textId="69D41A80" w:rsidR="00770A97" w:rsidRDefault="00770A97" w:rsidP="6DE903A3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726B764" w14:textId="4D8D6A4B" w:rsidR="00770A97" w:rsidRDefault="0A73C196" w:rsidP="6DE903A3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 xml:space="preserve">Biosimilars, including </w:t>
      </w:r>
      <w:proofErr w:type="spellStart"/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>Hadlima</w:t>
      </w:r>
      <w:proofErr w:type="spellEnd"/>
      <w:r w:rsidRPr="18249416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 xml:space="preserve"> (adalimumab-</w:t>
      </w:r>
      <w:proofErr w:type="spellStart"/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>bwwd</w:t>
      </w:r>
      <w:proofErr w:type="spellEnd"/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>), adalimumab-</w:t>
      </w:r>
      <w:proofErr w:type="spellStart"/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>adaz</w:t>
      </w:r>
      <w:proofErr w:type="spellEnd"/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77AA840C" w:rsidRPr="18249416">
        <w:rPr>
          <w:rFonts w:ascii="Arial" w:eastAsia="Arial" w:hAnsi="Arial" w:cs="Arial"/>
          <w:sz w:val="22"/>
          <w:szCs w:val="22"/>
        </w:rPr>
        <w:t>Steqeyma</w:t>
      </w:r>
      <w:proofErr w:type="spellEnd"/>
      <w:r w:rsidR="77AA840C" w:rsidRPr="18249416">
        <w:rPr>
          <w:rFonts w:ascii="Arial" w:eastAsia="Arial" w:hAnsi="Arial" w:cs="Arial"/>
          <w:sz w:val="22"/>
          <w:szCs w:val="22"/>
          <w:vertAlign w:val="superscript"/>
        </w:rPr>
        <w:t>®</w:t>
      </w:r>
      <w:r w:rsidR="77AA840C" w:rsidRPr="18249416">
        <w:rPr>
          <w:rFonts w:ascii="Arial" w:eastAsia="Arial" w:hAnsi="Arial" w:cs="Arial"/>
          <w:sz w:val="22"/>
          <w:szCs w:val="22"/>
        </w:rPr>
        <w:t xml:space="preserve"> (ustekinumab-</w:t>
      </w:r>
      <w:proofErr w:type="spellStart"/>
      <w:r w:rsidR="77AA840C" w:rsidRPr="18249416">
        <w:rPr>
          <w:rFonts w:ascii="Arial" w:eastAsia="Arial" w:hAnsi="Arial" w:cs="Arial"/>
          <w:sz w:val="22"/>
          <w:szCs w:val="22"/>
        </w:rPr>
        <w:t>stba</w:t>
      </w:r>
      <w:proofErr w:type="spellEnd"/>
      <w:r w:rsidR="77AA840C" w:rsidRPr="18249416">
        <w:rPr>
          <w:rFonts w:ascii="Arial" w:eastAsia="Arial" w:hAnsi="Arial" w:cs="Arial"/>
          <w:sz w:val="22"/>
          <w:szCs w:val="22"/>
        </w:rPr>
        <w:t>)</w:t>
      </w:r>
      <w:r w:rsidR="0BCAA7EE" w:rsidRPr="18249416">
        <w:rPr>
          <w:rFonts w:ascii="Arial" w:eastAsia="Arial" w:hAnsi="Arial" w:cs="Arial"/>
          <w:sz w:val="22"/>
          <w:szCs w:val="22"/>
        </w:rPr>
        <w:t>,</w:t>
      </w:r>
      <w:r w:rsidR="77AA840C" w:rsidRPr="1824941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 xml:space="preserve">and </w:t>
      </w:r>
      <w:proofErr w:type="spellStart"/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>Pyzchiva</w:t>
      </w:r>
      <w:proofErr w:type="spellEnd"/>
      <w:r w:rsidRPr="18249416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 xml:space="preserve"> (ustekinumab-</w:t>
      </w:r>
      <w:proofErr w:type="spellStart"/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>ttwe</w:t>
      </w:r>
      <w:proofErr w:type="spellEnd"/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>), approved by the Food and Drug Administration (FDA) as</w:t>
      </w:r>
      <w:r w:rsidR="1E63B3C6" w:rsidRPr="1824941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>interchangeable to the reference product</w:t>
      </w:r>
      <w:r w:rsidR="00FD31BC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 xml:space="preserve"> can be substituted </w:t>
      </w:r>
      <w:r w:rsidR="46E82F4E" w:rsidRPr="18249416">
        <w:rPr>
          <w:rFonts w:ascii="Arial" w:eastAsia="Arial" w:hAnsi="Arial" w:cs="Arial"/>
          <w:color w:val="000000" w:themeColor="text1"/>
          <w:sz w:val="22"/>
          <w:szCs w:val="22"/>
        </w:rPr>
        <w:t>at the pharmacy</w:t>
      </w:r>
      <w:r w:rsidR="2917842B" w:rsidRPr="18249416">
        <w:rPr>
          <w:rFonts w:ascii="Arial" w:eastAsia="Arial" w:hAnsi="Arial" w:cs="Arial"/>
          <w:color w:val="000000" w:themeColor="text1"/>
          <w:sz w:val="22"/>
          <w:szCs w:val="22"/>
        </w:rPr>
        <w:t xml:space="preserve"> without requiring a new prescription</w:t>
      </w:r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431D8EFA" w:rsidRPr="18249416">
        <w:rPr>
          <w:rFonts w:ascii="Arial" w:eastAsia="Arial" w:hAnsi="Arial" w:cs="Arial"/>
          <w:color w:val="000000" w:themeColor="text1"/>
          <w:sz w:val="22"/>
          <w:szCs w:val="22"/>
        </w:rPr>
        <w:t xml:space="preserve">See M.G.L. c. 112, s 12EE. </w:t>
      </w:r>
      <w:proofErr w:type="spellStart"/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>Imuldosa</w:t>
      </w:r>
      <w:proofErr w:type="spellEnd"/>
      <w:r w:rsidRPr="18249416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 xml:space="preserve"> (ustekinumab-</w:t>
      </w:r>
      <w:proofErr w:type="spellStart"/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>srlf</w:t>
      </w:r>
      <w:proofErr w:type="spellEnd"/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 xml:space="preserve">) was not approved as interchangeable by the FDA and would require a new prescription. For more information on biosimilars, please visit </w:t>
      </w:r>
      <w:hyperlink r:id="rId15">
        <w:r w:rsidRPr="18249416">
          <w:rPr>
            <w:rStyle w:val="Hyperlink"/>
            <w:rFonts w:ascii="Arial" w:eastAsia="Arial" w:hAnsi="Arial" w:cs="Arial"/>
            <w:sz w:val="22"/>
            <w:szCs w:val="22"/>
          </w:rPr>
          <w:t>www.FDA.gov/biosimilars</w:t>
        </w:r>
      </w:hyperlink>
      <w:r w:rsidRPr="18249416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Pr="18249416">
        <w:rPr>
          <w:rFonts w:ascii="Arial" w:eastAsia="Arial" w:hAnsi="Arial" w:cs="Arial"/>
          <w:sz w:val="22"/>
          <w:szCs w:val="22"/>
        </w:rPr>
        <w:t xml:space="preserve"> </w:t>
      </w:r>
    </w:p>
    <w:p w14:paraId="08F043B0" w14:textId="4D986E3F" w:rsidR="00770A97" w:rsidRDefault="00770A97" w:rsidP="6DE903A3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EC04F2F" w14:textId="5A36F8CE" w:rsidR="00302079" w:rsidRDefault="42B44569" w:rsidP="6DE903A3">
      <w:pPr>
        <w:pStyle w:val="BodyText1"/>
        <w:spacing w:line="240" w:lineRule="auto"/>
        <w:rPr>
          <w:rFonts w:eastAsia="Arial"/>
          <w:b/>
          <w:bCs/>
          <w:color w:val="auto"/>
          <w:sz w:val="24"/>
          <w:szCs w:val="24"/>
        </w:rPr>
      </w:pPr>
      <w:r w:rsidRPr="6DE903A3">
        <w:rPr>
          <w:rFonts w:eastAsia="Arial"/>
          <w:b/>
          <w:bCs/>
          <w:color w:val="auto"/>
          <w:sz w:val="24"/>
          <w:szCs w:val="24"/>
        </w:rPr>
        <w:t>Effective</w:t>
      </w:r>
      <w:r w:rsidR="1EA88737" w:rsidRPr="6DE903A3">
        <w:rPr>
          <w:rFonts w:eastAsia="Arial"/>
          <w:b/>
          <w:bCs/>
          <w:color w:val="auto"/>
          <w:sz w:val="24"/>
          <w:szCs w:val="24"/>
        </w:rPr>
        <w:t xml:space="preserve"> April </w:t>
      </w:r>
      <w:r w:rsidRPr="6DE903A3">
        <w:rPr>
          <w:rFonts w:eastAsia="Arial"/>
          <w:b/>
          <w:bCs/>
          <w:color w:val="auto"/>
          <w:sz w:val="24"/>
          <w:szCs w:val="24"/>
        </w:rPr>
        <w:t>1, 2026, Humira</w:t>
      </w:r>
      <w:r w:rsidRPr="6DE903A3">
        <w:rPr>
          <w:rFonts w:eastAsia="Arial"/>
          <w:b/>
          <w:bCs/>
          <w:color w:val="auto"/>
          <w:sz w:val="24"/>
          <w:szCs w:val="24"/>
          <w:vertAlign w:val="superscript"/>
        </w:rPr>
        <w:t>®</w:t>
      </w:r>
      <w:r w:rsidRPr="6DE903A3">
        <w:rPr>
          <w:rFonts w:eastAsia="Arial"/>
          <w:b/>
          <w:bCs/>
          <w:color w:val="auto"/>
          <w:sz w:val="24"/>
          <w:szCs w:val="24"/>
        </w:rPr>
        <w:t xml:space="preserve"> (adalimumab) </w:t>
      </w:r>
      <w:r w:rsidR="32B765C2" w:rsidRPr="6DE903A3">
        <w:rPr>
          <w:rFonts w:eastAsia="Arial"/>
          <w:b/>
          <w:bCs/>
          <w:color w:val="auto"/>
          <w:sz w:val="24"/>
          <w:szCs w:val="24"/>
        </w:rPr>
        <w:t>and Stelara</w:t>
      </w:r>
      <w:r w:rsidR="32B765C2" w:rsidRPr="6DE903A3">
        <w:rPr>
          <w:rFonts w:eastAsia="Arial"/>
          <w:b/>
          <w:bCs/>
          <w:color w:val="auto"/>
          <w:sz w:val="24"/>
          <w:szCs w:val="24"/>
          <w:vertAlign w:val="superscript"/>
        </w:rPr>
        <w:t>®</w:t>
      </w:r>
      <w:r w:rsidR="32B765C2" w:rsidRPr="6DE903A3">
        <w:rPr>
          <w:rFonts w:eastAsia="Arial"/>
          <w:b/>
          <w:bCs/>
          <w:color w:val="auto"/>
          <w:sz w:val="24"/>
          <w:szCs w:val="24"/>
        </w:rPr>
        <w:t xml:space="preserve"> (ustekinumab) </w:t>
      </w:r>
      <w:r w:rsidRPr="6DE903A3">
        <w:rPr>
          <w:rFonts w:eastAsia="Arial"/>
          <w:b/>
          <w:bCs/>
          <w:color w:val="auto"/>
          <w:sz w:val="24"/>
          <w:szCs w:val="24"/>
        </w:rPr>
        <w:t xml:space="preserve">Will </w:t>
      </w:r>
      <w:r w:rsidR="6FBFD51D" w:rsidRPr="6DE903A3">
        <w:rPr>
          <w:rFonts w:eastAsia="Arial"/>
          <w:b/>
          <w:bCs/>
          <w:color w:val="auto"/>
          <w:sz w:val="24"/>
          <w:szCs w:val="24"/>
        </w:rPr>
        <w:t>No Longer be Preferred Drug</w:t>
      </w:r>
      <w:r w:rsidR="38758B5A" w:rsidRPr="6DE903A3">
        <w:rPr>
          <w:rFonts w:eastAsia="Arial"/>
          <w:b/>
          <w:bCs/>
          <w:color w:val="auto"/>
          <w:sz w:val="24"/>
          <w:szCs w:val="24"/>
        </w:rPr>
        <w:t>s</w:t>
      </w:r>
      <w:r w:rsidR="6FBFD51D" w:rsidRPr="6DE903A3">
        <w:rPr>
          <w:rFonts w:eastAsia="Arial"/>
          <w:b/>
          <w:bCs/>
          <w:color w:val="auto"/>
          <w:sz w:val="24"/>
          <w:szCs w:val="24"/>
        </w:rPr>
        <w:t xml:space="preserve"> </w:t>
      </w:r>
    </w:p>
    <w:p w14:paraId="2EA80C35" w14:textId="63CB916A" w:rsidR="00302079" w:rsidRDefault="646E2982" w:rsidP="6DE903A3">
      <w:pPr>
        <w:pStyle w:val="BodyText1"/>
        <w:spacing w:line="240" w:lineRule="auto"/>
        <w:rPr>
          <w:rFonts w:eastAsia="Arial"/>
          <w:color w:val="000000" w:themeColor="text1"/>
          <w:sz w:val="22"/>
          <w:szCs w:val="22"/>
        </w:rPr>
      </w:pPr>
      <w:r w:rsidRPr="6DE903A3">
        <w:rPr>
          <w:rFonts w:eastAsia="Arial"/>
          <w:color w:val="000000" w:themeColor="text1"/>
          <w:sz w:val="22"/>
          <w:szCs w:val="22"/>
        </w:rPr>
        <w:t xml:space="preserve">Humira and Stelara will continue to be covered through March 31, </w:t>
      </w:r>
      <w:r w:rsidR="78DEE3B3" w:rsidRPr="6DE903A3">
        <w:rPr>
          <w:rFonts w:eastAsia="Arial"/>
          <w:color w:val="000000" w:themeColor="text1"/>
          <w:sz w:val="22"/>
          <w:szCs w:val="22"/>
        </w:rPr>
        <w:t>2026,</w:t>
      </w:r>
      <w:r w:rsidRPr="6DE903A3">
        <w:rPr>
          <w:rFonts w:eastAsia="Arial"/>
          <w:color w:val="000000" w:themeColor="text1"/>
          <w:sz w:val="22"/>
          <w:szCs w:val="22"/>
        </w:rPr>
        <w:t xml:space="preserve"> to allow patients to transition</w:t>
      </w:r>
      <w:r w:rsidR="52B41E95" w:rsidRPr="6DE903A3">
        <w:rPr>
          <w:rFonts w:eastAsia="Arial"/>
          <w:color w:val="000000" w:themeColor="text1"/>
          <w:sz w:val="22"/>
          <w:szCs w:val="22"/>
        </w:rPr>
        <w:t xml:space="preserve"> to biosimilar products</w:t>
      </w:r>
      <w:r w:rsidRPr="6DE903A3">
        <w:rPr>
          <w:rFonts w:eastAsia="Arial"/>
          <w:color w:val="000000" w:themeColor="text1"/>
          <w:sz w:val="22"/>
          <w:szCs w:val="22"/>
        </w:rPr>
        <w:t xml:space="preserve">.  </w:t>
      </w:r>
      <w:r w:rsidR="15EEAD0C" w:rsidRPr="6DE903A3">
        <w:rPr>
          <w:rFonts w:eastAsia="Arial"/>
          <w:color w:val="000000" w:themeColor="text1"/>
          <w:sz w:val="22"/>
          <w:szCs w:val="22"/>
        </w:rPr>
        <w:t>Effective</w:t>
      </w:r>
      <w:r w:rsidR="2B0FEDF8" w:rsidRPr="6DE903A3">
        <w:rPr>
          <w:rFonts w:eastAsia="Arial"/>
          <w:color w:val="000000" w:themeColor="text1"/>
          <w:sz w:val="22"/>
          <w:szCs w:val="22"/>
        </w:rPr>
        <w:t xml:space="preserve"> </w:t>
      </w:r>
      <w:r w:rsidR="2F8FD59B" w:rsidRPr="6DE903A3">
        <w:rPr>
          <w:rFonts w:eastAsia="Arial"/>
          <w:color w:val="000000" w:themeColor="text1"/>
          <w:sz w:val="22"/>
          <w:szCs w:val="22"/>
        </w:rPr>
        <w:t>April 1</w:t>
      </w:r>
      <w:r w:rsidR="7CB48788" w:rsidRPr="6DE903A3">
        <w:rPr>
          <w:rFonts w:eastAsia="Arial"/>
          <w:color w:val="000000" w:themeColor="text1"/>
          <w:sz w:val="22"/>
          <w:szCs w:val="22"/>
        </w:rPr>
        <w:t>, 2026,</w:t>
      </w:r>
      <w:r w:rsidR="15EEAD0C" w:rsidRPr="6DE903A3">
        <w:rPr>
          <w:rFonts w:eastAsia="Arial"/>
          <w:color w:val="000000" w:themeColor="text1"/>
          <w:sz w:val="22"/>
          <w:szCs w:val="22"/>
        </w:rPr>
        <w:t xml:space="preserve"> Humira</w:t>
      </w:r>
      <w:r w:rsidR="15EEAD0C" w:rsidRPr="6DE903A3">
        <w:rPr>
          <w:rFonts w:eastAsia="Arial"/>
          <w:color w:val="000000" w:themeColor="text1"/>
          <w:sz w:val="22"/>
          <w:szCs w:val="22"/>
          <w:vertAlign w:val="superscript"/>
        </w:rPr>
        <w:t xml:space="preserve">® </w:t>
      </w:r>
      <w:r w:rsidR="15EEAD0C" w:rsidRPr="6DE903A3">
        <w:rPr>
          <w:rFonts w:eastAsia="Arial"/>
          <w:color w:val="000000" w:themeColor="text1"/>
          <w:sz w:val="22"/>
          <w:szCs w:val="22"/>
        </w:rPr>
        <w:t xml:space="preserve">(adalimumab) </w:t>
      </w:r>
      <w:r w:rsidR="6E065367" w:rsidRPr="6DE903A3">
        <w:rPr>
          <w:rFonts w:eastAsia="Arial"/>
          <w:color w:val="000000" w:themeColor="text1"/>
          <w:sz w:val="22"/>
          <w:szCs w:val="22"/>
        </w:rPr>
        <w:t>and Stelara</w:t>
      </w:r>
      <w:r w:rsidR="6E065367" w:rsidRPr="6DE903A3">
        <w:rPr>
          <w:rFonts w:eastAsia="Arial"/>
          <w:color w:val="000000" w:themeColor="text1"/>
          <w:sz w:val="22"/>
          <w:szCs w:val="22"/>
          <w:vertAlign w:val="superscript"/>
        </w:rPr>
        <w:t>®</w:t>
      </w:r>
      <w:r w:rsidR="6E065367" w:rsidRPr="6DE903A3">
        <w:rPr>
          <w:rFonts w:eastAsia="Arial"/>
          <w:color w:val="000000" w:themeColor="text1"/>
          <w:sz w:val="22"/>
          <w:szCs w:val="22"/>
        </w:rPr>
        <w:t xml:space="preserve"> (ustekinumab) </w:t>
      </w:r>
      <w:r w:rsidR="052FB373" w:rsidRPr="6DE903A3">
        <w:rPr>
          <w:rFonts w:eastAsia="Arial"/>
          <w:color w:val="000000" w:themeColor="text1"/>
          <w:sz w:val="22"/>
          <w:szCs w:val="22"/>
        </w:rPr>
        <w:t xml:space="preserve">will </w:t>
      </w:r>
      <w:r w:rsidR="776FF015" w:rsidRPr="6DE903A3">
        <w:rPr>
          <w:rFonts w:eastAsia="Arial"/>
          <w:color w:val="000000" w:themeColor="text1"/>
          <w:sz w:val="22"/>
          <w:szCs w:val="22"/>
        </w:rPr>
        <w:t xml:space="preserve">be non-preferred and </w:t>
      </w:r>
      <w:r w:rsidR="15EEAD0C" w:rsidRPr="6DE903A3">
        <w:rPr>
          <w:rFonts w:eastAsia="Arial"/>
          <w:color w:val="000000" w:themeColor="text1"/>
          <w:sz w:val="22"/>
          <w:szCs w:val="22"/>
        </w:rPr>
        <w:t>will require a trial of all</w:t>
      </w:r>
      <w:r w:rsidR="3EC7B3BD" w:rsidRPr="6DE903A3">
        <w:rPr>
          <w:rFonts w:eastAsia="Arial"/>
          <w:color w:val="000000" w:themeColor="text1"/>
          <w:sz w:val="22"/>
          <w:szCs w:val="22"/>
        </w:rPr>
        <w:t xml:space="preserve"> preferred</w:t>
      </w:r>
      <w:r w:rsidR="15EEAD0C" w:rsidRPr="6DE903A3">
        <w:rPr>
          <w:rFonts w:eastAsia="Arial"/>
          <w:color w:val="000000" w:themeColor="text1"/>
          <w:sz w:val="22"/>
          <w:szCs w:val="22"/>
        </w:rPr>
        <w:t xml:space="preserve"> biosimilars</w:t>
      </w:r>
      <w:r w:rsidR="79F443A2" w:rsidRPr="6DE903A3">
        <w:rPr>
          <w:rFonts w:eastAsia="Arial"/>
          <w:color w:val="000000" w:themeColor="text1"/>
          <w:sz w:val="22"/>
          <w:szCs w:val="22"/>
        </w:rPr>
        <w:t xml:space="preserve"> or rationale for use of </w:t>
      </w:r>
      <w:r w:rsidR="7CFB0D7C" w:rsidRPr="6DE903A3">
        <w:rPr>
          <w:rFonts w:eastAsia="Arial"/>
          <w:color w:val="000000" w:themeColor="text1"/>
          <w:sz w:val="22"/>
          <w:szCs w:val="22"/>
        </w:rPr>
        <w:t xml:space="preserve">the </w:t>
      </w:r>
      <w:r w:rsidR="79F443A2" w:rsidRPr="6DE903A3">
        <w:rPr>
          <w:rFonts w:eastAsia="Arial"/>
          <w:color w:val="000000" w:themeColor="text1"/>
          <w:sz w:val="22"/>
          <w:szCs w:val="22"/>
        </w:rPr>
        <w:t>reference product</w:t>
      </w:r>
      <w:r w:rsidR="15EEAD0C" w:rsidRPr="6DE903A3">
        <w:rPr>
          <w:rFonts w:eastAsia="Arial"/>
          <w:color w:val="000000" w:themeColor="text1"/>
          <w:sz w:val="22"/>
          <w:szCs w:val="22"/>
        </w:rPr>
        <w:t>.</w:t>
      </w:r>
      <w:r w:rsidR="75EED757" w:rsidRPr="6DE903A3">
        <w:rPr>
          <w:rFonts w:eastAsia="Arial"/>
          <w:color w:val="000000" w:themeColor="text1"/>
          <w:sz w:val="22"/>
          <w:szCs w:val="22"/>
        </w:rPr>
        <w:t xml:space="preserve"> </w:t>
      </w:r>
    </w:p>
    <w:p w14:paraId="366D30EB" w14:textId="648CE023" w:rsidR="2C9C9D7B" w:rsidRDefault="00201F28" w:rsidP="00A70847">
      <w:pPr>
        <w:spacing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>To aid in transitioning, all MassHealth members approved for Humira</w:t>
      </w:r>
      <w:r w:rsidRPr="6DE903A3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 xml:space="preserve">® </w:t>
      </w:r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>(adalimumab) or Stelara</w:t>
      </w:r>
      <w:r w:rsidRPr="6DE903A3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 (ustekinumab) that would have had an approval duration beyond April 1, 2026, will automatically have</w:t>
      </w:r>
      <w:r w:rsidR="743E8E36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 an</w:t>
      </w:r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 approval put in place to allow </w:t>
      </w:r>
      <w:r w:rsidR="0A0D8BA0" w:rsidRPr="6DE903A3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BDC4D71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covered </w:t>
      </w:r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>biosimilar to pay</w:t>
      </w:r>
      <w:r w:rsidR="1D55A72C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 beginning January 5, 2026</w:t>
      </w:r>
      <w:r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76339BBF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The </w:t>
      </w:r>
      <w:r w:rsidR="20D6CACE" w:rsidRPr="6DE903A3">
        <w:rPr>
          <w:rFonts w:ascii="Arial" w:eastAsia="Arial" w:hAnsi="Arial" w:cs="Arial"/>
          <w:color w:val="000000" w:themeColor="text1"/>
          <w:sz w:val="22"/>
          <w:szCs w:val="22"/>
        </w:rPr>
        <w:t>end date for the</w:t>
      </w:r>
      <w:r w:rsidR="76339BBF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 biosimilar </w:t>
      </w:r>
      <w:r w:rsidR="15E9A9A3" w:rsidRPr="6DE903A3">
        <w:rPr>
          <w:rFonts w:ascii="Arial" w:eastAsia="Arial" w:hAnsi="Arial" w:cs="Arial"/>
          <w:color w:val="000000" w:themeColor="text1"/>
          <w:sz w:val="22"/>
          <w:szCs w:val="22"/>
        </w:rPr>
        <w:t xml:space="preserve">PA </w:t>
      </w:r>
      <w:r w:rsidR="76339BBF" w:rsidRPr="6DE903A3">
        <w:rPr>
          <w:rFonts w:ascii="Arial" w:eastAsia="Arial" w:hAnsi="Arial" w:cs="Arial"/>
          <w:color w:val="000000" w:themeColor="text1"/>
          <w:sz w:val="22"/>
          <w:szCs w:val="22"/>
        </w:rPr>
        <w:t>will match the end date on file for the reference product.</w:t>
      </w:r>
    </w:p>
    <w:p w14:paraId="6763448F" w14:textId="26BFA47C" w:rsidR="18AE14D7" w:rsidRDefault="18AE14D7" w:rsidP="6DE903A3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445"/>
      </w:tblGrid>
      <w:tr w:rsidR="18AE14D7" w14:paraId="7210F969" w14:textId="77777777" w:rsidTr="00A70847">
        <w:trPr>
          <w:trHeight w:val="300"/>
          <w:tblHeader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5644CF82" w14:textId="097AF0CE" w:rsidR="18AE14D7" w:rsidRDefault="18AE14D7" w:rsidP="6DE903A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E903A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Reference Product </w:t>
            </w:r>
          </w:p>
        </w:tc>
        <w:tc>
          <w:tcPr>
            <w:tcW w:w="5445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282639F0" w14:textId="61B72519" w:rsidR="18AE14D7" w:rsidRDefault="18AE14D7" w:rsidP="6DE903A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E903A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Covered Biosimilars </w:t>
            </w:r>
          </w:p>
        </w:tc>
      </w:tr>
      <w:tr w:rsidR="18AE14D7" w14:paraId="1AEAD96F" w14:textId="77777777" w:rsidTr="6DE903A3">
        <w:trPr>
          <w:trHeight w:val="300"/>
        </w:trPr>
        <w:tc>
          <w:tcPr>
            <w:tcW w:w="1026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84EB648" w14:textId="5DD5D34C" w:rsidR="18AE14D7" w:rsidRDefault="18AE14D7" w:rsidP="6DE903A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E903A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Humira</w:t>
            </w:r>
            <w:r w:rsidRPr="6DE903A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®</w:t>
            </w:r>
            <w:r w:rsidRPr="6DE903A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(adalimumab) Biosimilars </w:t>
            </w:r>
          </w:p>
        </w:tc>
      </w:tr>
      <w:tr w:rsidR="18AE14D7" w:rsidRPr="00140DF7" w14:paraId="284B5682" w14:textId="77777777" w:rsidTr="6DE903A3">
        <w:trPr>
          <w:trHeight w:val="300"/>
        </w:trPr>
        <w:tc>
          <w:tcPr>
            <w:tcW w:w="481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80F0FB" w14:textId="72FCA32A" w:rsidR="18AE14D7" w:rsidRPr="00A70847" w:rsidRDefault="18AE14D7" w:rsidP="6DE903A3">
            <w:pPr>
              <w:rPr>
                <w:rFonts w:ascii="Arial" w:eastAsia="Arial" w:hAnsi="Arial" w:cs="Arial"/>
                <w:strike/>
                <w:color w:val="0078D4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Humira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(adalimumab)</w:t>
            </w:r>
            <w:r w:rsidR="389D72F5"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(CF) 10 mg/0.1 mL </w:t>
            </w:r>
          </w:p>
        </w:tc>
        <w:tc>
          <w:tcPr>
            <w:tcW w:w="54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B6E0C8" w14:textId="18AF6713" w:rsidR="18AE14D7" w:rsidRPr="00A70847" w:rsidRDefault="18AE14D7" w:rsidP="6DE903A3">
            <w:pPr>
              <w:rPr>
                <w:rFonts w:ascii="Arial" w:eastAsia="Arial" w:hAnsi="Arial" w:cs="Arial"/>
                <w:strike/>
                <w:color w:val="0078D4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adalimumab-adaz</w:t>
            </w:r>
            <w:r w:rsidR="34A4A642"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(CF) 10 mg/0.1 mL </w:t>
            </w:r>
          </w:p>
        </w:tc>
      </w:tr>
      <w:tr w:rsidR="18AE14D7" w:rsidRPr="00140DF7" w14:paraId="10F25E45" w14:textId="77777777" w:rsidTr="6DE903A3">
        <w:trPr>
          <w:trHeight w:val="300"/>
        </w:trPr>
        <w:tc>
          <w:tcPr>
            <w:tcW w:w="48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3DD60BC" w14:textId="44D0E422" w:rsidR="18AE14D7" w:rsidRPr="00A70847" w:rsidRDefault="18AE14D7" w:rsidP="6DE903A3">
            <w:pPr>
              <w:rPr>
                <w:rFonts w:ascii="Arial" w:eastAsia="Arial" w:hAnsi="Arial" w:cs="Arial"/>
                <w:strike/>
                <w:color w:val="0078D4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Humira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(adalimumab)</w:t>
            </w:r>
            <w:r w:rsidR="627ACD01"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(CF) 20 mg/0.2 mL </w:t>
            </w:r>
          </w:p>
        </w:tc>
        <w:tc>
          <w:tcPr>
            <w:tcW w:w="54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8471BE" w14:textId="1116F0F4" w:rsidR="18AE14D7" w:rsidRPr="00A70847" w:rsidRDefault="18AE14D7" w:rsidP="6DE903A3">
            <w:pPr>
              <w:rPr>
                <w:rFonts w:ascii="Arial" w:eastAsia="Arial" w:hAnsi="Arial" w:cs="Arial"/>
                <w:strike/>
                <w:color w:val="0078D4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adalimumab-adaz</w:t>
            </w:r>
            <w:r w:rsidR="2E3438FD"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(CF) 20 mg/0.2 mL </w:t>
            </w:r>
          </w:p>
        </w:tc>
      </w:tr>
      <w:tr w:rsidR="18AE14D7" w:rsidRPr="00140DF7" w14:paraId="3A32F205" w14:textId="77777777" w:rsidTr="6DE903A3">
        <w:trPr>
          <w:trHeight w:val="315"/>
        </w:trPr>
        <w:tc>
          <w:tcPr>
            <w:tcW w:w="48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2BA944" w14:textId="71775356" w:rsidR="18AE14D7" w:rsidRPr="00A70847" w:rsidRDefault="18AE14D7" w:rsidP="6DE903A3">
            <w:pPr>
              <w:rPr>
                <w:rFonts w:ascii="Arial" w:eastAsia="Arial" w:hAnsi="Arial" w:cs="Arial"/>
                <w:strike/>
                <w:color w:val="0078D4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Humira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(adalimumab)</w:t>
            </w:r>
            <w:r w:rsidR="6B7C10E5"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(CF) 40 mg/0.4 mL </w:t>
            </w:r>
          </w:p>
        </w:tc>
        <w:tc>
          <w:tcPr>
            <w:tcW w:w="54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422FCA" w14:textId="019EFA9D" w:rsidR="18AE14D7" w:rsidRPr="00A70847" w:rsidRDefault="18AE14D7" w:rsidP="6DE903A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adalimumab-adaz</w:t>
            </w:r>
            <w:r w:rsidR="0034BE6A"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(CF) 40 mg/0.4 mL </w:t>
            </w:r>
          </w:p>
          <w:p w14:paraId="5DD11642" w14:textId="1BF58A3E" w:rsidR="18AE14D7" w:rsidRPr="00A70847" w:rsidRDefault="18AE14D7" w:rsidP="6DE903A3">
            <w:pPr>
              <w:rPr>
                <w:rFonts w:ascii="Arial" w:eastAsia="Arial" w:hAnsi="Arial" w:cs="Arial"/>
                <w:strike/>
                <w:color w:val="0078D4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Hadlima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(adalimumab-bwwd)</w:t>
            </w:r>
            <w:r w:rsidR="4FF72375"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(CF) 40 mg/0.4 mL </w:t>
            </w:r>
          </w:p>
        </w:tc>
      </w:tr>
      <w:tr w:rsidR="18AE14D7" w:rsidRPr="00140DF7" w14:paraId="45EBC2DE" w14:textId="77777777" w:rsidTr="6DE903A3">
        <w:trPr>
          <w:trHeight w:val="300"/>
        </w:trPr>
        <w:tc>
          <w:tcPr>
            <w:tcW w:w="48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7589C" w14:textId="60D612ED" w:rsidR="18AE14D7" w:rsidRPr="00A70847" w:rsidRDefault="18AE14D7" w:rsidP="6DE903A3">
            <w:pPr>
              <w:rPr>
                <w:rFonts w:ascii="Arial" w:eastAsia="Arial" w:hAnsi="Arial" w:cs="Arial"/>
                <w:strike/>
                <w:color w:val="0078D4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Humira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 xml:space="preserve">® 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(adalimumab)</w:t>
            </w:r>
            <w:r w:rsidR="381A3E03"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40 mg/0.8 mL</w:t>
            </w:r>
          </w:p>
        </w:tc>
        <w:tc>
          <w:tcPr>
            <w:tcW w:w="54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7D4BB4" w14:textId="2F925C57" w:rsidR="18AE14D7" w:rsidRPr="00A70847" w:rsidRDefault="18AE14D7" w:rsidP="6DE903A3">
            <w:pPr>
              <w:rPr>
                <w:rFonts w:ascii="Arial" w:eastAsia="Arial" w:hAnsi="Arial" w:cs="Arial"/>
                <w:strike/>
                <w:color w:val="0078D4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Hadlima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(adalimumab-bwwd)</w:t>
            </w:r>
            <w:r w:rsidR="43F98EFD"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40 mg/0.8 mL </w:t>
            </w:r>
          </w:p>
        </w:tc>
      </w:tr>
      <w:tr w:rsidR="18AE14D7" w:rsidRPr="00140DF7" w14:paraId="224023BB" w14:textId="77777777" w:rsidTr="6DE903A3">
        <w:trPr>
          <w:trHeight w:val="300"/>
        </w:trPr>
        <w:tc>
          <w:tcPr>
            <w:tcW w:w="48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2E42C98" w14:textId="32A51957" w:rsidR="18AE14D7" w:rsidRPr="00A70847" w:rsidRDefault="18AE14D7" w:rsidP="6DE903A3">
            <w:pPr>
              <w:rPr>
                <w:rFonts w:ascii="Arial" w:eastAsia="Arial" w:hAnsi="Arial" w:cs="Arial"/>
                <w:strike/>
                <w:color w:val="0078D4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Humira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(adalimumab)</w:t>
            </w:r>
            <w:r w:rsidR="6D5AF91B"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(CF) 80 mg/0.8 mL</w:t>
            </w:r>
          </w:p>
        </w:tc>
        <w:tc>
          <w:tcPr>
            <w:tcW w:w="54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A55A90" w14:textId="72B88675" w:rsidR="18AE14D7" w:rsidRPr="00A70847" w:rsidRDefault="18AE14D7" w:rsidP="6DE903A3">
            <w:pPr>
              <w:rPr>
                <w:rFonts w:ascii="Arial" w:eastAsia="Arial" w:hAnsi="Arial" w:cs="Arial"/>
                <w:strike/>
                <w:color w:val="0078D4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>adalimumab-adaz</w:t>
            </w:r>
            <w:r w:rsidR="3DB8A83B"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  <w:t xml:space="preserve"> (CF) 80 mg/0.8 mL </w:t>
            </w:r>
          </w:p>
        </w:tc>
      </w:tr>
      <w:tr w:rsidR="18AE14D7" w14:paraId="35F50FA5" w14:textId="77777777" w:rsidTr="6DE903A3">
        <w:trPr>
          <w:trHeight w:val="165"/>
        </w:trPr>
        <w:tc>
          <w:tcPr>
            <w:tcW w:w="1026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72FCF037" w14:textId="12C994D7" w:rsidR="18AE14D7" w:rsidRDefault="18AE14D7" w:rsidP="6DE903A3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E903A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Stelara</w:t>
            </w:r>
            <w:r w:rsidRPr="6DE903A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®</w:t>
            </w:r>
            <w:r w:rsidRPr="6DE903A3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(ustekinumab) Biosimilars </w:t>
            </w:r>
          </w:p>
        </w:tc>
      </w:tr>
      <w:tr w:rsidR="18AE14D7" w14:paraId="4571E5A5" w14:textId="77777777" w:rsidTr="6DE903A3">
        <w:trPr>
          <w:trHeight w:val="300"/>
        </w:trPr>
        <w:tc>
          <w:tcPr>
            <w:tcW w:w="481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16A7AF" w14:textId="383FA76C" w:rsidR="18AE14D7" w:rsidRPr="00A70847" w:rsidRDefault="18AE14D7" w:rsidP="6DE903A3">
            <w:pPr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Stelara</w:t>
            </w:r>
            <w:r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(ustekinumab)</w:t>
            </w:r>
            <w:r w:rsidR="4B0E3EFA"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45 mg/0.5 mL </w:t>
            </w:r>
            <w:r w:rsidR="3EB3C5FD"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syringe </w:t>
            </w:r>
          </w:p>
        </w:tc>
        <w:tc>
          <w:tcPr>
            <w:tcW w:w="54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8FF82D" w14:textId="7F9596EC" w:rsidR="18AE14D7" w:rsidRPr="00A70847" w:rsidRDefault="18AE14D7" w:rsidP="6DE903A3">
            <w:pPr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Imuldosa</w:t>
            </w:r>
            <w:r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(ustekinumab-srlf)</w:t>
            </w:r>
            <w:r w:rsidR="21AF7C60"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45 mg/0.5 mL </w:t>
            </w:r>
            <w:r w:rsidR="18F4A19B"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syringe</w:t>
            </w:r>
          </w:p>
          <w:p w14:paraId="270F701E" w14:textId="6AC83378" w:rsidR="18AE14D7" w:rsidRPr="00A70847" w:rsidRDefault="18AE14D7" w:rsidP="6DE903A3">
            <w:pPr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Pyzchiva</w:t>
            </w:r>
            <w:r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(ustekinumab-ttwe)</w:t>
            </w:r>
            <w:r w:rsidR="1DD3A681"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45 mg/0.5 mL </w:t>
            </w:r>
            <w:r w:rsidR="18F4A19B"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syringe</w:t>
            </w:r>
          </w:p>
          <w:p w14:paraId="5D9B7C1B" w14:textId="6338B23D" w:rsidR="18AE14D7" w:rsidRDefault="7E92340C" w:rsidP="6DE903A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6DE903A3">
              <w:rPr>
                <w:rFonts w:ascii="Arial" w:eastAsia="Arial" w:hAnsi="Arial" w:cs="Arial"/>
                <w:sz w:val="20"/>
                <w:szCs w:val="20"/>
              </w:rPr>
              <w:t>Steqeyma</w:t>
            </w:r>
            <w:proofErr w:type="spellEnd"/>
            <w:r w:rsidRPr="6DE903A3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®</w:t>
            </w:r>
            <w:r w:rsidRPr="6DE903A3">
              <w:rPr>
                <w:rFonts w:ascii="Arial" w:eastAsia="Arial" w:hAnsi="Arial" w:cs="Arial"/>
                <w:sz w:val="20"/>
                <w:szCs w:val="20"/>
              </w:rPr>
              <w:t xml:space="preserve"> (ustekinumab-</w:t>
            </w:r>
            <w:proofErr w:type="spellStart"/>
            <w:r w:rsidRPr="6DE903A3">
              <w:rPr>
                <w:rFonts w:ascii="Arial" w:eastAsia="Arial" w:hAnsi="Arial" w:cs="Arial"/>
                <w:sz w:val="20"/>
                <w:szCs w:val="20"/>
              </w:rPr>
              <w:t>stba</w:t>
            </w:r>
            <w:proofErr w:type="spellEnd"/>
            <w:r w:rsidRPr="6DE903A3">
              <w:rPr>
                <w:rFonts w:ascii="Arial" w:eastAsia="Arial" w:hAnsi="Arial" w:cs="Arial"/>
                <w:sz w:val="20"/>
                <w:szCs w:val="20"/>
              </w:rPr>
              <w:t xml:space="preserve">) 45 mg/0.5 mL syringe </w:t>
            </w:r>
          </w:p>
        </w:tc>
      </w:tr>
      <w:tr w:rsidR="18AE14D7" w14:paraId="321ED3E8" w14:textId="77777777" w:rsidTr="6DE903A3">
        <w:trPr>
          <w:trHeight w:val="300"/>
        </w:trPr>
        <w:tc>
          <w:tcPr>
            <w:tcW w:w="48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56418D" w14:textId="166C9181" w:rsidR="18AE14D7" w:rsidRPr="00A70847" w:rsidRDefault="18AE14D7" w:rsidP="6DE903A3">
            <w:pPr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Stelara</w:t>
            </w:r>
            <w:r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(ustekinumab)</w:t>
            </w:r>
            <w:r w:rsidR="411BA85E"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90 mg/1 mL </w:t>
            </w:r>
            <w:r w:rsidR="37557586"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syringe </w:t>
            </w:r>
          </w:p>
        </w:tc>
        <w:tc>
          <w:tcPr>
            <w:tcW w:w="54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2C2527" w14:textId="24270492" w:rsidR="18AE14D7" w:rsidRPr="00A70847" w:rsidRDefault="18AE14D7" w:rsidP="6DE903A3">
            <w:pPr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Imuldosa</w:t>
            </w:r>
            <w:r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(ustekinumab-srlf)</w:t>
            </w:r>
            <w:r w:rsidR="06F19DE8"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90 mg/1 mL </w:t>
            </w:r>
            <w:r w:rsidR="460EC430"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syringe</w:t>
            </w:r>
          </w:p>
          <w:p w14:paraId="4CCCD715" w14:textId="11917B8A" w:rsidR="18AE14D7" w:rsidRPr="00A70847" w:rsidRDefault="18AE14D7" w:rsidP="6DE903A3">
            <w:pPr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Pyzchiva</w:t>
            </w:r>
            <w:r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(ustekinumab-ttwe)</w:t>
            </w:r>
            <w:r w:rsidR="2516B771"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90 mg/1 mL </w:t>
            </w:r>
            <w:r w:rsidR="725424D4"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syringe</w:t>
            </w:r>
          </w:p>
          <w:p w14:paraId="654E4158" w14:textId="21C67001" w:rsidR="18AE14D7" w:rsidRDefault="18AE14D7" w:rsidP="6DE903A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6DE903A3">
              <w:rPr>
                <w:rFonts w:ascii="Arial" w:eastAsia="Arial" w:hAnsi="Arial" w:cs="Arial"/>
                <w:sz w:val="20"/>
                <w:szCs w:val="20"/>
              </w:rPr>
              <w:t>Steqeyma</w:t>
            </w:r>
            <w:proofErr w:type="spellEnd"/>
            <w:r w:rsidRPr="6DE903A3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®</w:t>
            </w:r>
            <w:r w:rsidRPr="6DE903A3">
              <w:rPr>
                <w:rFonts w:ascii="Arial" w:eastAsia="Arial" w:hAnsi="Arial" w:cs="Arial"/>
                <w:sz w:val="20"/>
                <w:szCs w:val="20"/>
              </w:rPr>
              <w:t xml:space="preserve"> (ustekinumab-</w:t>
            </w:r>
            <w:proofErr w:type="spellStart"/>
            <w:r w:rsidRPr="6DE903A3">
              <w:rPr>
                <w:rFonts w:ascii="Arial" w:eastAsia="Arial" w:hAnsi="Arial" w:cs="Arial"/>
                <w:sz w:val="20"/>
                <w:szCs w:val="20"/>
              </w:rPr>
              <w:t>stba</w:t>
            </w:r>
            <w:proofErr w:type="spellEnd"/>
            <w:r w:rsidRPr="6DE903A3">
              <w:rPr>
                <w:rFonts w:ascii="Arial" w:eastAsia="Arial" w:hAnsi="Arial" w:cs="Arial"/>
                <w:sz w:val="20"/>
                <w:szCs w:val="20"/>
              </w:rPr>
              <w:t>) 90 mg/1 mL</w:t>
            </w:r>
            <w:r w:rsidR="50AF4383" w:rsidRPr="6DE903A3">
              <w:rPr>
                <w:rFonts w:ascii="Arial" w:eastAsia="Arial" w:hAnsi="Arial" w:cs="Arial"/>
                <w:sz w:val="20"/>
                <w:szCs w:val="20"/>
              </w:rPr>
              <w:t xml:space="preserve"> syringe</w:t>
            </w:r>
          </w:p>
        </w:tc>
      </w:tr>
      <w:tr w:rsidR="18AE14D7" w:rsidRPr="00140DF7" w14:paraId="2CEF61B0" w14:textId="77777777" w:rsidTr="6DE903A3">
        <w:trPr>
          <w:trHeight w:val="300"/>
        </w:trPr>
        <w:tc>
          <w:tcPr>
            <w:tcW w:w="48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B47C790" w14:textId="0C17B41A" w:rsidR="18AE14D7" w:rsidRPr="00A70847" w:rsidRDefault="18AE14D7" w:rsidP="6DE903A3">
            <w:pPr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Stelara</w:t>
            </w:r>
            <w:r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(ustekinumab)</w:t>
            </w:r>
            <w:r w:rsidR="6CE394B1"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45 mg/0.5 mL </w:t>
            </w:r>
            <w:r w:rsidR="09021AC0"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vial </w:t>
            </w:r>
          </w:p>
        </w:tc>
        <w:tc>
          <w:tcPr>
            <w:tcW w:w="54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82E8A9" w14:textId="0D36FAFE" w:rsidR="18AE14D7" w:rsidRPr="00A70847" w:rsidRDefault="18AE14D7" w:rsidP="6DE903A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Pyzchiva</w:t>
            </w:r>
            <w:r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(ustekinumab-ttwe)</w:t>
            </w:r>
            <w:r w:rsidR="4FFDE2AF"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PD</w:t>
            </w:r>
            <w:r w:rsidR="4FFDE2AF"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45 mg/0.5 mL </w:t>
            </w:r>
            <w:r w:rsidR="41F9553A"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vial</w:t>
            </w:r>
          </w:p>
        </w:tc>
      </w:tr>
      <w:tr w:rsidR="18AE14D7" w:rsidRPr="00140DF7" w14:paraId="17D82C13" w14:textId="77777777" w:rsidTr="6DE903A3">
        <w:trPr>
          <w:trHeight w:val="300"/>
        </w:trPr>
        <w:tc>
          <w:tcPr>
            <w:tcW w:w="48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3CE0E86" w14:textId="59CA5D1C" w:rsidR="18AE14D7" w:rsidRPr="00A70847" w:rsidRDefault="18AE14D7" w:rsidP="6DE903A3">
            <w:pPr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Stelara</w:t>
            </w:r>
            <w:r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(ustekinumab)</w:t>
            </w:r>
            <w:r w:rsidR="55EB4CE2"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130 mg/26 mL</w:t>
            </w:r>
            <w:r w:rsidR="11793EB3"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vial </w:t>
            </w:r>
          </w:p>
        </w:tc>
        <w:tc>
          <w:tcPr>
            <w:tcW w:w="544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D0C86D" w14:textId="6D23854C" w:rsidR="18AE14D7" w:rsidRPr="00A70847" w:rsidRDefault="18AE14D7" w:rsidP="6DE903A3">
            <w:pPr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Imuldosa</w:t>
            </w:r>
            <w:r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(ustekinumab-srlf)</w:t>
            </w:r>
            <w:r w:rsidR="6C72B47E"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 xml:space="preserve"> PD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130 mg/26 mL</w:t>
            </w:r>
            <w:r w:rsidR="2DB23242"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vial</w:t>
            </w:r>
          </w:p>
          <w:p w14:paraId="27228926" w14:textId="23782C29" w:rsidR="18AE14D7" w:rsidRPr="00A70847" w:rsidRDefault="18AE14D7" w:rsidP="6DE903A3">
            <w:pPr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Pyzchiva</w:t>
            </w:r>
            <w:r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(ustekinumab-ttwe)</w:t>
            </w:r>
            <w:r w:rsidR="730573A4"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PD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130 mg/26 mL </w:t>
            </w:r>
            <w:r w:rsidR="056C355C"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vial</w:t>
            </w:r>
          </w:p>
          <w:p w14:paraId="0BF81D71" w14:textId="2A2137A3" w:rsidR="18AE14D7" w:rsidRPr="00A70847" w:rsidRDefault="18AE14D7" w:rsidP="6DE903A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>Steqeyma</w:t>
            </w:r>
            <w:r w:rsidRPr="00A70847">
              <w:rPr>
                <w:rFonts w:ascii="Arial" w:eastAsia="Arial" w:hAnsi="Arial" w:cs="Arial"/>
                <w:sz w:val="20"/>
                <w:szCs w:val="20"/>
                <w:vertAlign w:val="superscript"/>
                <w:lang w:val="pt-BR"/>
              </w:rPr>
              <w:t>®</w:t>
            </w:r>
            <w:r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(ustekinumab-stba) 130 mg/26 mL</w:t>
            </w:r>
            <w:r w:rsidR="056C355C" w:rsidRPr="00A70847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vial</w:t>
            </w:r>
          </w:p>
        </w:tc>
      </w:tr>
    </w:tbl>
    <w:p w14:paraId="4EBA85D0" w14:textId="24C70687" w:rsidR="315FD56F" w:rsidRDefault="315FD56F" w:rsidP="18AE14D7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DE903A3">
        <w:rPr>
          <w:rFonts w:ascii="Arial" w:eastAsia="Arial" w:hAnsi="Arial" w:cs="Arial"/>
          <w:color w:val="000000" w:themeColor="text1"/>
          <w:sz w:val="20"/>
          <w:szCs w:val="20"/>
        </w:rPr>
        <w:t xml:space="preserve">CF=citrate free, </w:t>
      </w:r>
      <w:r w:rsidR="57DC5406" w:rsidRPr="6DE903A3">
        <w:rPr>
          <w:rFonts w:ascii="Arial" w:eastAsia="Arial" w:hAnsi="Arial" w:cs="Arial"/>
          <w:color w:val="000000" w:themeColor="text1"/>
          <w:sz w:val="20"/>
          <w:szCs w:val="20"/>
        </w:rPr>
        <w:t>PD=Preferred Drug</w:t>
      </w:r>
    </w:p>
    <w:p w14:paraId="78A6BF67" w14:textId="66B2962A" w:rsidR="185D5405" w:rsidRPr="00B67A10" w:rsidRDefault="185D5405" w:rsidP="185D5405">
      <w:pPr>
        <w:spacing w:line="276" w:lineRule="auto"/>
        <w:rPr>
          <w:sz w:val="22"/>
          <w:szCs w:val="22"/>
        </w:rPr>
        <w:sectPr w:rsidR="185D5405" w:rsidRPr="00B67A10" w:rsidSect="002C690F">
          <w:type w:val="continuous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</w:p>
    <w:p w14:paraId="33BDE5E2" w14:textId="6D7DF573" w:rsidR="2C9C9D7B" w:rsidRDefault="2C9C9D7B" w:rsidP="2C9C9D7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45D61FA" w14:textId="25356E4C" w:rsidR="2C9C9D7B" w:rsidRDefault="2C9C9D7B" w:rsidP="2C9C9D7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EDB53A0" w14:textId="3B93FD19" w:rsidR="2C9C9D7B" w:rsidRDefault="2C9C9D7B" w:rsidP="2C9C9D7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C088CA0" w14:textId="2B10FB3D" w:rsidR="2C9C9D7B" w:rsidRDefault="2C9C9D7B" w:rsidP="2C9C9D7B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sectPr w:rsidR="2C9C9D7B" w:rsidSect="00A262A2">
      <w:type w:val="continuous"/>
      <w:pgSz w:w="12240" w:h="15840" w:code="1"/>
      <w:pgMar w:top="360" w:right="907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D119" w14:textId="77777777" w:rsidR="00D46791" w:rsidRPr="001C14F2" w:rsidRDefault="00D46791" w:rsidP="00492602">
      <w:r w:rsidRPr="001C14F2">
        <w:separator/>
      </w:r>
    </w:p>
  </w:endnote>
  <w:endnote w:type="continuationSeparator" w:id="0">
    <w:p w14:paraId="603B54BA" w14:textId="77777777" w:rsidR="00D46791" w:rsidRPr="001C14F2" w:rsidRDefault="00D46791" w:rsidP="00492602">
      <w:r w:rsidRPr="001C14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E61D" w14:textId="77777777" w:rsidR="00AF19BA" w:rsidRPr="001C14F2" w:rsidRDefault="00A330FD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1C14F2">
      <w:rPr>
        <w:rFonts w:ascii="Arial" w:hAnsi="Arial" w:cs="Arial"/>
        <w:iCs/>
        <w:sz w:val="18"/>
        <w:szCs w:val="18"/>
      </w:rPr>
      <w:t>Please direct any</w:t>
    </w:r>
    <w:r w:rsidR="00AF19BA" w:rsidRPr="001C14F2">
      <w:rPr>
        <w:rFonts w:ascii="Arial" w:hAnsi="Arial" w:cs="Arial"/>
        <w:iCs/>
        <w:sz w:val="18"/>
        <w:szCs w:val="18"/>
      </w:rPr>
      <w:t xml:space="preserve"> questions or comments</w:t>
    </w:r>
    <w:r w:rsidRPr="001C14F2">
      <w:rPr>
        <w:rFonts w:ascii="Arial" w:hAnsi="Arial" w:cs="Arial"/>
        <w:iCs/>
        <w:sz w:val="18"/>
        <w:szCs w:val="18"/>
      </w:rPr>
      <w:t xml:space="preserve"> (or </w:t>
    </w:r>
    <w:r w:rsidR="00AF19BA" w:rsidRPr="001C14F2">
      <w:rPr>
        <w:rFonts w:ascii="Arial" w:hAnsi="Arial" w:cs="Arial"/>
        <w:iCs/>
        <w:sz w:val="18"/>
        <w:szCs w:val="18"/>
      </w:rPr>
      <w:t>to be removed from this fax distribution</w:t>
    </w:r>
    <w:r w:rsidRPr="001C14F2">
      <w:rPr>
        <w:rFonts w:ascii="Arial" w:hAnsi="Arial" w:cs="Arial"/>
        <w:iCs/>
        <w:sz w:val="18"/>
        <w:szCs w:val="18"/>
      </w:rPr>
      <w:t>)</w:t>
    </w:r>
    <w:r w:rsidR="00AF19BA" w:rsidRPr="001C14F2">
      <w:rPr>
        <w:rFonts w:ascii="Arial" w:hAnsi="Arial" w:cs="Arial"/>
        <w:iCs/>
        <w:sz w:val="18"/>
        <w:szCs w:val="18"/>
      </w:rPr>
      <w:t xml:space="preserve"> </w:t>
    </w:r>
    <w:r w:rsidR="00183133" w:rsidRPr="001C14F2">
      <w:rPr>
        <w:rFonts w:ascii="Arial" w:hAnsi="Arial" w:cs="Arial"/>
        <w:iCs/>
        <w:sz w:val="18"/>
        <w:szCs w:val="18"/>
      </w:rPr>
      <w:t>to</w:t>
    </w:r>
  </w:p>
  <w:p w14:paraId="7611DF64" w14:textId="4C9EE68C" w:rsidR="00AF19BA" w:rsidRPr="001C14F2" w:rsidRDefault="00A330FD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1C14F2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065861" w:rsidRPr="001C14F2">
      <w:rPr>
        <w:rFonts w:ascii="Arial" w:hAnsi="Arial" w:cs="Arial"/>
        <w:iCs/>
        <w:sz w:val="18"/>
        <w:szCs w:val="18"/>
      </w:rPr>
      <w:t>.</w:t>
    </w:r>
    <w:r w:rsidRPr="001C14F2">
      <w:rPr>
        <w:rFonts w:ascii="Arial" w:hAnsi="Arial" w:cs="Arial"/>
        <w:iCs/>
        <w:sz w:val="18"/>
        <w:szCs w:val="18"/>
      </w:rPr>
      <w:t xml:space="preserve"> </w:t>
    </w:r>
  </w:p>
  <w:p w14:paraId="26B3FF02" w14:textId="77777777" w:rsidR="00637A67" w:rsidRPr="001C14F2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 w:rsidRPr="001C14F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C125" w14:textId="77777777" w:rsidR="00637A67" w:rsidRPr="001C14F2" w:rsidRDefault="00637A67">
    <w:pPr>
      <w:pStyle w:val="Footer"/>
    </w:pPr>
    <w:r w:rsidRPr="001C14F2">
      <w:t>[Type text]</w:t>
    </w:r>
  </w:p>
  <w:p w14:paraId="1D4B9191" w14:textId="77777777" w:rsidR="00637A67" w:rsidRPr="001C14F2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B4F7" w14:textId="77777777" w:rsidR="00D46791" w:rsidRPr="001C14F2" w:rsidRDefault="00D46791" w:rsidP="00492602">
      <w:r w:rsidRPr="001C14F2">
        <w:separator/>
      </w:r>
    </w:p>
  </w:footnote>
  <w:footnote w:type="continuationSeparator" w:id="0">
    <w:p w14:paraId="451A2865" w14:textId="77777777" w:rsidR="00D46791" w:rsidRPr="001C14F2" w:rsidRDefault="00D46791" w:rsidP="00492602">
      <w:r w:rsidRPr="001C14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34C6" w14:textId="77777777" w:rsidR="00492602" w:rsidRPr="001C14F2" w:rsidRDefault="00492602" w:rsidP="00492602">
    <w:pPr>
      <w:pStyle w:val="Header"/>
    </w:pPr>
  </w:p>
  <w:p w14:paraId="7FC1742E" w14:textId="77777777" w:rsidR="00492602" w:rsidRPr="001C14F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BAF3950"/>
    <w:multiLevelType w:val="hybridMultilevel"/>
    <w:tmpl w:val="C1E4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D1E52"/>
    <w:multiLevelType w:val="hybridMultilevel"/>
    <w:tmpl w:val="116494CA"/>
    <w:lvl w:ilvl="0" w:tplc="E6E2F10C">
      <w:numFmt w:val="bullet"/>
      <w:lvlText w:val=""/>
      <w:lvlJc w:val="left"/>
      <w:pPr>
        <w:ind w:left="99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7D81637"/>
    <w:multiLevelType w:val="hybridMultilevel"/>
    <w:tmpl w:val="0BB8036C"/>
    <w:lvl w:ilvl="0" w:tplc="9F3A23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76EAB8C">
      <w:start w:val="1"/>
      <w:numFmt w:val="lowerLetter"/>
      <w:lvlText w:val="%2."/>
      <w:lvlJc w:val="left"/>
      <w:pPr>
        <w:ind w:left="1440" w:hanging="360"/>
      </w:pPr>
    </w:lvl>
    <w:lvl w:ilvl="2" w:tplc="B1DE0E6C">
      <w:start w:val="1"/>
      <w:numFmt w:val="lowerRoman"/>
      <w:lvlText w:val="%3."/>
      <w:lvlJc w:val="right"/>
      <w:pPr>
        <w:ind w:left="2160" w:hanging="180"/>
      </w:pPr>
    </w:lvl>
    <w:lvl w:ilvl="3" w:tplc="962A3B40">
      <w:start w:val="1"/>
      <w:numFmt w:val="decimal"/>
      <w:lvlText w:val="%4."/>
      <w:lvlJc w:val="left"/>
      <w:pPr>
        <w:ind w:left="2880" w:hanging="360"/>
      </w:pPr>
    </w:lvl>
    <w:lvl w:ilvl="4" w:tplc="5EB01ACE">
      <w:start w:val="1"/>
      <w:numFmt w:val="lowerLetter"/>
      <w:lvlText w:val="%5."/>
      <w:lvlJc w:val="left"/>
      <w:pPr>
        <w:ind w:left="3600" w:hanging="360"/>
      </w:pPr>
    </w:lvl>
    <w:lvl w:ilvl="5" w:tplc="BF0E30F0">
      <w:start w:val="1"/>
      <w:numFmt w:val="lowerRoman"/>
      <w:lvlText w:val="%6."/>
      <w:lvlJc w:val="right"/>
      <w:pPr>
        <w:ind w:left="4320" w:hanging="180"/>
      </w:pPr>
    </w:lvl>
    <w:lvl w:ilvl="6" w:tplc="D200E04C">
      <w:start w:val="1"/>
      <w:numFmt w:val="decimal"/>
      <w:lvlText w:val="%7."/>
      <w:lvlJc w:val="left"/>
      <w:pPr>
        <w:ind w:left="5040" w:hanging="360"/>
      </w:pPr>
    </w:lvl>
    <w:lvl w:ilvl="7" w:tplc="78F0FAA2">
      <w:start w:val="1"/>
      <w:numFmt w:val="lowerLetter"/>
      <w:lvlText w:val="%8."/>
      <w:lvlJc w:val="left"/>
      <w:pPr>
        <w:ind w:left="5760" w:hanging="360"/>
      </w:pPr>
    </w:lvl>
    <w:lvl w:ilvl="8" w:tplc="DB4A312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880862">
    <w:abstractNumId w:val="9"/>
  </w:num>
  <w:num w:numId="2" w16cid:durableId="162362900">
    <w:abstractNumId w:val="4"/>
  </w:num>
  <w:num w:numId="3" w16cid:durableId="177275884">
    <w:abstractNumId w:val="7"/>
  </w:num>
  <w:num w:numId="4" w16cid:durableId="1256865367">
    <w:abstractNumId w:val="10"/>
  </w:num>
  <w:num w:numId="5" w16cid:durableId="1261255442">
    <w:abstractNumId w:val="2"/>
  </w:num>
  <w:num w:numId="6" w16cid:durableId="2115860523">
    <w:abstractNumId w:val="3"/>
  </w:num>
  <w:num w:numId="7" w16cid:durableId="519122462">
    <w:abstractNumId w:val="6"/>
  </w:num>
  <w:num w:numId="8" w16cid:durableId="30572276">
    <w:abstractNumId w:val="11"/>
  </w:num>
  <w:num w:numId="9" w16cid:durableId="360130868">
    <w:abstractNumId w:val="1"/>
  </w:num>
  <w:num w:numId="10" w16cid:durableId="1460032301">
    <w:abstractNumId w:val="0"/>
  </w:num>
  <w:num w:numId="11" w16cid:durableId="1325166077">
    <w:abstractNumId w:val="5"/>
  </w:num>
  <w:num w:numId="12" w16cid:durableId="9419618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02BAD"/>
    <w:rsid w:val="00032F24"/>
    <w:rsid w:val="00033651"/>
    <w:rsid w:val="000339AA"/>
    <w:rsid w:val="000354FB"/>
    <w:rsid w:val="000401C9"/>
    <w:rsid w:val="0005108C"/>
    <w:rsid w:val="00054839"/>
    <w:rsid w:val="0005730D"/>
    <w:rsid w:val="00057FFA"/>
    <w:rsid w:val="00065861"/>
    <w:rsid w:val="000719EF"/>
    <w:rsid w:val="00072C78"/>
    <w:rsid w:val="00074014"/>
    <w:rsid w:val="000773E1"/>
    <w:rsid w:val="00081E8E"/>
    <w:rsid w:val="00086EF3"/>
    <w:rsid w:val="000915C5"/>
    <w:rsid w:val="00092E8D"/>
    <w:rsid w:val="000A4E3E"/>
    <w:rsid w:val="000B340B"/>
    <w:rsid w:val="000B3F09"/>
    <w:rsid w:val="000C461D"/>
    <w:rsid w:val="000D1502"/>
    <w:rsid w:val="000D5D33"/>
    <w:rsid w:val="000E7887"/>
    <w:rsid w:val="000F0FE1"/>
    <w:rsid w:val="00103719"/>
    <w:rsid w:val="00111B18"/>
    <w:rsid w:val="001120D5"/>
    <w:rsid w:val="001124FC"/>
    <w:rsid w:val="0013202C"/>
    <w:rsid w:val="001328C8"/>
    <w:rsid w:val="00137D3D"/>
    <w:rsid w:val="00140D08"/>
    <w:rsid w:val="00140DF7"/>
    <w:rsid w:val="00147437"/>
    <w:rsid w:val="00155F40"/>
    <w:rsid w:val="00157A49"/>
    <w:rsid w:val="00162FA8"/>
    <w:rsid w:val="001721D8"/>
    <w:rsid w:val="00183133"/>
    <w:rsid w:val="0018357E"/>
    <w:rsid w:val="00184144"/>
    <w:rsid w:val="001864A9"/>
    <w:rsid w:val="001865E8"/>
    <w:rsid w:val="00195530"/>
    <w:rsid w:val="001B7678"/>
    <w:rsid w:val="001C1481"/>
    <w:rsid w:val="001C14F2"/>
    <w:rsid w:val="001C17CD"/>
    <w:rsid w:val="001C5079"/>
    <w:rsid w:val="001D04DE"/>
    <w:rsid w:val="001D108C"/>
    <w:rsid w:val="001E0E7A"/>
    <w:rsid w:val="001F701D"/>
    <w:rsid w:val="00201F28"/>
    <w:rsid w:val="002123EC"/>
    <w:rsid w:val="00223AE3"/>
    <w:rsid w:val="00226D37"/>
    <w:rsid w:val="00227A11"/>
    <w:rsid w:val="0023332A"/>
    <w:rsid w:val="00234673"/>
    <w:rsid w:val="00241F76"/>
    <w:rsid w:val="002453C7"/>
    <w:rsid w:val="002509E9"/>
    <w:rsid w:val="002534B7"/>
    <w:rsid w:val="002668FC"/>
    <w:rsid w:val="0027289D"/>
    <w:rsid w:val="002758B2"/>
    <w:rsid w:val="00276F3A"/>
    <w:rsid w:val="00286CBE"/>
    <w:rsid w:val="002948D9"/>
    <w:rsid w:val="002B144A"/>
    <w:rsid w:val="002C3773"/>
    <w:rsid w:val="002C54C4"/>
    <w:rsid w:val="002C668E"/>
    <w:rsid w:val="002C690F"/>
    <w:rsid w:val="002C7C67"/>
    <w:rsid w:val="002D0D98"/>
    <w:rsid w:val="002D390F"/>
    <w:rsid w:val="002D738C"/>
    <w:rsid w:val="00302079"/>
    <w:rsid w:val="00313BD7"/>
    <w:rsid w:val="003152DA"/>
    <w:rsid w:val="0031782E"/>
    <w:rsid w:val="00321F39"/>
    <w:rsid w:val="0033053B"/>
    <w:rsid w:val="00341477"/>
    <w:rsid w:val="0034BE6A"/>
    <w:rsid w:val="003501B8"/>
    <w:rsid w:val="003512E0"/>
    <w:rsid w:val="00356ADA"/>
    <w:rsid w:val="00360067"/>
    <w:rsid w:val="0036343A"/>
    <w:rsid w:val="003642CC"/>
    <w:rsid w:val="00365BAA"/>
    <w:rsid w:val="00366E91"/>
    <w:rsid w:val="0036795C"/>
    <w:rsid w:val="00370425"/>
    <w:rsid w:val="0037373E"/>
    <w:rsid w:val="003742C0"/>
    <w:rsid w:val="00375869"/>
    <w:rsid w:val="00381A1E"/>
    <w:rsid w:val="00382054"/>
    <w:rsid w:val="003957C6"/>
    <w:rsid w:val="003B3B03"/>
    <w:rsid w:val="003B6839"/>
    <w:rsid w:val="003C38CF"/>
    <w:rsid w:val="003C4535"/>
    <w:rsid w:val="003D2571"/>
    <w:rsid w:val="003D3229"/>
    <w:rsid w:val="003E4A84"/>
    <w:rsid w:val="0040602A"/>
    <w:rsid w:val="00410B13"/>
    <w:rsid w:val="00417EB4"/>
    <w:rsid w:val="00421890"/>
    <w:rsid w:val="00436EC6"/>
    <w:rsid w:val="0043707B"/>
    <w:rsid w:val="004417DC"/>
    <w:rsid w:val="0044325E"/>
    <w:rsid w:val="00447A5F"/>
    <w:rsid w:val="004664D3"/>
    <w:rsid w:val="00476542"/>
    <w:rsid w:val="00476F39"/>
    <w:rsid w:val="0048776D"/>
    <w:rsid w:val="00491451"/>
    <w:rsid w:val="00492602"/>
    <w:rsid w:val="00494BF8"/>
    <w:rsid w:val="004A3BAA"/>
    <w:rsid w:val="004A529E"/>
    <w:rsid w:val="004A66E7"/>
    <w:rsid w:val="004A7395"/>
    <w:rsid w:val="004B10DF"/>
    <w:rsid w:val="004C21C2"/>
    <w:rsid w:val="004C408A"/>
    <w:rsid w:val="004C4924"/>
    <w:rsid w:val="004D1F73"/>
    <w:rsid w:val="004E45BE"/>
    <w:rsid w:val="004F5612"/>
    <w:rsid w:val="004F7B3E"/>
    <w:rsid w:val="00505E0F"/>
    <w:rsid w:val="005151B8"/>
    <w:rsid w:val="00516394"/>
    <w:rsid w:val="005314A6"/>
    <w:rsid w:val="00537BC0"/>
    <w:rsid w:val="00542562"/>
    <w:rsid w:val="0054323C"/>
    <w:rsid w:val="00544828"/>
    <w:rsid w:val="005502E1"/>
    <w:rsid w:val="005566C6"/>
    <w:rsid w:val="0056481B"/>
    <w:rsid w:val="00571898"/>
    <w:rsid w:val="00574F07"/>
    <w:rsid w:val="005762AA"/>
    <w:rsid w:val="00581E50"/>
    <w:rsid w:val="005842A0"/>
    <w:rsid w:val="005958DD"/>
    <w:rsid w:val="005A3211"/>
    <w:rsid w:val="005A57BA"/>
    <w:rsid w:val="005B0B8D"/>
    <w:rsid w:val="005B5318"/>
    <w:rsid w:val="005C2627"/>
    <w:rsid w:val="005C5498"/>
    <w:rsid w:val="005D048C"/>
    <w:rsid w:val="00623222"/>
    <w:rsid w:val="00623469"/>
    <w:rsid w:val="00624927"/>
    <w:rsid w:val="00632DB9"/>
    <w:rsid w:val="00637A67"/>
    <w:rsid w:val="006404F4"/>
    <w:rsid w:val="006421B9"/>
    <w:rsid w:val="00650095"/>
    <w:rsid w:val="00651CA7"/>
    <w:rsid w:val="00652261"/>
    <w:rsid w:val="00664FA3"/>
    <w:rsid w:val="00666BCC"/>
    <w:rsid w:val="00674418"/>
    <w:rsid w:val="00674428"/>
    <w:rsid w:val="00686C26"/>
    <w:rsid w:val="006871EE"/>
    <w:rsid w:val="00690023"/>
    <w:rsid w:val="0069772F"/>
    <w:rsid w:val="006A2936"/>
    <w:rsid w:val="006A38E1"/>
    <w:rsid w:val="006A7D8F"/>
    <w:rsid w:val="006B3E2E"/>
    <w:rsid w:val="006C5E40"/>
    <w:rsid w:val="006D05B3"/>
    <w:rsid w:val="006D3B5F"/>
    <w:rsid w:val="006E0C20"/>
    <w:rsid w:val="006E22A3"/>
    <w:rsid w:val="006E3933"/>
    <w:rsid w:val="006F34C6"/>
    <w:rsid w:val="006F35F9"/>
    <w:rsid w:val="006F5D4B"/>
    <w:rsid w:val="007013C9"/>
    <w:rsid w:val="00726321"/>
    <w:rsid w:val="007319D7"/>
    <w:rsid w:val="00731FAF"/>
    <w:rsid w:val="007326EC"/>
    <w:rsid w:val="00734854"/>
    <w:rsid w:val="007426BF"/>
    <w:rsid w:val="007530B8"/>
    <w:rsid w:val="0075613A"/>
    <w:rsid w:val="00760FDF"/>
    <w:rsid w:val="007667E4"/>
    <w:rsid w:val="00770A97"/>
    <w:rsid w:val="00770E52"/>
    <w:rsid w:val="007757E7"/>
    <w:rsid w:val="00783908"/>
    <w:rsid w:val="007862AD"/>
    <w:rsid w:val="007879BC"/>
    <w:rsid w:val="00796215"/>
    <w:rsid w:val="007A41F5"/>
    <w:rsid w:val="007A7E29"/>
    <w:rsid w:val="007B4575"/>
    <w:rsid w:val="007B7425"/>
    <w:rsid w:val="007C290F"/>
    <w:rsid w:val="007C6D14"/>
    <w:rsid w:val="007D6E59"/>
    <w:rsid w:val="007D7267"/>
    <w:rsid w:val="007E5591"/>
    <w:rsid w:val="007F5417"/>
    <w:rsid w:val="008009F0"/>
    <w:rsid w:val="00812480"/>
    <w:rsid w:val="00821937"/>
    <w:rsid w:val="008403CA"/>
    <w:rsid w:val="00846FBE"/>
    <w:rsid w:val="0085395A"/>
    <w:rsid w:val="00853F8E"/>
    <w:rsid w:val="00861844"/>
    <w:rsid w:val="008627CE"/>
    <w:rsid w:val="008649B8"/>
    <w:rsid w:val="008712F8"/>
    <w:rsid w:val="00872E7F"/>
    <w:rsid w:val="00880FA9"/>
    <w:rsid w:val="00882E56"/>
    <w:rsid w:val="0089005E"/>
    <w:rsid w:val="008930F1"/>
    <w:rsid w:val="00893F45"/>
    <w:rsid w:val="008978FF"/>
    <w:rsid w:val="008B348F"/>
    <w:rsid w:val="008B4EAB"/>
    <w:rsid w:val="008C5414"/>
    <w:rsid w:val="008C7A16"/>
    <w:rsid w:val="008E0C90"/>
    <w:rsid w:val="008E38F2"/>
    <w:rsid w:val="008E40B3"/>
    <w:rsid w:val="008E4BA2"/>
    <w:rsid w:val="008E509A"/>
    <w:rsid w:val="008E62B4"/>
    <w:rsid w:val="008F0130"/>
    <w:rsid w:val="008F11E0"/>
    <w:rsid w:val="008F2307"/>
    <w:rsid w:val="008F2E4C"/>
    <w:rsid w:val="00900995"/>
    <w:rsid w:val="00903E87"/>
    <w:rsid w:val="00906EEC"/>
    <w:rsid w:val="0091060F"/>
    <w:rsid w:val="009107C8"/>
    <w:rsid w:val="009166DF"/>
    <w:rsid w:val="009204C7"/>
    <w:rsid w:val="00922030"/>
    <w:rsid w:val="0092589E"/>
    <w:rsid w:val="00925A4B"/>
    <w:rsid w:val="009338A5"/>
    <w:rsid w:val="00941258"/>
    <w:rsid w:val="00942245"/>
    <w:rsid w:val="0095231B"/>
    <w:rsid w:val="00953835"/>
    <w:rsid w:val="00954C47"/>
    <w:rsid w:val="00956812"/>
    <w:rsid w:val="00964DFD"/>
    <w:rsid w:val="009725E5"/>
    <w:rsid w:val="009758A3"/>
    <w:rsid w:val="00981567"/>
    <w:rsid w:val="009A57CF"/>
    <w:rsid w:val="009C2643"/>
    <w:rsid w:val="009C3981"/>
    <w:rsid w:val="009D3D69"/>
    <w:rsid w:val="009D4391"/>
    <w:rsid w:val="009D6AAA"/>
    <w:rsid w:val="009E2B77"/>
    <w:rsid w:val="009E4944"/>
    <w:rsid w:val="009E6499"/>
    <w:rsid w:val="009F0440"/>
    <w:rsid w:val="00A0009B"/>
    <w:rsid w:val="00A01DE3"/>
    <w:rsid w:val="00A02DEF"/>
    <w:rsid w:val="00A11371"/>
    <w:rsid w:val="00A120E1"/>
    <w:rsid w:val="00A16536"/>
    <w:rsid w:val="00A21745"/>
    <w:rsid w:val="00A262A2"/>
    <w:rsid w:val="00A330FD"/>
    <w:rsid w:val="00A343A9"/>
    <w:rsid w:val="00A405B4"/>
    <w:rsid w:val="00A5239C"/>
    <w:rsid w:val="00A57B03"/>
    <w:rsid w:val="00A650DC"/>
    <w:rsid w:val="00A70847"/>
    <w:rsid w:val="00A836B2"/>
    <w:rsid w:val="00A84255"/>
    <w:rsid w:val="00A87E7D"/>
    <w:rsid w:val="00A91725"/>
    <w:rsid w:val="00AA4715"/>
    <w:rsid w:val="00AB21EA"/>
    <w:rsid w:val="00AB254A"/>
    <w:rsid w:val="00AB5E9A"/>
    <w:rsid w:val="00AC0098"/>
    <w:rsid w:val="00AC1AC7"/>
    <w:rsid w:val="00AC2555"/>
    <w:rsid w:val="00AD18B8"/>
    <w:rsid w:val="00AD4750"/>
    <w:rsid w:val="00AD7369"/>
    <w:rsid w:val="00AE21FC"/>
    <w:rsid w:val="00AE7DED"/>
    <w:rsid w:val="00AF19BA"/>
    <w:rsid w:val="00AF3D5A"/>
    <w:rsid w:val="00B01BAA"/>
    <w:rsid w:val="00B02084"/>
    <w:rsid w:val="00B067CD"/>
    <w:rsid w:val="00B07BD7"/>
    <w:rsid w:val="00B1138C"/>
    <w:rsid w:val="00B16F2E"/>
    <w:rsid w:val="00B3099B"/>
    <w:rsid w:val="00B34964"/>
    <w:rsid w:val="00B46D97"/>
    <w:rsid w:val="00B47DC1"/>
    <w:rsid w:val="00B54AB5"/>
    <w:rsid w:val="00B62EA1"/>
    <w:rsid w:val="00B63EE4"/>
    <w:rsid w:val="00B67A10"/>
    <w:rsid w:val="00B80C3B"/>
    <w:rsid w:val="00B8753B"/>
    <w:rsid w:val="00B92C96"/>
    <w:rsid w:val="00BA4672"/>
    <w:rsid w:val="00BA68F0"/>
    <w:rsid w:val="00BA6FDB"/>
    <w:rsid w:val="00BC0A21"/>
    <w:rsid w:val="00BD08CA"/>
    <w:rsid w:val="00BD6CAF"/>
    <w:rsid w:val="00BE0934"/>
    <w:rsid w:val="00C15925"/>
    <w:rsid w:val="00C16B30"/>
    <w:rsid w:val="00C24371"/>
    <w:rsid w:val="00C31421"/>
    <w:rsid w:val="00C33107"/>
    <w:rsid w:val="00C33753"/>
    <w:rsid w:val="00C35B94"/>
    <w:rsid w:val="00C36242"/>
    <w:rsid w:val="00C45F5C"/>
    <w:rsid w:val="00C671DE"/>
    <w:rsid w:val="00C82FA4"/>
    <w:rsid w:val="00C83BAD"/>
    <w:rsid w:val="00C95262"/>
    <w:rsid w:val="00CA0669"/>
    <w:rsid w:val="00CB0030"/>
    <w:rsid w:val="00CB0FA8"/>
    <w:rsid w:val="00CB7178"/>
    <w:rsid w:val="00CC3C2D"/>
    <w:rsid w:val="00CC556B"/>
    <w:rsid w:val="00CC57AC"/>
    <w:rsid w:val="00CC776C"/>
    <w:rsid w:val="00CD6E08"/>
    <w:rsid w:val="00CE1E17"/>
    <w:rsid w:val="00CE42C4"/>
    <w:rsid w:val="00CF5FA6"/>
    <w:rsid w:val="00D020F8"/>
    <w:rsid w:val="00D2695E"/>
    <w:rsid w:val="00D324BE"/>
    <w:rsid w:val="00D36DC6"/>
    <w:rsid w:val="00D37C13"/>
    <w:rsid w:val="00D4030C"/>
    <w:rsid w:val="00D403DB"/>
    <w:rsid w:val="00D445AF"/>
    <w:rsid w:val="00D46791"/>
    <w:rsid w:val="00D475C5"/>
    <w:rsid w:val="00D53625"/>
    <w:rsid w:val="00D5529A"/>
    <w:rsid w:val="00D6223D"/>
    <w:rsid w:val="00D63C42"/>
    <w:rsid w:val="00D63E59"/>
    <w:rsid w:val="00D66A89"/>
    <w:rsid w:val="00D70B11"/>
    <w:rsid w:val="00D7269C"/>
    <w:rsid w:val="00D72C55"/>
    <w:rsid w:val="00D81121"/>
    <w:rsid w:val="00D87C2B"/>
    <w:rsid w:val="00D93833"/>
    <w:rsid w:val="00DB079C"/>
    <w:rsid w:val="00DC1889"/>
    <w:rsid w:val="00DD0C01"/>
    <w:rsid w:val="00DD19C0"/>
    <w:rsid w:val="00DD254C"/>
    <w:rsid w:val="00DD3D76"/>
    <w:rsid w:val="00DE4B37"/>
    <w:rsid w:val="00DF3245"/>
    <w:rsid w:val="00E0215E"/>
    <w:rsid w:val="00E22B60"/>
    <w:rsid w:val="00E24139"/>
    <w:rsid w:val="00E424A1"/>
    <w:rsid w:val="00E50326"/>
    <w:rsid w:val="00E60ABB"/>
    <w:rsid w:val="00E630C9"/>
    <w:rsid w:val="00E67713"/>
    <w:rsid w:val="00E708DB"/>
    <w:rsid w:val="00E72DC9"/>
    <w:rsid w:val="00E83BC4"/>
    <w:rsid w:val="00E92E47"/>
    <w:rsid w:val="00E9443D"/>
    <w:rsid w:val="00E9576D"/>
    <w:rsid w:val="00E960B6"/>
    <w:rsid w:val="00EB4519"/>
    <w:rsid w:val="00EC08AC"/>
    <w:rsid w:val="00EC2856"/>
    <w:rsid w:val="00EE28E0"/>
    <w:rsid w:val="00EE662B"/>
    <w:rsid w:val="00EF1D81"/>
    <w:rsid w:val="00EF30CA"/>
    <w:rsid w:val="00EF530D"/>
    <w:rsid w:val="00EF7C8A"/>
    <w:rsid w:val="00F03AE8"/>
    <w:rsid w:val="00F053E2"/>
    <w:rsid w:val="00F162BD"/>
    <w:rsid w:val="00F165A7"/>
    <w:rsid w:val="00F178EE"/>
    <w:rsid w:val="00F25E7F"/>
    <w:rsid w:val="00F43921"/>
    <w:rsid w:val="00F64605"/>
    <w:rsid w:val="00F66ACE"/>
    <w:rsid w:val="00F76D69"/>
    <w:rsid w:val="00F82177"/>
    <w:rsid w:val="00F85F2A"/>
    <w:rsid w:val="00F906CF"/>
    <w:rsid w:val="00F9387A"/>
    <w:rsid w:val="00FA5147"/>
    <w:rsid w:val="00FA5AFD"/>
    <w:rsid w:val="00FB0C11"/>
    <w:rsid w:val="00FB39E3"/>
    <w:rsid w:val="00FC01F2"/>
    <w:rsid w:val="00FD31BC"/>
    <w:rsid w:val="00FD4894"/>
    <w:rsid w:val="00FE6B9E"/>
    <w:rsid w:val="00FF3BA8"/>
    <w:rsid w:val="00FF40A0"/>
    <w:rsid w:val="012C7919"/>
    <w:rsid w:val="015A38E7"/>
    <w:rsid w:val="0182A591"/>
    <w:rsid w:val="0196AE50"/>
    <w:rsid w:val="01BDFE16"/>
    <w:rsid w:val="02D248A8"/>
    <w:rsid w:val="0341C8A9"/>
    <w:rsid w:val="036130EB"/>
    <w:rsid w:val="038BB4AB"/>
    <w:rsid w:val="03EC5CA7"/>
    <w:rsid w:val="03F49102"/>
    <w:rsid w:val="04634989"/>
    <w:rsid w:val="047B91F4"/>
    <w:rsid w:val="0484F404"/>
    <w:rsid w:val="04B732BE"/>
    <w:rsid w:val="052FB373"/>
    <w:rsid w:val="056C355C"/>
    <w:rsid w:val="05B09086"/>
    <w:rsid w:val="06072F74"/>
    <w:rsid w:val="0638AA31"/>
    <w:rsid w:val="067C23D5"/>
    <w:rsid w:val="06F19DE8"/>
    <w:rsid w:val="06FCEBF4"/>
    <w:rsid w:val="0791ECDE"/>
    <w:rsid w:val="07BDB84C"/>
    <w:rsid w:val="0803855A"/>
    <w:rsid w:val="083CB477"/>
    <w:rsid w:val="085570C9"/>
    <w:rsid w:val="08D0F030"/>
    <w:rsid w:val="09021AC0"/>
    <w:rsid w:val="0905D3D0"/>
    <w:rsid w:val="09792321"/>
    <w:rsid w:val="09D3A4D6"/>
    <w:rsid w:val="0A02294F"/>
    <w:rsid w:val="0A0D8BA0"/>
    <w:rsid w:val="0A73C196"/>
    <w:rsid w:val="0AAAB56C"/>
    <w:rsid w:val="0AF2A807"/>
    <w:rsid w:val="0B0256AE"/>
    <w:rsid w:val="0B49F66C"/>
    <w:rsid w:val="0B9555BB"/>
    <w:rsid w:val="0BCAA7EE"/>
    <w:rsid w:val="0C478EA3"/>
    <w:rsid w:val="0C58B705"/>
    <w:rsid w:val="0C602F57"/>
    <w:rsid w:val="0C6CBEC5"/>
    <w:rsid w:val="0CE30610"/>
    <w:rsid w:val="0CEBAFF7"/>
    <w:rsid w:val="0D0BEC9A"/>
    <w:rsid w:val="0D0FC110"/>
    <w:rsid w:val="0DD5D065"/>
    <w:rsid w:val="0DDDC850"/>
    <w:rsid w:val="0DE61B2A"/>
    <w:rsid w:val="0DF150B0"/>
    <w:rsid w:val="0F292B96"/>
    <w:rsid w:val="0F5D92BE"/>
    <w:rsid w:val="0F75907D"/>
    <w:rsid w:val="0F92F291"/>
    <w:rsid w:val="0FE33C21"/>
    <w:rsid w:val="10018ABC"/>
    <w:rsid w:val="1006A64C"/>
    <w:rsid w:val="10DA67FA"/>
    <w:rsid w:val="10EC0DA1"/>
    <w:rsid w:val="1160971C"/>
    <w:rsid w:val="11793EB3"/>
    <w:rsid w:val="11D26683"/>
    <w:rsid w:val="124CD0F2"/>
    <w:rsid w:val="12542E3B"/>
    <w:rsid w:val="128F53F9"/>
    <w:rsid w:val="12917A91"/>
    <w:rsid w:val="12D44D52"/>
    <w:rsid w:val="13A40D3E"/>
    <w:rsid w:val="147A4C93"/>
    <w:rsid w:val="14B157F1"/>
    <w:rsid w:val="153FF918"/>
    <w:rsid w:val="15C045AA"/>
    <w:rsid w:val="15E9A9A3"/>
    <w:rsid w:val="15EEAD0C"/>
    <w:rsid w:val="16142BE6"/>
    <w:rsid w:val="167C6E2E"/>
    <w:rsid w:val="168EF770"/>
    <w:rsid w:val="169B6301"/>
    <w:rsid w:val="16EFE879"/>
    <w:rsid w:val="16F412BE"/>
    <w:rsid w:val="16F74765"/>
    <w:rsid w:val="178D65BC"/>
    <w:rsid w:val="1809130B"/>
    <w:rsid w:val="18137362"/>
    <w:rsid w:val="18249416"/>
    <w:rsid w:val="185D5405"/>
    <w:rsid w:val="18A30E0B"/>
    <w:rsid w:val="18AE14D7"/>
    <w:rsid w:val="18F4A19B"/>
    <w:rsid w:val="197113CA"/>
    <w:rsid w:val="19BF8F0D"/>
    <w:rsid w:val="19CB8F61"/>
    <w:rsid w:val="19CF1036"/>
    <w:rsid w:val="19EB5524"/>
    <w:rsid w:val="1A0AC176"/>
    <w:rsid w:val="1A2716EA"/>
    <w:rsid w:val="1A6C2E2A"/>
    <w:rsid w:val="1A85D366"/>
    <w:rsid w:val="1A9CA92F"/>
    <w:rsid w:val="1B13533A"/>
    <w:rsid w:val="1B67D230"/>
    <w:rsid w:val="1BBC76BB"/>
    <w:rsid w:val="1BFF5AA2"/>
    <w:rsid w:val="1C1144FF"/>
    <w:rsid w:val="1C1B22FC"/>
    <w:rsid w:val="1CC97DB7"/>
    <w:rsid w:val="1CD5D36C"/>
    <w:rsid w:val="1CEABF9F"/>
    <w:rsid w:val="1D3B772E"/>
    <w:rsid w:val="1D55A72C"/>
    <w:rsid w:val="1D69E141"/>
    <w:rsid w:val="1D7BF6CA"/>
    <w:rsid w:val="1D930686"/>
    <w:rsid w:val="1DAD6EE8"/>
    <w:rsid w:val="1DD3A681"/>
    <w:rsid w:val="1E23E8DB"/>
    <w:rsid w:val="1E63B3C6"/>
    <w:rsid w:val="1EA88737"/>
    <w:rsid w:val="1F0FDE1E"/>
    <w:rsid w:val="1FA51B57"/>
    <w:rsid w:val="1FBD201F"/>
    <w:rsid w:val="205D7B16"/>
    <w:rsid w:val="20D6CACE"/>
    <w:rsid w:val="218565B5"/>
    <w:rsid w:val="21AF7C60"/>
    <w:rsid w:val="21B5D375"/>
    <w:rsid w:val="21CDF574"/>
    <w:rsid w:val="22275CC9"/>
    <w:rsid w:val="22B550C0"/>
    <w:rsid w:val="22DE0166"/>
    <w:rsid w:val="233DFD35"/>
    <w:rsid w:val="2355830D"/>
    <w:rsid w:val="2370E35A"/>
    <w:rsid w:val="2492817C"/>
    <w:rsid w:val="250520DE"/>
    <w:rsid w:val="250531C0"/>
    <w:rsid w:val="2516B771"/>
    <w:rsid w:val="26194BEE"/>
    <w:rsid w:val="262931DC"/>
    <w:rsid w:val="26350D0B"/>
    <w:rsid w:val="264502C4"/>
    <w:rsid w:val="26C0C9C6"/>
    <w:rsid w:val="2717D309"/>
    <w:rsid w:val="27F26FD5"/>
    <w:rsid w:val="28F934D1"/>
    <w:rsid w:val="2917842B"/>
    <w:rsid w:val="29FF6192"/>
    <w:rsid w:val="2B0FEDF8"/>
    <w:rsid w:val="2B12455A"/>
    <w:rsid w:val="2B1DD01C"/>
    <w:rsid w:val="2B64D47D"/>
    <w:rsid w:val="2BD02459"/>
    <w:rsid w:val="2BE278C2"/>
    <w:rsid w:val="2C3DC2AC"/>
    <w:rsid w:val="2C51C35E"/>
    <w:rsid w:val="2C9BC999"/>
    <w:rsid w:val="2C9C9D7B"/>
    <w:rsid w:val="2CAB1E4C"/>
    <w:rsid w:val="2D3B9C70"/>
    <w:rsid w:val="2DB23242"/>
    <w:rsid w:val="2DFE0D4E"/>
    <w:rsid w:val="2E3438FD"/>
    <w:rsid w:val="2EA1E6DF"/>
    <w:rsid w:val="2F8339FB"/>
    <w:rsid w:val="2F8FD59B"/>
    <w:rsid w:val="2FAF3C59"/>
    <w:rsid w:val="2FF46B98"/>
    <w:rsid w:val="302E46D0"/>
    <w:rsid w:val="3078BDAA"/>
    <w:rsid w:val="308FC234"/>
    <w:rsid w:val="30E78830"/>
    <w:rsid w:val="313610EA"/>
    <w:rsid w:val="315FD56F"/>
    <w:rsid w:val="31739426"/>
    <w:rsid w:val="31839C3E"/>
    <w:rsid w:val="31FCBEFB"/>
    <w:rsid w:val="32413877"/>
    <w:rsid w:val="32B765C2"/>
    <w:rsid w:val="33C26B78"/>
    <w:rsid w:val="33FD6C2E"/>
    <w:rsid w:val="34A4A642"/>
    <w:rsid w:val="34AAEFA5"/>
    <w:rsid w:val="35EC43F8"/>
    <w:rsid w:val="36288131"/>
    <w:rsid w:val="3713CAF8"/>
    <w:rsid w:val="37557586"/>
    <w:rsid w:val="37DAA6EC"/>
    <w:rsid w:val="37E87BF1"/>
    <w:rsid w:val="37EE7710"/>
    <w:rsid w:val="381601B2"/>
    <w:rsid w:val="381A3E03"/>
    <w:rsid w:val="384A0D0F"/>
    <w:rsid w:val="38758B5A"/>
    <w:rsid w:val="3898A52A"/>
    <w:rsid w:val="389D72F5"/>
    <w:rsid w:val="39E5CFBF"/>
    <w:rsid w:val="39EC6C5C"/>
    <w:rsid w:val="3ADF877F"/>
    <w:rsid w:val="3B0CDA30"/>
    <w:rsid w:val="3B293F20"/>
    <w:rsid w:val="3B7099E4"/>
    <w:rsid w:val="3BFC9240"/>
    <w:rsid w:val="3C1E3511"/>
    <w:rsid w:val="3CADAC02"/>
    <w:rsid w:val="3DAD1BDC"/>
    <w:rsid w:val="3DB4014E"/>
    <w:rsid w:val="3DB82427"/>
    <w:rsid w:val="3DB8A83B"/>
    <w:rsid w:val="3DD49170"/>
    <w:rsid w:val="3E9C48A4"/>
    <w:rsid w:val="3E9D3A9E"/>
    <w:rsid w:val="3EB3C5FD"/>
    <w:rsid w:val="3EC791B4"/>
    <w:rsid w:val="3EC7B3BD"/>
    <w:rsid w:val="3F0ACE1D"/>
    <w:rsid w:val="3F416FD1"/>
    <w:rsid w:val="3F4EAD5A"/>
    <w:rsid w:val="3F73547E"/>
    <w:rsid w:val="3FCB8597"/>
    <w:rsid w:val="40193C2E"/>
    <w:rsid w:val="402A9F3B"/>
    <w:rsid w:val="411BA85E"/>
    <w:rsid w:val="412F4C37"/>
    <w:rsid w:val="4175BADB"/>
    <w:rsid w:val="41F9553A"/>
    <w:rsid w:val="4216F628"/>
    <w:rsid w:val="42B44569"/>
    <w:rsid w:val="42F21D0A"/>
    <w:rsid w:val="431D8EFA"/>
    <w:rsid w:val="43523422"/>
    <w:rsid w:val="43C4E8B4"/>
    <w:rsid w:val="43D31053"/>
    <w:rsid w:val="43E21706"/>
    <w:rsid w:val="43F98EFD"/>
    <w:rsid w:val="444558DB"/>
    <w:rsid w:val="44E1A1DA"/>
    <w:rsid w:val="45369D6D"/>
    <w:rsid w:val="460EC430"/>
    <w:rsid w:val="461F4559"/>
    <w:rsid w:val="46E82F4E"/>
    <w:rsid w:val="47806E8E"/>
    <w:rsid w:val="47DF2D01"/>
    <w:rsid w:val="48ACF0BF"/>
    <w:rsid w:val="48BB64A8"/>
    <w:rsid w:val="48C8DFD6"/>
    <w:rsid w:val="49308B09"/>
    <w:rsid w:val="495CCDA2"/>
    <w:rsid w:val="49D9A4FE"/>
    <w:rsid w:val="4B0E3EFA"/>
    <w:rsid w:val="4B182417"/>
    <w:rsid w:val="4BB657AC"/>
    <w:rsid w:val="4BC58E15"/>
    <w:rsid w:val="4BDCA09B"/>
    <w:rsid w:val="4C21F665"/>
    <w:rsid w:val="4C4570AB"/>
    <w:rsid w:val="4F960EEC"/>
    <w:rsid w:val="4FBDDC64"/>
    <w:rsid w:val="4FF4A349"/>
    <w:rsid w:val="4FF72375"/>
    <w:rsid w:val="4FFDE2AF"/>
    <w:rsid w:val="50AF4383"/>
    <w:rsid w:val="50CEB4DA"/>
    <w:rsid w:val="5205B7C3"/>
    <w:rsid w:val="52444B12"/>
    <w:rsid w:val="52B41E95"/>
    <w:rsid w:val="54994285"/>
    <w:rsid w:val="54FC6C8E"/>
    <w:rsid w:val="5529FA2E"/>
    <w:rsid w:val="557714DF"/>
    <w:rsid w:val="55B7CB6E"/>
    <w:rsid w:val="55E94622"/>
    <w:rsid w:val="55EB4CE2"/>
    <w:rsid w:val="55FCF552"/>
    <w:rsid w:val="562A245A"/>
    <w:rsid w:val="56FF9B62"/>
    <w:rsid w:val="57DC5406"/>
    <w:rsid w:val="57ED55B3"/>
    <w:rsid w:val="5804669D"/>
    <w:rsid w:val="580E3834"/>
    <w:rsid w:val="582466A3"/>
    <w:rsid w:val="58461AD4"/>
    <w:rsid w:val="58A0311E"/>
    <w:rsid w:val="58B94605"/>
    <w:rsid w:val="598340EF"/>
    <w:rsid w:val="59CBB757"/>
    <w:rsid w:val="5A739AF4"/>
    <w:rsid w:val="5ADCCA26"/>
    <w:rsid w:val="5B3A4D1C"/>
    <w:rsid w:val="5B407D79"/>
    <w:rsid w:val="5B632539"/>
    <w:rsid w:val="5BE306B2"/>
    <w:rsid w:val="5C31B269"/>
    <w:rsid w:val="5C7BB4AE"/>
    <w:rsid w:val="5C7DABC2"/>
    <w:rsid w:val="5DAA558C"/>
    <w:rsid w:val="5E00F57F"/>
    <w:rsid w:val="5E56483F"/>
    <w:rsid w:val="5E6FFD2C"/>
    <w:rsid w:val="5EB0195A"/>
    <w:rsid w:val="5EE1463F"/>
    <w:rsid w:val="5F10C874"/>
    <w:rsid w:val="5F1A9601"/>
    <w:rsid w:val="5F53C19D"/>
    <w:rsid w:val="5F8E2ACA"/>
    <w:rsid w:val="5FC210B0"/>
    <w:rsid w:val="603368B2"/>
    <w:rsid w:val="605B89A3"/>
    <w:rsid w:val="60B318F7"/>
    <w:rsid w:val="61752686"/>
    <w:rsid w:val="625994B1"/>
    <w:rsid w:val="627ACD01"/>
    <w:rsid w:val="62904164"/>
    <w:rsid w:val="62DBC185"/>
    <w:rsid w:val="6329CEAA"/>
    <w:rsid w:val="632CEF9C"/>
    <w:rsid w:val="641C3F65"/>
    <w:rsid w:val="6421F78B"/>
    <w:rsid w:val="646E2982"/>
    <w:rsid w:val="64739D82"/>
    <w:rsid w:val="64933F5F"/>
    <w:rsid w:val="649FA5B5"/>
    <w:rsid w:val="65BF6EE5"/>
    <w:rsid w:val="66803334"/>
    <w:rsid w:val="66F2A3CA"/>
    <w:rsid w:val="67D605C7"/>
    <w:rsid w:val="6880D28A"/>
    <w:rsid w:val="69740C38"/>
    <w:rsid w:val="697E1E84"/>
    <w:rsid w:val="6985BB92"/>
    <w:rsid w:val="69B48111"/>
    <w:rsid w:val="6AA1C2D7"/>
    <w:rsid w:val="6ACB78AC"/>
    <w:rsid w:val="6B2B7172"/>
    <w:rsid w:val="6B52ACDF"/>
    <w:rsid w:val="6B7C10E5"/>
    <w:rsid w:val="6BAEBE99"/>
    <w:rsid w:val="6C2E446C"/>
    <w:rsid w:val="6C60536D"/>
    <w:rsid w:val="6C72B47E"/>
    <w:rsid w:val="6CE394B1"/>
    <w:rsid w:val="6D0E8395"/>
    <w:rsid w:val="6D19F96D"/>
    <w:rsid w:val="6D5AF91B"/>
    <w:rsid w:val="6D7CB67F"/>
    <w:rsid w:val="6DDBCF4B"/>
    <w:rsid w:val="6DE903A3"/>
    <w:rsid w:val="6E065367"/>
    <w:rsid w:val="6E113E99"/>
    <w:rsid w:val="6E1DB610"/>
    <w:rsid w:val="6F68E3EB"/>
    <w:rsid w:val="6F7910C5"/>
    <w:rsid w:val="6FBFD51D"/>
    <w:rsid w:val="7048877A"/>
    <w:rsid w:val="70685253"/>
    <w:rsid w:val="706F17B8"/>
    <w:rsid w:val="7076B816"/>
    <w:rsid w:val="70F44D3C"/>
    <w:rsid w:val="7130CCC4"/>
    <w:rsid w:val="71E9C3B7"/>
    <w:rsid w:val="723FF4CB"/>
    <w:rsid w:val="725424D4"/>
    <w:rsid w:val="72A3DEA5"/>
    <w:rsid w:val="730573A4"/>
    <w:rsid w:val="7308D202"/>
    <w:rsid w:val="730BAF5B"/>
    <w:rsid w:val="7332BC73"/>
    <w:rsid w:val="7361750B"/>
    <w:rsid w:val="73748B96"/>
    <w:rsid w:val="73C0C35F"/>
    <w:rsid w:val="73D3D3A8"/>
    <w:rsid w:val="73ECA76B"/>
    <w:rsid w:val="73F67838"/>
    <w:rsid w:val="7413EE91"/>
    <w:rsid w:val="743E8E36"/>
    <w:rsid w:val="74CD1B6F"/>
    <w:rsid w:val="750B9329"/>
    <w:rsid w:val="75EED757"/>
    <w:rsid w:val="76339BBF"/>
    <w:rsid w:val="76880E1A"/>
    <w:rsid w:val="76C383E0"/>
    <w:rsid w:val="776FF015"/>
    <w:rsid w:val="77AA840C"/>
    <w:rsid w:val="788EEFEA"/>
    <w:rsid w:val="78DEE3B3"/>
    <w:rsid w:val="790F3A28"/>
    <w:rsid w:val="793F29F8"/>
    <w:rsid w:val="79EEF632"/>
    <w:rsid w:val="79F443A2"/>
    <w:rsid w:val="79FE3546"/>
    <w:rsid w:val="7A636F73"/>
    <w:rsid w:val="7B22A5CD"/>
    <w:rsid w:val="7B31BDFA"/>
    <w:rsid w:val="7B4108DE"/>
    <w:rsid w:val="7B689747"/>
    <w:rsid w:val="7B6BA15F"/>
    <w:rsid w:val="7B6E8A4D"/>
    <w:rsid w:val="7BA17033"/>
    <w:rsid w:val="7BD8B190"/>
    <w:rsid w:val="7BDC4D71"/>
    <w:rsid w:val="7C12C99C"/>
    <w:rsid w:val="7C998791"/>
    <w:rsid w:val="7CB48788"/>
    <w:rsid w:val="7CB81271"/>
    <w:rsid w:val="7CFB0D7C"/>
    <w:rsid w:val="7CFF32B3"/>
    <w:rsid w:val="7D04DCA4"/>
    <w:rsid w:val="7E1CABF5"/>
    <w:rsid w:val="7E56A656"/>
    <w:rsid w:val="7E92340C"/>
    <w:rsid w:val="7EEED9C5"/>
    <w:rsid w:val="7FF9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252B2"/>
  <w15:docId w15:val="{4CD674F8-4653-4110-ACF5-0370AF68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30D"/>
    <w:pPr>
      <w:ind w:left="720"/>
      <w:contextualSpacing/>
    </w:pPr>
  </w:style>
  <w:style w:type="paragraph" w:styleId="Revision">
    <w:name w:val="Revision"/>
    <w:hidden/>
    <w:uiPriority w:val="99"/>
    <w:semiHidden/>
    <w:rsid w:val="0005730D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336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36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365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3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365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12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fda.gov/biosimilar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3" ma:contentTypeDescription="Create a new document." ma:contentTypeScope="" ma:versionID="3b5b39e87f1c519dcda6a8cdb7b6ea5c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cc2a547286153abf4be74a846625f293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6A973-48B0-4CD6-9805-DAFBB2EBA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094D1-01A9-4070-A8A1-DBDD6EBD1F8B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customXml/itemProps3.xml><?xml version="1.0" encoding="utf-8"?>
<ds:datastoreItem xmlns:ds="http://schemas.openxmlformats.org/officeDocument/2006/customXml" ds:itemID="{0F083F95-AA02-4047-8BF3-1E5A2E8CC7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0DE983-5407-40AC-B6BE-4B49F23E85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4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cp:lastModifiedBy>Sousa, Pam (EHS)</cp:lastModifiedBy>
  <cp:revision>2</cp:revision>
  <dcterms:created xsi:type="dcterms:W3CDTF">2025-11-07T19:27:00Z</dcterms:created>
  <dcterms:modified xsi:type="dcterms:W3CDTF">2025-11-07T19:27:00Z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