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92D3" w14:textId="53C2A9C8" w:rsidR="00074716" w:rsidRPr="00C24879" w:rsidRDefault="000A622F" w:rsidP="00C559C9">
      <w:pPr>
        <w:pStyle w:val="Noparagraphstyle"/>
        <w:rPr>
          <w:rFonts w:ascii="Arial Narrow" w:hAnsi="Arial Narrow"/>
          <w:b/>
          <w:color w:val="auto"/>
          <w:sz w:val="20"/>
          <w:szCs w:val="20"/>
        </w:rPr>
      </w:pPr>
      <w:r w:rsidRPr="00C24879">
        <w:rPr>
          <w:rFonts w:ascii="Arial" w:hAnsi="Arial" w:cs="Arial"/>
          <w:noProof/>
          <w:color w:val="auto"/>
          <w:sz w:val="21"/>
          <w:szCs w:val="21"/>
        </w:rPr>
        <w:drawing>
          <wp:anchor distT="0" distB="0" distL="114300" distR="114300" simplePos="0" relativeHeight="251658240" behindDoc="1" locked="0" layoutInCell="1" allowOverlap="1" wp14:anchorId="4ED2292F" wp14:editId="64C9194F">
            <wp:simplePos x="0" y="0"/>
            <wp:positionH relativeFrom="column">
              <wp:posOffset>-80645</wp:posOffset>
            </wp:positionH>
            <wp:positionV relativeFrom="paragraph">
              <wp:posOffset>-1270</wp:posOffset>
            </wp:positionV>
            <wp:extent cx="6830568" cy="1901952"/>
            <wp:effectExtent l="0" t="0" r="8890" b="3175"/>
            <wp:wrapNone/>
            <wp:docPr id="145245031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sidRPr="00C24879">
        <w:rPr>
          <w:rFonts w:ascii="Arial Narrow" w:hAnsi="Arial Narrow"/>
          <w:b/>
          <w:color w:val="auto"/>
          <w:sz w:val="20"/>
          <w:szCs w:val="20"/>
        </w:rPr>
        <w:t xml:space="preserve">Number </w:t>
      </w:r>
      <w:r w:rsidR="009437DF" w:rsidRPr="00C24879">
        <w:rPr>
          <w:rFonts w:ascii="Arial" w:hAnsi="Arial" w:cs="Arial"/>
          <w:noProof/>
          <w:color w:val="auto"/>
          <w:sz w:val="21"/>
          <w:szCs w:val="21"/>
        </w:rPr>
        <w:drawing>
          <wp:anchor distT="0" distB="0" distL="114300" distR="114300" simplePos="0" relativeHeight="251660288" behindDoc="1" locked="0" layoutInCell="1" allowOverlap="1" wp14:anchorId="1E2616CE" wp14:editId="3645AA8A">
            <wp:simplePos x="0" y="0"/>
            <wp:positionH relativeFrom="column">
              <wp:posOffset>-80645</wp:posOffset>
            </wp:positionH>
            <wp:positionV relativeFrom="paragraph">
              <wp:posOffset>-1270</wp:posOffset>
            </wp:positionV>
            <wp:extent cx="6830568" cy="1901952"/>
            <wp:effectExtent l="0" t="0" r="8890" b="3175"/>
            <wp:wrapNone/>
            <wp:docPr id="87865670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9437DF">
        <w:rPr>
          <w:rFonts w:ascii="Arial Narrow" w:hAnsi="Arial Narrow"/>
          <w:b/>
          <w:color w:val="auto"/>
          <w:sz w:val="20"/>
          <w:szCs w:val="20"/>
        </w:rPr>
        <w:t>2</w:t>
      </w:r>
      <w:r w:rsidR="00EE2A85">
        <w:rPr>
          <w:rFonts w:ascii="Arial Narrow" w:hAnsi="Arial Narrow"/>
          <w:b/>
          <w:color w:val="auto"/>
          <w:sz w:val="20"/>
          <w:szCs w:val="20"/>
        </w:rPr>
        <w:t>61</w:t>
      </w:r>
      <w:r w:rsidR="009437DF" w:rsidRPr="00C24879">
        <w:rPr>
          <w:rFonts w:ascii="Arial Narrow" w:hAnsi="Arial Narrow"/>
          <w:b/>
          <w:color w:val="auto"/>
          <w:sz w:val="20"/>
          <w:szCs w:val="20"/>
        </w:rPr>
        <w:t xml:space="preserve">, </w:t>
      </w:r>
      <w:r w:rsidR="00A52375">
        <w:rPr>
          <w:rFonts w:ascii="Arial Narrow" w:hAnsi="Arial Narrow"/>
          <w:b/>
          <w:color w:val="auto"/>
          <w:sz w:val="20"/>
          <w:szCs w:val="20"/>
        </w:rPr>
        <w:t>November</w:t>
      </w:r>
      <w:r w:rsidR="00EE2A85">
        <w:rPr>
          <w:rFonts w:ascii="Arial Narrow" w:hAnsi="Arial Narrow"/>
          <w:b/>
          <w:color w:val="auto"/>
          <w:sz w:val="20"/>
          <w:szCs w:val="20"/>
        </w:rPr>
        <w:t xml:space="preserve"> 10</w:t>
      </w:r>
      <w:r w:rsidR="009437DF" w:rsidRPr="00C24879">
        <w:rPr>
          <w:rFonts w:ascii="Arial Narrow" w:hAnsi="Arial Narrow"/>
          <w:b/>
          <w:color w:val="auto"/>
          <w:sz w:val="20"/>
          <w:szCs w:val="20"/>
        </w:rPr>
        <w:t>, 2025</w:t>
      </w:r>
    </w:p>
    <w:p w14:paraId="32BF3DE7" w14:textId="77777777" w:rsidR="00074716" w:rsidRPr="00C24879" w:rsidRDefault="00074716" w:rsidP="00C559C9">
      <w:pPr>
        <w:pStyle w:val="Noparagraphstyle"/>
        <w:rPr>
          <w:rFonts w:ascii="Arial Narrow" w:hAnsi="Arial Narrow"/>
          <w:b/>
          <w:color w:val="auto"/>
          <w:sz w:val="20"/>
          <w:szCs w:val="20"/>
        </w:rPr>
      </w:pPr>
    </w:p>
    <w:p w14:paraId="0858B47B" w14:textId="77777777" w:rsidR="00074716" w:rsidRPr="00C24879" w:rsidRDefault="00074716" w:rsidP="00C559C9">
      <w:pPr>
        <w:pStyle w:val="Noparagraphstyle"/>
        <w:rPr>
          <w:rFonts w:ascii="Arial Narrow" w:hAnsi="Arial Narrow"/>
          <w:b/>
          <w:color w:val="auto"/>
          <w:sz w:val="20"/>
          <w:szCs w:val="20"/>
        </w:rPr>
      </w:pPr>
    </w:p>
    <w:p w14:paraId="6A5C6B8C" w14:textId="77777777" w:rsidR="00074716" w:rsidRPr="00C24879" w:rsidRDefault="00074716" w:rsidP="00C559C9">
      <w:pPr>
        <w:pStyle w:val="Noparagraphstyle"/>
        <w:rPr>
          <w:rFonts w:ascii="Arial Narrow" w:hAnsi="Arial Narrow"/>
          <w:b/>
          <w:color w:val="auto"/>
          <w:sz w:val="20"/>
          <w:szCs w:val="20"/>
        </w:rPr>
      </w:pPr>
    </w:p>
    <w:p w14:paraId="1301F774" w14:textId="77777777" w:rsidR="00074716" w:rsidRPr="00C24879" w:rsidRDefault="00074716" w:rsidP="00C559C9">
      <w:pPr>
        <w:pStyle w:val="Noparagraphstyle"/>
        <w:rPr>
          <w:rFonts w:ascii="Arial Narrow" w:hAnsi="Arial Narrow"/>
          <w:b/>
          <w:color w:val="auto"/>
          <w:sz w:val="20"/>
          <w:szCs w:val="20"/>
        </w:rPr>
      </w:pPr>
    </w:p>
    <w:p w14:paraId="187FE7C2" w14:textId="77777777" w:rsidR="00074716" w:rsidRPr="00C24879" w:rsidRDefault="00074716" w:rsidP="00C559C9">
      <w:pPr>
        <w:pStyle w:val="Noparagraphstyle"/>
        <w:rPr>
          <w:rFonts w:ascii="Arial Narrow" w:hAnsi="Arial Narrow"/>
          <w:b/>
          <w:color w:val="auto"/>
          <w:sz w:val="20"/>
          <w:szCs w:val="20"/>
        </w:rPr>
      </w:pPr>
    </w:p>
    <w:p w14:paraId="317BFC54" w14:textId="77777777" w:rsidR="00074716" w:rsidRPr="00C24879" w:rsidRDefault="00074716" w:rsidP="00C559C9">
      <w:pPr>
        <w:pStyle w:val="Noparagraphstyle"/>
        <w:rPr>
          <w:rFonts w:ascii="Arial Narrow" w:hAnsi="Arial Narrow"/>
          <w:b/>
          <w:color w:val="auto"/>
          <w:sz w:val="20"/>
          <w:szCs w:val="20"/>
        </w:rPr>
      </w:pPr>
    </w:p>
    <w:p w14:paraId="1FCA92D7" w14:textId="77777777" w:rsidR="00074716" w:rsidRPr="00C24879" w:rsidRDefault="00074716" w:rsidP="00C559C9">
      <w:pPr>
        <w:pStyle w:val="Noparagraphstyle"/>
        <w:rPr>
          <w:rFonts w:ascii="Arial Narrow" w:hAnsi="Arial Narrow"/>
          <w:b/>
          <w:color w:val="auto"/>
          <w:sz w:val="20"/>
          <w:szCs w:val="20"/>
        </w:rPr>
      </w:pPr>
    </w:p>
    <w:p w14:paraId="175B24BC" w14:textId="77777777" w:rsidR="00074716" w:rsidRPr="00C24879" w:rsidRDefault="00074716" w:rsidP="00C559C9">
      <w:pPr>
        <w:pStyle w:val="Noparagraphstyle"/>
        <w:rPr>
          <w:rFonts w:ascii="Arial Narrow" w:hAnsi="Arial Narrow"/>
          <w:b/>
          <w:color w:val="auto"/>
          <w:sz w:val="20"/>
          <w:szCs w:val="20"/>
        </w:rPr>
      </w:pPr>
    </w:p>
    <w:p w14:paraId="07CD72C2" w14:textId="77777777" w:rsidR="00074716" w:rsidRPr="00C24879" w:rsidRDefault="00074716" w:rsidP="00C559C9">
      <w:pPr>
        <w:pStyle w:val="Noparagraphstyle"/>
        <w:rPr>
          <w:rFonts w:ascii="Arial Narrow" w:hAnsi="Arial Narrow"/>
          <w:b/>
          <w:color w:val="auto"/>
          <w:sz w:val="20"/>
          <w:szCs w:val="20"/>
        </w:rPr>
      </w:pPr>
    </w:p>
    <w:p w14:paraId="0905EA74" w14:textId="77777777" w:rsidR="00074716" w:rsidRPr="00C24879" w:rsidRDefault="00074716" w:rsidP="00C559C9">
      <w:pPr>
        <w:pStyle w:val="Noparagraphstyle"/>
        <w:rPr>
          <w:rFonts w:ascii="Arial Narrow" w:hAnsi="Arial Narrow"/>
          <w:b/>
          <w:color w:val="auto"/>
          <w:sz w:val="20"/>
          <w:szCs w:val="20"/>
        </w:rPr>
      </w:pPr>
    </w:p>
    <w:p w14:paraId="7568DC23" w14:textId="77777777" w:rsidR="00074716" w:rsidRPr="00C24879" w:rsidRDefault="00074716" w:rsidP="00C559C9">
      <w:pPr>
        <w:pStyle w:val="Noparagraphstyle"/>
        <w:rPr>
          <w:rFonts w:ascii="Arial Narrow" w:hAnsi="Arial Narrow"/>
          <w:b/>
          <w:color w:val="auto"/>
          <w:sz w:val="20"/>
          <w:szCs w:val="20"/>
        </w:rPr>
      </w:pPr>
    </w:p>
    <w:p w14:paraId="539B08B0" w14:textId="11024760" w:rsidR="00074716" w:rsidRDefault="00074716" w:rsidP="00074716">
      <w:pPr>
        <w:pStyle w:val="NormalWeb"/>
        <w:shd w:val="clear" w:color="auto" w:fill="FFFFFF"/>
        <w:spacing w:before="0" w:beforeAutospacing="0" w:after="225" w:afterAutospacing="0"/>
        <w:jc w:val="both"/>
        <w:rPr>
          <w:rFonts w:cs="Arial"/>
          <w:color w:val="000000"/>
          <w:sz w:val="21"/>
          <w:szCs w:val="21"/>
        </w:rPr>
        <w:sectPr w:rsidR="00074716" w:rsidSect="001721D8">
          <w:headerReference w:type="default" r:id="rId9"/>
          <w:footerReference w:type="default" r:id="rId10"/>
          <w:footerReference w:type="first" r:id="rId11"/>
          <w:pgSz w:w="12240" w:h="15840" w:code="1"/>
          <w:pgMar w:top="360" w:right="907" w:bottom="446" w:left="907" w:header="0" w:footer="288" w:gutter="0"/>
          <w:cols w:space="720"/>
          <w:docGrid w:linePitch="360"/>
        </w:sectPr>
      </w:pPr>
    </w:p>
    <w:p w14:paraId="68714105" w14:textId="77777777" w:rsidR="00E24E22" w:rsidRPr="00E24E22" w:rsidRDefault="00E24E22" w:rsidP="00E24E22">
      <w:pPr>
        <w:pStyle w:val="Heading1"/>
        <w:rPr>
          <w:szCs w:val="28"/>
        </w:rPr>
      </w:pPr>
      <w:r w:rsidRPr="00E24E22">
        <w:rPr>
          <w:szCs w:val="28"/>
        </w:rPr>
        <w:t>MassHealth Drug List Update</w:t>
      </w:r>
    </w:p>
    <w:p w14:paraId="5BD85693" w14:textId="162A4917" w:rsidR="00E24E22" w:rsidRDefault="00E24E22" w:rsidP="00E24E22">
      <w:pPr>
        <w:rPr>
          <w:rFonts w:cs="Arial"/>
          <w:szCs w:val="22"/>
        </w:rPr>
      </w:pPr>
      <w:r w:rsidRPr="00E37E21">
        <w:rPr>
          <w:rFonts w:cs="Arial"/>
          <w:szCs w:val="22"/>
        </w:rPr>
        <w:t xml:space="preserve">Below are updates to the </w:t>
      </w:r>
      <w:hyperlink r:id="rId12" w:history="1">
        <w:r w:rsidRPr="005F40D5">
          <w:rPr>
            <w:rStyle w:val="Hyperlink"/>
            <w:rFonts w:cs="Arial"/>
            <w:szCs w:val="22"/>
          </w:rPr>
          <w:t>MassHealth Drug List</w:t>
        </w:r>
      </w:hyperlink>
      <w:r w:rsidRPr="00E37E21">
        <w:rPr>
          <w:rFonts w:cs="Arial"/>
          <w:szCs w:val="22"/>
        </w:rPr>
        <w:t xml:space="preserve"> (MHDL). See the </w:t>
      </w:r>
      <w:r w:rsidRPr="00CD2047">
        <w:rPr>
          <w:rFonts w:cs="Arial"/>
          <w:szCs w:val="22"/>
        </w:rPr>
        <w:t>MHDL</w:t>
      </w:r>
      <w:r>
        <w:rPr>
          <w:rFonts w:cs="Arial"/>
          <w:szCs w:val="22"/>
        </w:rPr>
        <w:t xml:space="preserve"> </w:t>
      </w:r>
      <w:r w:rsidRPr="00E37E21">
        <w:rPr>
          <w:rFonts w:cs="Arial"/>
          <w:szCs w:val="22"/>
        </w:rPr>
        <w:t>for a complete listing of updates</w:t>
      </w:r>
    </w:p>
    <w:p w14:paraId="79F65C07" w14:textId="77777777" w:rsidR="00E24E22" w:rsidRPr="00E24E22" w:rsidRDefault="00E24E22" w:rsidP="00E24E22">
      <w:pPr>
        <w:pStyle w:val="Heading2"/>
      </w:pPr>
      <w:r w:rsidRPr="00E24E22">
        <w:t>Additions</w:t>
      </w:r>
    </w:p>
    <w:p w14:paraId="563AA7D7" w14:textId="77777777" w:rsidR="00A52375" w:rsidRPr="000F044E" w:rsidRDefault="00A52375" w:rsidP="00A52375">
      <w:pPr>
        <w:pStyle w:val="Default"/>
        <w:rPr>
          <w:rFonts w:ascii="Arial" w:hAnsi="Arial" w:cs="Arial"/>
          <w:sz w:val="22"/>
          <w:szCs w:val="21"/>
        </w:rPr>
      </w:pPr>
      <w:r w:rsidRPr="00D7131C">
        <w:rPr>
          <w:rFonts w:ascii="Arial" w:hAnsi="Arial" w:cs="Arial"/>
          <w:sz w:val="22"/>
          <w:szCs w:val="22"/>
        </w:rPr>
        <w:t xml:space="preserve">Effective </w:t>
      </w:r>
      <w:r w:rsidRPr="00D7131C">
        <w:rPr>
          <w:rFonts w:ascii="Arial" w:hAnsi="Arial" w:cs="Arial"/>
          <w:color w:val="auto"/>
          <w:sz w:val="22"/>
          <w:szCs w:val="22"/>
        </w:rPr>
        <w:t>November 17, 2025,</w:t>
      </w:r>
      <w:r w:rsidRPr="000F044E">
        <w:rPr>
          <w:rFonts w:ascii="Arial" w:hAnsi="Arial" w:cs="Arial"/>
          <w:sz w:val="22"/>
          <w:szCs w:val="22"/>
        </w:rPr>
        <w:t xml:space="preserve"> the</w:t>
      </w:r>
      <w:r w:rsidRPr="000F044E">
        <w:rPr>
          <w:rFonts w:ascii="Arial" w:hAnsi="Arial" w:cs="Arial"/>
          <w:sz w:val="22"/>
          <w:szCs w:val="21"/>
        </w:rPr>
        <w:t xml:space="preserve"> following newly marketed drugs have been added to the MassHealth Drug List. </w:t>
      </w:r>
    </w:p>
    <w:p w14:paraId="2345BFA5" w14:textId="77777777" w:rsidR="00A52375" w:rsidRPr="000F044E" w:rsidRDefault="00A52375" w:rsidP="00A52375">
      <w:pPr>
        <w:pStyle w:val="Default"/>
        <w:numPr>
          <w:ilvl w:val="0"/>
          <w:numId w:val="2"/>
        </w:numPr>
        <w:spacing w:line="276" w:lineRule="auto"/>
        <w:rPr>
          <w:rFonts w:ascii="Arial" w:hAnsi="Arial" w:cs="Arial"/>
          <w:sz w:val="22"/>
          <w:szCs w:val="22"/>
        </w:rPr>
      </w:pPr>
      <w:bookmarkStart w:id="0" w:name="_Hlk86933353"/>
      <w:proofErr w:type="spellStart"/>
      <w:r w:rsidRPr="000F044E">
        <w:rPr>
          <w:rFonts w:ascii="Arial" w:hAnsi="Arial" w:cs="Arial"/>
          <w:sz w:val="22"/>
          <w:szCs w:val="22"/>
        </w:rPr>
        <w:t>Bkemv</w:t>
      </w:r>
      <w:proofErr w:type="spellEnd"/>
      <w:r w:rsidRPr="000F044E">
        <w:rPr>
          <w:rFonts w:ascii="Arial" w:hAnsi="Arial" w:cs="Arial"/>
          <w:sz w:val="22"/>
          <w:szCs w:val="22"/>
        </w:rPr>
        <w:t xml:space="preserve"> (eculizumab-</w:t>
      </w:r>
      <w:proofErr w:type="spellStart"/>
      <w:r w:rsidRPr="000F044E">
        <w:rPr>
          <w:rFonts w:ascii="Arial" w:hAnsi="Arial" w:cs="Arial"/>
          <w:sz w:val="22"/>
          <w:szCs w:val="22"/>
        </w:rPr>
        <w:t>aeeb</w:t>
      </w:r>
      <w:proofErr w:type="spellEnd"/>
      <w:r w:rsidRPr="000F044E">
        <w:rPr>
          <w:rFonts w:ascii="Arial" w:hAnsi="Arial" w:cs="Arial"/>
          <w:sz w:val="22"/>
          <w:szCs w:val="22"/>
        </w:rPr>
        <w:t xml:space="preserve">) – </w:t>
      </w:r>
      <w:r w:rsidRPr="000F044E">
        <w:rPr>
          <w:rFonts w:ascii="Arial" w:hAnsi="Arial" w:cs="Arial"/>
          <w:b/>
          <w:bCs/>
          <w:sz w:val="22"/>
          <w:szCs w:val="22"/>
        </w:rPr>
        <w:t>PA</w:t>
      </w:r>
      <w:r w:rsidRPr="000F044E">
        <w:rPr>
          <w:rFonts w:ascii="Arial" w:hAnsi="Arial" w:cs="Arial"/>
          <w:sz w:val="22"/>
          <w:szCs w:val="22"/>
        </w:rPr>
        <w:t>; MB</w:t>
      </w:r>
    </w:p>
    <w:p w14:paraId="45D5DCEE" w14:textId="77777777" w:rsidR="00A52375" w:rsidRDefault="00A52375" w:rsidP="00A52375">
      <w:pPr>
        <w:pStyle w:val="Default"/>
        <w:numPr>
          <w:ilvl w:val="0"/>
          <w:numId w:val="2"/>
        </w:numPr>
        <w:spacing w:line="276" w:lineRule="auto"/>
        <w:rPr>
          <w:rFonts w:ascii="Arial" w:hAnsi="Arial" w:cs="Arial"/>
          <w:sz w:val="22"/>
          <w:szCs w:val="22"/>
        </w:rPr>
      </w:pPr>
      <w:proofErr w:type="spellStart"/>
      <w:r w:rsidRPr="00D10EF8">
        <w:rPr>
          <w:rFonts w:ascii="Arial" w:hAnsi="Arial" w:cs="Arial"/>
          <w:sz w:val="22"/>
          <w:szCs w:val="22"/>
        </w:rPr>
        <w:t>Bomyntra</w:t>
      </w:r>
      <w:proofErr w:type="spellEnd"/>
      <w:r w:rsidRPr="00D10EF8">
        <w:rPr>
          <w:rFonts w:ascii="Arial" w:hAnsi="Arial" w:cs="Arial"/>
          <w:sz w:val="22"/>
          <w:szCs w:val="22"/>
        </w:rPr>
        <w:t xml:space="preserve"> (denosumab-</w:t>
      </w:r>
      <w:proofErr w:type="spellStart"/>
      <w:r w:rsidRPr="00D10EF8">
        <w:rPr>
          <w:rFonts w:ascii="Arial" w:hAnsi="Arial" w:cs="Arial"/>
          <w:sz w:val="22"/>
          <w:szCs w:val="22"/>
        </w:rPr>
        <w:t>bnht</w:t>
      </w:r>
      <w:proofErr w:type="spellEnd"/>
      <w:r w:rsidRPr="00D10EF8">
        <w:rPr>
          <w:rFonts w:ascii="Arial" w:hAnsi="Arial" w:cs="Arial"/>
          <w:sz w:val="22"/>
          <w:szCs w:val="22"/>
        </w:rPr>
        <w:t xml:space="preserve">) – </w:t>
      </w:r>
      <w:r w:rsidRPr="00D10EF8">
        <w:rPr>
          <w:rFonts w:ascii="Arial" w:hAnsi="Arial" w:cs="Arial"/>
          <w:b/>
          <w:bCs/>
          <w:sz w:val="22"/>
          <w:szCs w:val="22"/>
        </w:rPr>
        <w:t>PA</w:t>
      </w:r>
    </w:p>
    <w:p w14:paraId="388974F2" w14:textId="77777777" w:rsidR="00A52375" w:rsidRDefault="00A52375" w:rsidP="00A52375">
      <w:pPr>
        <w:pStyle w:val="Default"/>
        <w:numPr>
          <w:ilvl w:val="0"/>
          <w:numId w:val="2"/>
        </w:numPr>
        <w:spacing w:line="276" w:lineRule="auto"/>
        <w:rPr>
          <w:rFonts w:ascii="Arial" w:hAnsi="Arial" w:cs="Arial"/>
          <w:sz w:val="22"/>
          <w:szCs w:val="22"/>
        </w:rPr>
      </w:pPr>
      <w:proofErr w:type="spellStart"/>
      <w:r w:rsidRPr="00B0668B">
        <w:rPr>
          <w:rFonts w:ascii="Arial" w:hAnsi="Arial" w:cs="Arial"/>
          <w:sz w:val="22"/>
          <w:szCs w:val="22"/>
        </w:rPr>
        <w:t>Ctexli</w:t>
      </w:r>
      <w:proofErr w:type="spellEnd"/>
      <w:r w:rsidRPr="00B0668B">
        <w:rPr>
          <w:rFonts w:ascii="Arial" w:hAnsi="Arial" w:cs="Arial"/>
          <w:sz w:val="22"/>
          <w:szCs w:val="22"/>
        </w:rPr>
        <w:t xml:space="preserve"> (</w:t>
      </w:r>
      <w:proofErr w:type="spellStart"/>
      <w:r w:rsidRPr="00B0668B">
        <w:rPr>
          <w:rFonts w:ascii="Arial" w:hAnsi="Arial" w:cs="Arial"/>
          <w:sz w:val="22"/>
          <w:szCs w:val="22"/>
        </w:rPr>
        <w:t>chenodiol</w:t>
      </w:r>
      <w:proofErr w:type="spellEnd"/>
      <w:r w:rsidRPr="00B0668B">
        <w:rPr>
          <w:rFonts w:ascii="Arial" w:hAnsi="Arial" w:cs="Arial"/>
          <w:sz w:val="22"/>
          <w:szCs w:val="22"/>
        </w:rPr>
        <w:t xml:space="preserve">) – </w:t>
      </w:r>
      <w:r w:rsidRPr="00632234">
        <w:rPr>
          <w:rFonts w:ascii="Arial" w:hAnsi="Arial" w:cs="Arial"/>
          <w:b/>
          <w:bCs/>
          <w:sz w:val="22"/>
          <w:szCs w:val="22"/>
        </w:rPr>
        <w:t>PA</w:t>
      </w:r>
    </w:p>
    <w:p w14:paraId="0C5843A1" w14:textId="77777777" w:rsidR="00A52375" w:rsidRPr="0023217F" w:rsidRDefault="00A52375" w:rsidP="00A52375">
      <w:pPr>
        <w:pStyle w:val="Default"/>
        <w:numPr>
          <w:ilvl w:val="0"/>
          <w:numId w:val="2"/>
        </w:numPr>
        <w:spacing w:line="276" w:lineRule="auto"/>
        <w:rPr>
          <w:rFonts w:ascii="Arial" w:hAnsi="Arial" w:cs="Arial"/>
          <w:sz w:val="22"/>
          <w:szCs w:val="22"/>
        </w:rPr>
      </w:pPr>
      <w:proofErr w:type="spellStart"/>
      <w:r w:rsidRPr="0023217F">
        <w:rPr>
          <w:rFonts w:ascii="Arial" w:hAnsi="Arial" w:cs="Arial"/>
          <w:sz w:val="22"/>
          <w:szCs w:val="22"/>
        </w:rPr>
        <w:t>Conexxence</w:t>
      </w:r>
      <w:proofErr w:type="spellEnd"/>
      <w:r w:rsidRPr="0023217F">
        <w:rPr>
          <w:rFonts w:ascii="Arial" w:hAnsi="Arial" w:cs="Arial"/>
          <w:sz w:val="22"/>
          <w:szCs w:val="22"/>
        </w:rPr>
        <w:t xml:space="preserve"> (denosumab-</w:t>
      </w:r>
      <w:proofErr w:type="spellStart"/>
      <w:r w:rsidRPr="0023217F">
        <w:rPr>
          <w:rFonts w:ascii="Arial" w:hAnsi="Arial" w:cs="Arial"/>
          <w:sz w:val="22"/>
          <w:szCs w:val="22"/>
        </w:rPr>
        <w:t>bnht</w:t>
      </w:r>
      <w:proofErr w:type="spellEnd"/>
      <w:r w:rsidRPr="0023217F">
        <w:rPr>
          <w:rFonts w:ascii="Arial" w:hAnsi="Arial" w:cs="Arial"/>
          <w:sz w:val="22"/>
          <w:szCs w:val="22"/>
        </w:rPr>
        <w:t xml:space="preserve">) – </w:t>
      </w:r>
      <w:r w:rsidRPr="0023217F">
        <w:rPr>
          <w:rFonts w:ascii="Arial" w:hAnsi="Arial" w:cs="Arial"/>
          <w:b/>
          <w:bCs/>
          <w:sz w:val="22"/>
          <w:szCs w:val="22"/>
        </w:rPr>
        <w:t>PA</w:t>
      </w:r>
    </w:p>
    <w:p w14:paraId="3127378E" w14:textId="77777777" w:rsidR="00A52375" w:rsidRPr="0023217F" w:rsidRDefault="00A52375" w:rsidP="00A52375">
      <w:pPr>
        <w:pStyle w:val="Default"/>
        <w:numPr>
          <w:ilvl w:val="0"/>
          <w:numId w:val="2"/>
        </w:numPr>
        <w:spacing w:line="276" w:lineRule="auto"/>
        <w:rPr>
          <w:rFonts w:ascii="Arial" w:hAnsi="Arial" w:cs="Arial"/>
          <w:sz w:val="22"/>
          <w:szCs w:val="22"/>
        </w:rPr>
      </w:pPr>
      <w:proofErr w:type="spellStart"/>
      <w:r w:rsidRPr="0023217F">
        <w:rPr>
          <w:rFonts w:ascii="Arial" w:hAnsi="Arial" w:cs="Arial"/>
          <w:sz w:val="22"/>
          <w:szCs w:val="22"/>
        </w:rPr>
        <w:t>Enflonsia</w:t>
      </w:r>
      <w:proofErr w:type="spellEnd"/>
      <w:r w:rsidRPr="0023217F">
        <w:rPr>
          <w:rFonts w:ascii="Arial" w:hAnsi="Arial" w:cs="Arial"/>
          <w:sz w:val="22"/>
          <w:szCs w:val="22"/>
        </w:rPr>
        <w:t xml:space="preserve"> (</w:t>
      </w:r>
      <w:proofErr w:type="spellStart"/>
      <w:r w:rsidRPr="0023217F">
        <w:rPr>
          <w:rFonts w:ascii="Arial" w:hAnsi="Arial" w:cs="Arial"/>
          <w:sz w:val="22"/>
          <w:szCs w:val="22"/>
        </w:rPr>
        <w:t>clesrovimab</w:t>
      </w:r>
      <w:r>
        <w:rPr>
          <w:rFonts w:ascii="Arial" w:hAnsi="Arial" w:cs="Arial"/>
          <w:sz w:val="22"/>
          <w:szCs w:val="22"/>
        </w:rPr>
        <w:t>-cfor</w:t>
      </w:r>
      <w:proofErr w:type="spellEnd"/>
      <w:r w:rsidRPr="0023217F">
        <w:rPr>
          <w:rFonts w:ascii="Arial" w:hAnsi="Arial" w:cs="Arial"/>
          <w:sz w:val="22"/>
          <w:szCs w:val="22"/>
        </w:rPr>
        <w:t xml:space="preserve">) – </w:t>
      </w:r>
      <w:r w:rsidRPr="0023217F">
        <w:rPr>
          <w:rFonts w:ascii="Arial" w:hAnsi="Arial" w:cs="Arial"/>
          <w:b/>
          <w:bCs/>
          <w:sz w:val="22"/>
          <w:szCs w:val="22"/>
        </w:rPr>
        <w:t>PA ≥ 8 months of age</w:t>
      </w:r>
      <w:r w:rsidRPr="00027B75">
        <w:rPr>
          <w:rFonts w:ascii="Arial" w:hAnsi="Arial" w:cs="Arial"/>
          <w:sz w:val="22"/>
          <w:szCs w:val="22"/>
        </w:rPr>
        <w:t xml:space="preserve">; </w:t>
      </w:r>
      <w:r w:rsidRPr="004D6D49">
        <w:rPr>
          <w:rFonts w:ascii="Arial" w:hAnsi="Arial" w:cs="Arial"/>
          <w:sz w:val="22"/>
          <w:szCs w:val="22"/>
          <w:vertAlign w:val="superscript"/>
        </w:rPr>
        <w:t>1</w:t>
      </w:r>
    </w:p>
    <w:p w14:paraId="488B01AD" w14:textId="77777777" w:rsidR="00A52375" w:rsidRPr="0023217F" w:rsidRDefault="00A52375" w:rsidP="00A52375">
      <w:pPr>
        <w:pStyle w:val="Default"/>
        <w:numPr>
          <w:ilvl w:val="0"/>
          <w:numId w:val="2"/>
        </w:numPr>
        <w:spacing w:line="276" w:lineRule="auto"/>
        <w:rPr>
          <w:rFonts w:ascii="Arial" w:hAnsi="Arial" w:cs="Arial"/>
          <w:sz w:val="22"/>
          <w:szCs w:val="22"/>
        </w:rPr>
      </w:pPr>
      <w:proofErr w:type="spellStart"/>
      <w:r w:rsidRPr="0023217F">
        <w:rPr>
          <w:rFonts w:ascii="Arial" w:hAnsi="Arial" w:cs="Arial"/>
          <w:sz w:val="22"/>
          <w:szCs w:val="22"/>
        </w:rPr>
        <w:t>Epysqli</w:t>
      </w:r>
      <w:proofErr w:type="spellEnd"/>
      <w:r w:rsidRPr="0023217F">
        <w:rPr>
          <w:rFonts w:ascii="Arial" w:hAnsi="Arial" w:cs="Arial"/>
          <w:sz w:val="22"/>
          <w:szCs w:val="22"/>
        </w:rPr>
        <w:t xml:space="preserve"> (eculizumab-</w:t>
      </w:r>
      <w:proofErr w:type="spellStart"/>
      <w:r w:rsidRPr="0023217F">
        <w:rPr>
          <w:rFonts w:ascii="Arial" w:hAnsi="Arial" w:cs="Arial"/>
          <w:sz w:val="22"/>
          <w:szCs w:val="22"/>
        </w:rPr>
        <w:t>aagh</w:t>
      </w:r>
      <w:proofErr w:type="spellEnd"/>
      <w:r w:rsidRPr="0023217F">
        <w:rPr>
          <w:rFonts w:ascii="Arial" w:hAnsi="Arial" w:cs="Arial"/>
          <w:sz w:val="22"/>
          <w:szCs w:val="22"/>
        </w:rPr>
        <w:t>)</w:t>
      </w:r>
      <w:r>
        <w:rPr>
          <w:rFonts w:ascii="Arial" w:hAnsi="Arial" w:cs="Arial"/>
          <w:sz w:val="22"/>
          <w:szCs w:val="22"/>
        </w:rPr>
        <w:t xml:space="preserve"> </w:t>
      </w:r>
      <w:r w:rsidRPr="0023217F">
        <w:rPr>
          <w:rFonts w:ascii="Arial" w:hAnsi="Arial" w:cs="Arial"/>
          <w:sz w:val="22"/>
          <w:szCs w:val="22"/>
        </w:rPr>
        <w:t xml:space="preserve">– </w:t>
      </w:r>
      <w:r w:rsidRPr="0023217F">
        <w:rPr>
          <w:rFonts w:ascii="Arial" w:hAnsi="Arial" w:cs="Arial"/>
          <w:b/>
          <w:bCs/>
          <w:sz w:val="22"/>
          <w:szCs w:val="22"/>
        </w:rPr>
        <w:t xml:space="preserve">PA; </w:t>
      </w:r>
      <w:r w:rsidRPr="0023217F">
        <w:rPr>
          <w:rFonts w:ascii="Arial" w:hAnsi="Arial" w:cs="Arial"/>
          <w:sz w:val="22"/>
          <w:szCs w:val="22"/>
        </w:rPr>
        <w:t>MB</w:t>
      </w:r>
    </w:p>
    <w:p w14:paraId="17CC2171" w14:textId="77777777" w:rsidR="00A52375" w:rsidRPr="0023217F" w:rsidRDefault="00A52375" w:rsidP="00A52375">
      <w:pPr>
        <w:pStyle w:val="Default"/>
        <w:numPr>
          <w:ilvl w:val="0"/>
          <w:numId w:val="2"/>
        </w:numPr>
        <w:spacing w:line="276" w:lineRule="auto"/>
        <w:rPr>
          <w:rFonts w:ascii="Arial" w:hAnsi="Arial" w:cs="Arial"/>
          <w:sz w:val="22"/>
          <w:szCs w:val="22"/>
        </w:rPr>
      </w:pPr>
      <w:proofErr w:type="spellStart"/>
      <w:r w:rsidRPr="0023217F">
        <w:rPr>
          <w:rFonts w:ascii="Arial" w:hAnsi="Arial" w:cs="Arial"/>
          <w:sz w:val="22"/>
          <w:szCs w:val="22"/>
        </w:rPr>
        <w:t>Flu</w:t>
      </w:r>
      <w:r>
        <w:rPr>
          <w:rFonts w:ascii="Arial" w:hAnsi="Arial" w:cs="Arial"/>
          <w:sz w:val="22"/>
          <w:szCs w:val="22"/>
        </w:rPr>
        <w:t>m</w:t>
      </w:r>
      <w:r w:rsidRPr="0023217F">
        <w:rPr>
          <w:rFonts w:ascii="Arial" w:hAnsi="Arial" w:cs="Arial"/>
          <w:sz w:val="22"/>
          <w:szCs w:val="22"/>
        </w:rPr>
        <w:t>ist</w:t>
      </w:r>
      <w:proofErr w:type="spellEnd"/>
      <w:r w:rsidRPr="0023217F">
        <w:rPr>
          <w:rFonts w:ascii="Arial" w:hAnsi="Arial" w:cs="Arial"/>
          <w:sz w:val="22"/>
          <w:szCs w:val="22"/>
        </w:rPr>
        <w:t xml:space="preserve"> (influenza vaccine live intranasal spray for home administration) – </w:t>
      </w:r>
      <w:r w:rsidRPr="0023217F">
        <w:rPr>
          <w:rFonts w:ascii="Arial" w:hAnsi="Arial" w:cs="Arial"/>
          <w:b/>
          <w:bCs/>
          <w:sz w:val="22"/>
          <w:szCs w:val="22"/>
        </w:rPr>
        <w:t>PA</w:t>
      </w:r>
    </w:p>
    <w:p w14:paraId="0D2BAC7E" w14:textId="77777777" w:rsidR="00A52375" w:rsidRPr="0023217F" w:rsidRDefault="00A52375" w:rsidP="00A52375">
      <w:pPr>
        <w:pStyle w:val="Default"/>
        <w:numPr>
          <w:ilvl w:val="0"/>
          <w:numId w:val="2"/>
        </w:numPr>
        <w:spacing w:line="276" w:lineRule="auto"/>
        <w:rPr>
          <w:rFonts w:ascii="Arial" w:hAnsi="Arial" w:cs="Arial"/>
          <w:sz w:val="22"/>
          <w:szCs w:val="22"/>
        </w:rPr>
      </w:pPr>
      <w:proofErr w:type="spellStart"/>
      <w:r w:rsidRPr="0023217F">
        <w:rPr>
          <w:rFonts w:ascii="Arial" w:hAnsi="Arial" w:cs="Arial"/>
          <w:sz w:val="22"/>
          <w:szCs w:val="22"/>
        </w:rPr>
        <w:t>Imaavy</w:t>
      </w:r>
      <w:proofErr w:type="spellEnd"/>
      <w:r w:rsidRPr="0023217F">
        <w:rPr>
          <w:rFonts w:ascii="Arial" w:hAnsi="Arial" w:cs="Arial"/>
          <w:sz w:val="22"/>
          <w:szCs w:val="22"/>
        </w:rPr>
        <w:t xml:space="preserve"> (</w:t>
      </w:r>
      <w:proofErr w:type="spellStart"/>
      <w:r w:rsidRPr="0023217F">
        <w:rPr>
          <w:rFonts w:ascii="Arial" w:hAnsi="Arial" w:cs="Arial"/>
          <w:sz w:val="22"/>
          <w:szCs w:val="22"/>
        </w:rPr>
        <w:t>nipocalimab-aahu</w:t>
      </w:r>
      <w:proofErr w:type="spellEnd"/>
      <w:r w:rsidRPr="0023217F">
        <w:rPr>
          <w:rFonts w:ascii="Arial" w:hAnsi="Arial" w:cs="Arial"/>
          <w:sz w:val="22"/>
          <w:szCs w:val="22"/>
        </w:rPr>
        <w:t xml:space="preserve">) – </w:t>
      </w:r>
      <w:r w:rsidRPr="0023217F">
        <w:rPr>
          <w:rFonts w:ascii="Arial" w:hAnsi="Arial" w:cs="Arial"/>
          <w:b/>
          <w:bCs/>
          <w:sz w:val="22"/>
          <w:szCs w:val="22"/>
        </w:rPr>
        <w:t xml:space="preserve">PA; </w:t>
      </w:r>
      <w:r w:rsidRPr="0023217F">
        <w:rPr>
          <w:rFonts w:ascii="Arial" w:hAnsi="Arial" w:cs="Arial"/>
          <w:sz w:val="22"/>
          <w:szCs w:val="22"/>
        </w:rPr>
        <w:t>MB</w:t>
      </w:r>
    </w:p>
    <w:p w14:paraId="5F851957" w14:textId="77777777" w:rsidR="00A52375" w:rsidRPr="0023217F" w:rsidRDefault="00A52375" w:rsidP="00A52375">
      <w:pPr>
        <w:pStyle w:val="Default"/>
        <w:numPr>
          <w:ilvl w:val="0"/>
          <w:numId w:val="2"/>
        </w:numPr>
        <w:spacing w:line="276" w:lineRule="auto"/>
        <w:rPr>
          <w:rFonts w:ascii="Arial" w:hAnsi="Arial" w:cs="Arial"/>
          <w:sz w:val="22"/>
          <w:szCs w:val="22"/>
        </w:rPr>
      </w:pPr>
      <w:proofErr w:type="spellStart"/>
      <w:r w:rsidRPr="0023217F">
        <w:rPr>
          <w:rFonts w:ascii="Arial" w:hAnsi="Arial" w:cs="Arial"/>
          <w:sz w:val="22"/>
          <w:szCs w:val="22"/>
        </w:rPr>
        <w:t>Jubbonti</w:t>
      </w:r>
      <w:proofErr w:type="spellEnd"/>
      <w:r w:rsidRPr="0023217F">
        <w:rPr>
          <w:rFonts w:ascii="Arial" w:hAnsi="Arial" w:cs="Arial"/>
          <w:sz w:val="22"/>
          <w:szCs w:val="22"/>
        </w:rPr>
        <w:t xml:space="preserve"> (denosumab-</w:t>
      </w:r>
      <w:proofErr w:type="spellStart"/>
      <w:r w:rsidRPr="0023217F">
        <w:rPr>
          <w:rFonts w:ascii="Arial" w:hAnsi="Arial" w:cs="Arial"/>
          <w:sz w:val="22"/>
          <w:szCs w:val="22"/>
        </w:rPr>
        <w:t>bbdz</w:t>
      </w:r>
      <w:proofErr w:type="spellEnd"/>
      <w:r w:rsidRPr="0023217F">
        <w:rPr>
          <w:rFonts w:ascii="Arial" w:hAnsi="Arial" w:cs="Arial"/>
          <w:sz w:val="22"/>
          <w:szCs w:val="22"/>
        </w:rPr>
        <w:t xml:space="preserve">) – </w:t>
      </w:r>
      <w:r w:rsidRPr="0023217F">
        <w:rPr>
          <w:rFonts w:ascii="Arial" w:hAnsi="Arial" w:cs="Arial"/>
          <w:b/>
          <w:bCs/>
          <w:sz w:val="22"/>
          <w:szCs w:val="22"/>
        </w:rPr>
        <w:t>PA</w:t>
      </w:r>
    </w:p>
    <w:p w14:paraId="102A07F5" w14:textId="77777777" w:rsidR="00A52375" w:rsidRPr="0023217F" w:rsidRDefault="00A52375" w:rsidP="00A52375">
      <w:pPr>
        <w:pStyle w:val="Default"/>
        <w:numPr>
          <w:ilvl w:val="0"/>
          <w:numId w:val="2"/>
        </w:numPr>
        <w:spacing w:line="276" w:lineRule="auto"/>
        <w:rPr>
          <w:rFonts w:ascii="Arial" w:hAnsi="Arial" w:cs="Arial"/>
          <w:sz w:val="22"/>
          <w:szCs w:val="22"/>
        </w:rPr>
      </w:pPr>
      <w:proofErr w:type="spellStart"/>
      <w:r w:rsidRPr="0023217F">
        <w:rPr>
          <w:rFonts w:ascii="Arial" w:hAnsi="Arial" w:cs="Arial"/>
          <w:sz w:val="22"/>
          <w:szCs w:val="22"/>
        </w:rPr>
        <w:t>Onapgo</w:t>
      </w:r>
      <w:proofErr w:type="spellEnd"/>
      <w:r w:rsidRPr="0023217F">
        <w:rPr>
          <w:rFonts w:ascii="Arial" w:hAnsi="Arial" w:cs="Arial"/>
          <w:sz w:val="22"/>
          <w:szCs w:val="22"/>
        </w:rPr>
        <w:t xml:space="preserve"> (apomorphine injection) –</w:t>
      </w:r>
      <w:r w:rsidRPr="0023217F">
        <w:rPr>
          <w:rFonts w:ascii="Arial" w:hAnsi="Arial" w:cs="Arial"/>
          <w:b/>
          <w:bCs/>
          <w:sz w:val="22"/>
          <w:szCs w:val="22"/>
        </w:rPr>
        <w:t xml:space="preserve"> PA</w:t>
      </w:r>
    </w:p>
    <w:p w14:paraId="37800451" w14:textId="77777777" w:rsidR="00A52375" w:rsidRPr="0023217F" w:rsidRDefault="00A52375" w:rsidP="00A52375">
      <w:pPr>
        <w:pStyle w:val="Default"/>
        <w:numPr>
          <w:ilvl w:val="0"/>
          <w:numId w:val="2"/>
        </w:numPr>
        <w:spacing w:line="276" w:lineRule="auto"/>
        <w:rPr>
          <w:rFonts w:ascii="Arial" w:hAnsi="Arial" w:cs="Arial"/>
          <w:sz w:val="22"/>
          <w:szCs w:val="22"/>
        </w:rPr>
      </w:pPr>
      <w:proofErr w:type="spellStart"/>
      <w:r w:rsidRPr="0023217F">
        <w:rPr>
          <w:rFonts w:ascii="Arial" w:hAnsi="Arial" w:cs="Arial"/>
          <w:sz w:val="22"/>
          <w:szCs w:val="22"/>
        </w:rPr>
        <w:t>Osenvelt</w:t>
      </w:r>
      <w:proofErr w:type="spellEnd"/>
      <w:r w:rsidRPr="0023217F">
        <w:rPr>
          <w:rFonts w:ascii="Arial" w:hAnsi="Arial" w:cs="Arial"/>
          <w:sz w:val="22"/>
          <w:szCs w:val="22"/>
        </w:rPr>
        <w:t xml:space="preserve"> (denosumab-</w:t>
      </w:r>
      <w:proofErr w:type="spellStart"/>
      <w:r w:rsidRPr="0023217F">
        <w:rPr>
          <w:rFonts w:ascii="Arial" w:hAnsi="Arial" w:cs="Arial"/>
          <w:sz w:val="22"/>
          <w:szCs w:val="22"/>
        </w:rPr>
        <w:t>bmwo</w:t>
      </w:r>
      <w:proofErr w:type="spellEnd"/>
      <w:r w:rsidRPr="0023217F">
        <w:rPr>
          <w:rFonts w:ascii="Arial" w:hAnsi="Arial" w:cs="Arial"/>
          <w:sz w:val="22"/>
          <w:szCs w:val="22"/>
        </w:rPr>
        <w:t xml:space="preserve">) – </w:t>
      </w:r>
      <w:r w:rsidRPr="0023217F">
        <w:rPr>
          <w:rFonts w:ascii="Arial" w:hAnsi="Arial" w:cs="Arial"/>
          <w:b/>
          <w:bCs/>
          <w:sz w:val="22"/>
          <w:szCs w:val="22"/>
        </w:rPr>
        <w:t>PA</w:t>
      </w:r>
    </w:p>
    <w:p w14:paraId="453267C0" w14:textId="77777777" w:rsidR="00A52375" w:rsidRPr="0023217F" w:rsidRDefault="00A52375" w:rsidP="00A52375">
      <w:pPr>
        <w:pStyle w:val="Default"/>
        <w:numPr>
          <w:ilvl w:val="0"/>
          <w:numId w:val="2"/>
        </w:numPr>
        <w:spacing w:line="276" w:lineRule="auto"/>
        <w:rPr>
          <w:rFonts w:ascii="Arial" w:hAnsi="Arial" w:cs="Arial"/>
          <w:sz w:val="22"/>
          <w:szCs w:val="22"/>
        </w:rPr>
      </w:pPr>
      <w:proofErr w:type="spellStart"/>
      <w:r w:rsidRPr="0023217F">
        <w:rPr>
          <w:rFonts w:ascii="Arial" w:hAnsi="Arial" w:cs="Arial"/>
          <w:sz w:val="22"/>
          <w:szCs w:val="22"/>
        </w:rPr>
        <w:t>Qfitlia</w:t>
      </w:r>
      <w:proofErr w:type="spellEnd"/>
      <w:r>
        <w:rPr>
          <w:rFonts w:ascii="Arial" w:hAnsi="Arial" w:cs="Arial"/>
          <w:sz w:val="22"/>
          <w:szCs w:val="22"/>
        </w:rPr>
        <w:t xml:space="preserve"> (</w:t>
      </w:r>
      <w:proofErr w:type="spellStart"/>
      <w:r w:rsidRPr="001825DF">
        <w:rPr>
          <w:rFonts w:ascii="Arial" w:hAnsi="Arial" w:cs="Arial"/>
          <w:sz w:val="22"/>
          <w:szCs w:val="22"/>
        </w:rPr>
        <w:t>fitusiran</w:t>
      </w:r>
      <w:proofErr w:type="spellEnd"/>
      <w:r>
        <w:rPr>
          <w:rFonts w:ascii="Arial" w:hAnsi="Arial" w:cs="Arial"/>
          <w:sz w:val="22"/>
          <w:szCs w:val="22"/>
        </w:rPr>
        <w:t xml:space="preserve">) </w:t>
      </w:r>
      <w:r w:rsidRPr="0023217F">
        <w:rPr>
          <w:rFonts w:ascii="Arial" w:hAnsi="Arial" w:cs="Arial"/>
          <w:sz w:val="22"/>
          <w:szCs w:val="22"/>
        </w:rPr>
        <w:t xml:space="preserve">– </w:t>
      </w:r>
      <w:r w:rsidRPr="0023217F">
        <w:rPr>
          <w:rFonts w:ascii="Arial" w:hAnsi="Arial" w:cs="Arial"/>
          <w:b/>
          <w:bCs/>
          <w:sz w:val="22"/>
          <w:szCs w:val="22"/>
        </w:rPr>
        <w:t>PA</w:t>
      </w:r>
    </w:p>
    <w:p w14:paraId="39C2FFCD" w14:textId="77777777" w:rsidR="00A52375" w:rsidRDefault="00A52375" w:rsidP="00A52375">
      <w:pPr>
        <w:pStyle w:val="Default"/>
        <w:numPr>
          <w:ilvl w:val="0"/>
          <w:numId w:val="2"/>
        </w:numPr>
        <w:spacing w:line="276" w:lineRule="auto"/>
        <w:rPr>
          <w:rFonts w:ascii="Arial" w:hAnsi="Arial" w:cs="Arial"/>
          <w:b/>
          <w:bCs/>
          <w:sz w:val="22"/>
          <w:szCs w:val="22"/>
        </w:rPr>
      </w:pPr>
      <w:proofErr w:type="spellStart"/>
      <w:r w:rsidRPr="0023217F">
        <w:rPr>
          <w:rFonts w:ascii="Arial" w:hAnsi="Arial" w:cs="Arial"/>
          <w:sz w:val="22"/>
          <w:szCs w:val="22"/>
        </w:rPr>
        <w:t>Stoboclo</w:t>
      </w:r>
      <w:proofErr w:type="spellEnd"/>
      <w:r w:rsidRPr="0023217F">
        <w:rPr>
          <w:rFonts w:ascii="Arial" w:hAnsi="Arial" w:cs="Arial"/>
          <w:sz w:val="22"/>
          <w:szCs w:val="22"/>
        </w:rPr>
        <w:t xml:space="preserve"> (denosumab-</w:t>
      </w:r>
      <w:proofErr w:type="spellStart"/>
      <w:r w:rsidRPr="0023217F">
        <w:rPr>
          <w:rFonts w:ascii="Arial" w:hAnsi="Arial" w:cs="Arial"/>
          <w:sz w:val="22"/>
          <w:szCs w:val="22"/>
        </w:rPr>
        <w:t>bmwo</w:t>
      </w:r>
      <w:proofErr w:type="spellEnd"/>
      <w:r w:rsidRPr="0023217F">
        <w:rPr>
          <w:rFonts w:ascii="Arial" w:hAnsi="Arial" w:cs="Arial"/>
          <w:sz w:val="22"/>
          <w:szCs w:val="22"/>
        </w:rPr>
        <w:t>) –</w:t>
      </w:r>
      <w:r w:rsidRPr="0023217F">
        <w:rPr>
          <w:rFonts w:ascii="Arial" w:hAnsi="Arial" w:cs="Arial"/>
          <w:b/>
          <w:bCs/>
          <w:sz w:val="22"/>
          <w:szCs w:val="22"/>
        </w:rPr>
        <w:t xml:space="preserve"> PA</w:t>
      </w:r>
    </w:p>
    <w:p w14:paraId="08DC2727" w14:textId="77777777" w:rsidR="00A52375" w:rsidRPr="00184EE2" w:rsidRDefault="00A52375" w:rsidP="00A52375">
      <w:pPr>
        <w:pStyle w:val="Default"/>
        <w:numPr>
          <w:ilvl w:val="0"/>
          <w:numId w:val="2"/>
        </w:numPr>
        <w:spacing w:line="276" w:lineRule="auto"/>
        <w:rPr>
          <w:rFonts w:ascii="Arial" w:hAnsi="Arial" w:cs="Arial"/>
          <w:sz w:val="22"/>
          <w:szCs w:val="22"/>
        </w:rPr>
      </w:pPr>
      <w:proofErr w:type="spellStart"/>
      <w:r w:rsidRPr="00613BDD">
        <w:rPr>
          <w:rFonts w:ascii="Arial" w:hAnsi="Arial" w:cs="Arial"/>
          <w:sz w:val="22"/>
          <w:szCs w:val="22"/>
        </w:rPr>
        <w:t>Symbravo</w:t>
      </w:r>
      <w:proofErr w:type="spellEnd"/>
      <w:r w:rsidRPr="00613BDD">
        <w:rPr>
          <w:rFonts w:ascii="Arial" w:hAnsi="Arial" w:cs="Arial"/>
          <w:sz w:val="22"/>
          <w:szCs w:val="22"/>
        </w:rPr>
        <w:t xml:space="preserve"> (meloxicam/rizatriptan) – </w:t>
      </w:r>
      <w:r w:rsidRPr="00613BDD">
        <w:rPr>
          <w:rFonts w:ascii="Arial" w:hAnsi="Arial" w:cs="Arial"/>
          <w:b/>
          <w:bCs/>
          <w:sz w:val="22"/>
          <w:szCs w:val="22"/>
        </w:rPr>
        <w:t>PA</w:t>
      </w:r>
    </w:p>
    <w:p w14:paraId="00D6C82E" w14:textId="77777777" w:rsidR="00A52375" w:rsidRPr="0023217F" w:rsidRDefault="00A52375" w:rsidP="00A52375">
      <w:pPr>
        <w:pStyle w:val="Default"/>
        <w:numPr>
          <w:ilvl w:val="1"/>
          <w:numId w:val="39"/>
        </w:numPr>
        <w:spacing w:line="276" w:lineRule="auto"/>
        <w:ind w:left="720"/>
        <w:rPr>
          <w:rFonts w:ascii="Arial" w:hAnsi="Arial" w:cs="Arial"/>
          <w:sz w:val="22"/>
          <w:szCs w:val="22"/>
        </w:rPr>
      </w:pPr>
      <w:proofErr w:type="spellStart"/>
      <w:r w:rsidRPr="0023217F">
        <w:rPr>
          <w:rFonts w:ascii="Arial" w:hAnsi="Arial" w:cs="Arial"/>
          <w:sz w:val="22"/>
          <w:szCs w:val="22"/>
        </w:rPr>
        <w:t>Vyvgart</w:t>
      </w:r>
      <w:proofErr w:type="spellEnd"/>
      <w:r w:rsidRPr="0023217F">
        <w:rPr>
          <w:rFonts w:ascii="Arial" w:hAnsi="Arial" w:cs="Arial"/>
          <w:sz w:val="22"/>
          <w:szCs w:val="22"/>
        </w:rPr>
        <w:t xml:space="preserve"> </w:t>
      </w:r>
      <w:proofErr w:type="spellStart"/>
      <w:r w:rsidRPr="0023217F">
        <w:rPr>
          <w:rFonts w:ascii="Arial" w:hAnsi="Arial" w:cs="Arial"/>
          <w:sz w:val="22"/>
          <w:szCs w:val="22"/>
        </w:rPr>
        <w:t>Hytrulo</w:t>
      </w:r>
      <w:proofErr w:type="spellEnd"/>
      <w:r w:rsidRPr="0023217F">
        <w:rPr>
          <w:rFonts w:ascii="Arial" w:hAnsi="Arial" w:cs="Arial"/>
          <w:sz w:val="22"/>
          <w:szCs w:val="22"/>
        </w:rPr>
        <w:t xml:space="preserve"> (efgartigimod alfa</w:t>
      </w:r>
      <w:r>
        <w:rPr>
          <w:rFonts w:ascii="Arial" w:hAnsi="Arial" w:cs="Arial"/>
          <w:sz w:val="22"/>
          <w:szCs w:val="22"/>
        </w:rPr>
        <w:t>/</w:t>
      </w:r>
      <w:r w:rsidRPr="0023217F">
        <w:rPr>
          <w:rFonts w:ascii="Arial" w:hAnsi="Arial" w:cs="Arial"/>
          <w:sz w:val="22"/>
          <w:szCs w:val="22"/>
        </w:rPr>
        <w:t>hyaluronidase-</w:t>
      </w:r>
      <w:proofErr w:type="spellStart"/>
      <w:r w:rsidRPr="0023217F">
        <w:rPr>
          <w:rFonts w:ascii="Arial" w:hAnsi="Arial" w:cs="Arial"/>
          <w:sz w:val="22"/>
          <w:szCs w:val="22"/>
        </w:rPr>
        <w:t>qvfc</w:t>
      </w:r>
      <w:proofErr w:type="spellEnd"/>
      <w:r w:rsidRPr="0023217F">
        <w:rPr>
          <w:rFonts w:ascii="Arial" w:hAnsi="Arial" w:cs="Arial"/>
          <w:sz w:val="22"/>
          <w:szCs w:val="22"/>
        </w:rPr>
        <w:t xml:space="preserve"> prefilled syringe) – </w:t>
      </w:r>
      <w:r w:rsidRPr="0023217F">
        <w:rPr>
          <w:rFonts w:ascii="Arial" w:hAnsi="Arial" w:cs="Arial"/>
          <w:b/>
          <w:bCs/>
          <w:sz w:val="22"/>
          <w:szCs w:val="22"/>
        </w:rPr>
        <w:t>PA</w:t>
      </w:r>
    </w:p>
    <w:p w14:paraId="4ACA4B5A" w14:textId="77777777" w:rsidR="00A52375" w:rsidRPr="0023217F" w:rsidRDefault="00A52375" w:rsidP="00A52375">
      <w:pPr>
        <w:pStyle w:val="Default"/>
        <w:numPr>
          <w:ilvl w:val="0"/>
          <w:numId w:val="2"/>
        </w:numPr>
        <w:spacing w:line="276" w:lineRule="auto"/>
        <w:rPr>
          <w:rFonts w:ascii="Arial" w:hAnsi="Arial" w:cs="Arial"/>
          <w:b/>
          <w:bCs/>
          <w:sz w:val="22"/>
          <w:szCs w:val="22"/>
        </w:rPr>
      </w:pPr>
      <w:proofErr w:type="spellStart"/>
      <w:r w:rsidRPr="0023217F">
        <w:rPr>
          <w:rFonts w:ascii="Arial" w:hAnsi="Arial" w:cs="Arial"/>
          <w:sz w:val="22"/>
          <w:szCs w:val="22"/>
        </w:rPr>
        <w:t>Wyost</w:t>
      </w:r>
      <w:proofErr w:type="spellEnd"/>
      <w:r w:rsidRPr="0023217F">
        <w:rPr>
          <w:rFonts w:ascii="Arial" w:hAnsi="Arial" w:cs="Arial"/>
          <w:sz w:val="22"/>
          <w:szCs w:val="22"/>
        </w:rPr>
        <w:t xml:space="preserve"> (denosumab-</w:t>
      </w:r>
      <w:proofErr w:type="spellStart"/>
      <w:r w:rsidRPr="0023217F">
        <w:rPr>
          <w:rFonts w:ascii="Arial" w:hAnsi="Arial" w:cs="Arial"/>
          <w:sz w:val="22"/>
          <w:szCs w:val="22"/>
        </w:rPr>
        <w:t>bbdz</w:t>
      </w:r>
      <w:proofErr w:type="spellEnd"/>
      <w:r w:rsidRPr="0023217F">
        <w:rPr>
          <w:rFonts w:ascii="Arial" w:hAnsi="Arial" w:cs="Arial"/>
          <w:sz w:val="22"/>
          <w:szCs w:val="22"/>
        </w:rPr>
        <w:t xml:space="preserve">) – </w:t>
      </w:r>
      <w:r w:rsidRPr="0023217F">
        <w:rPr>
          <w:rFonts w:ascii="Arial" w:hAnsi="Arial" w:cs="Arial"/>
          <w:b/>
          <w:bCs/>
          <w:sz w:val="22"/>
          <w:szCs w:val="22"/>
        </w:rPr>
        <w:t>PA</w:t>
      </w:r>
    </w:p>
    <w:p w14:paraId="4DB98FD7" w14:textId="77777777" w:rsidR="00A52375" w:rsidRPr="0023217F" w:rsidRDefault="00A52375" w:rsidP="00A52375">
      <w:pPr>
        <w:pStyle w:val="Default"/>
        <w:numPr>
          <w:ilvl w:val="0"/>
          <w:numId w:val="2"/>
        </w:numPr>
        <w:spacing w:line="276" w:lineRule="auto"/>
        <w:rPr>
          <w:rFonts w:ascii="Arial" w:hAnsi="Arial" w:cs="Arial"/>
          <w:sz w:val="22"/>
          <w:szCs w:val="22"/>
        </w:rPr>
      </w:pPr>
      <w:proofErr w:type="spellStart"/>
      <w:r w:rsidRPr="0023217F">
        <w:rPr>
          <w:rFonts w:ascii="Arial" w:hAnsi="Arial" w:cs="Arial"/>
          <w:sz w:val="22"/>
          <w:szCs w:val="22"/>
        </w:rPr>
        <w:t>Yeztugo</w:t>
      </w:r>
      <w:proofErr w:type="spellEnd"/>
      <w:r w:rsidRPr="0023217F">
        <w:rPr>
          <w:rFonts w:ascii="Arial" w:hAnsi="Arial" w:cs="Arial"/>
          <w:sz w:val="22"/>
          <w:szCs w:val="22"/>
        </w:rPr>
        <w:t xml:space="preserve"> (</w:t>
      </w:r>
      <w:proofErr w:type="spellStart"/>
      <w:r w:rsidRPr="0023217F">
        <w:rPr>
          <w:rFonts w:ascii="Arial" w:hAnsi="Arial" w:cs="Arial"/>
          <w:sz w:val="22"/>
          <w:szCs w:val="22"/>
        </w:rPr>
        <w:t>lenacapavir</w:t>
      </w:r>
      <w:proofErr w:type="spellEnd"/>
      <w:r w:rsidRPr="0023217F">
        <w:rPr>
          <w:rFonts w:ascii="Arial" w:hAnsi="Arial" w:cs="Arial"/>
          <w:sz w:val="22"/>
          <w:szCs w:val="22"/>
        </w:rPr>
        <w:t>)</w:t>
      </w:r>
      <w:r w:rsidRPr="00312ABF">
        <w:rPr>
          <w:rFonts w:ascii="Arial" w:hAnsi="Arial" w:cs="Arial"/>
          <w:sz w:val="22"/>
          <w:szCs w:val="22"/>
        </w:rPr>
        <w:t xml:space="preserve"> </w:t>
      </w:r>
      <w:r w:rsidRPr="00482CCC">
        <w:rPr>
          <w:rFonts w:ascii="Arial" w:hAnsi="Arial" w:cs="Arial"/>
          <w:sz w:val="22"/>
          <w:szCs w:val="22"/>
        </w:rPr>
        <w:t xml:space="preserve">– </w:t>
      </w:r>
      <w:r w:rsidRPr="00482CCC">
        <w:rPr>
          <w:rFonts w:ascii="Arial" w:hAnsi="Arial" w:cs="Arial"/>
          <w:b/>
          <w:bCs/>
          <w:sz w:val="22"/>
          <w:szCs w:val="22"/>
        </w:rPr>
        <w:t>PA</w:t>
      </w:r>
    </w:p>
    <w:p w14:paraId="62D00FBB" w14:textId="77777777" w:rsidR="00A52375" w:rsidRPr="0023217F" w:rsidRDefault="00A52375" w:rsidP="00A52375">
      <w:pPr>
        <w:pStyle w:val="Default"/>
        <w:numPr>
          <w:ilvl w:val="0"/>
          <w:numId w:val="2"/>
        </w:numPr>
        <w:spacing w:line="276" w:lineRule="auto"/>
        <w:rPr>
          <w:rFonts w:ascii="Arial" w:hAnsi="Arial" w:cs="Arial"/>
          <w:sz w:val="22"/>
          <w:szCs w:val="22"/>
        </w:rPr>
      </w:pPr>
      <w:proofErr w:type="spellStart"/>
      <w:r w:rsidRPr="0023217F">
        <w:rPr>
          <w:rFonts w:ascii="Arial" w:hAnsi="Arial" w:cs="Arial"/>
          <w:sz w:val="22"/>
          <w:szCs w:val="22"/>
        </w:rPr>
        <w:t>Zevaskyn</w:t>
      </w:r>
      <w:proofErr w:type="spellEnd"/>
      <w:r w:rsidRPr="0023217F">
        <w:rPr>
          <w:rFonts w:ascii="Arial" w:hAnsi="Arial" w:cs="Arial"/>
          <w:sz w:val="22"/>
          <w:szCs w:val="22"/>
        </w:rPr>
        <w:t xml:space="preserve"> (</w:t>
      </w:r>
      <w:proofErr w:type="spellStart"/>
      <w:r w:rsidRPr="0023217F">
        <w:rPr>
          <w:rFonts w:ascii="Arial" w:hAnsi="Arial" w:cs="Arial"/>
          <w:sz w:val="22"/>
          <w:szCs w:val="22"/>
        </w:rPr>
        <w:t>prademagene</w:t>
      </w:r>
      <w:proofErr w:type="spellEnd"/>
      <w:r w:rsidRPr="0023217F">
        <w:rPr>
          <w:rFonts w:ascii="Arial" w:hAnsi="Arial" w:cs="Arial"/>
          <w:sz w:val="22"/>
          <w:szCs w:val="22"/>
        </w:rPr>
        <w:t xml:space="preserve"> </w:t>
      </w:r>
      <w:proofErr w:type="spellStart"/>
      <w:r w:rsidRPr="0023217F">
        <w:rPr>
          <w:rFonts w:ascii="Arial" w:hAnsi="Arial" w:cs="Arial"/>
          <w:sz w:val="22"/>
          <w:szCs w:val="22"/>
        </w:rPr>
        <w:t>zamikeracel</w:t>
      </w:r>
      <w:proofErr w:type="spellEnd"/>
      <w:r w:rsidRPr="0023217F">
        <w:rPr>
          <w:rFonts w:ascii="Arial" w:hAnsi="Arial" w:cs="Arial"/>
          <w:sz w:val="22"/>
          <w:szCs w:val="22"/>
        </w:rPr>
        <w:t xml:space="preserve">) – </w:t>
      </w:r>
      <w:r w:rsidRPr="0023217F">
        <w:rPr>
          <w:rFonts w:ascii="Arial" w:hAnsi="Arial" w:cs="Arial"/>
          <w:b/>
          <w:bCs/>
          <w:sz w:val="22"/>
          <w:szCs w:val="22"/>
        </w:rPr>
        <w:t>PA</w:t>
      </w:r>
      <w:r w:rsidRPr="0023217F">
        <w:rPr>
          <w:rFonts w:ascii="Arial" w:hAnsi="Arial" w:cs="Arial"/>
          <w:sz w:val="22"/>
          <w:szCs w:val="22"/>
        </w:rPr>
        <w:t>; CO</w:t>
      </w:r>
    </w:p>
    <w:p w14:paraId="62F876F6" w14:textId="77777777" w:rsidR="00A52375" w:rsidRPr="0023217F" w:rsidRDefault="00A52375" w:rsidP="00A52375">
      <w:pPr>
        <w:pStyle w:val="Default"/>
        <w:numPr>
          <w:ilvl w:val="0"/>
          <w:numId w:val="2"/>
        </w:numPr>
        <w:spacing w:line="276" w:lineRule="auto"/>
        <w:rPr>
          <w:rFonts w:ascii="Arial" w:hAnsi="Arial" w:cs="Arial"/>
          <w:sz w:val="22"/>
          <w:szCs w:val="22"/>
        </w:rPr>
      </w:pPr>
      <w:proofErr w:type="spellStart"/>
      <w:r w:rsidRPr="0023217F">
        <w:rPr>
          <w:rFonts w:ascii="Arial" w:hAnsi="Arial" w:cs="Arial"/>
          <w:sz w:val="22"/>
          <w:szCs w:val="22"/>
        </w:rPr>
        <w:t>Zunveyl</w:t>
      </w:r>
      <w:proofErr w:type="spellEnd"/>
      <w:r w:rsidRPr="0023217F">
        <w:rPr>
          <w:rFonts w:ascii="Arial" w:hAnsi="Arial" w:cs="Arial"/>
          <w:sz w:val="22"/>
          <w:szCs w:val="22"/>
        </w:rPr>
        <w:t xml:space="preserve"> (</w:t>
      </w:r>
      <w:proofErr w:type="spellStart"/>
      <w:r w:rsidRPr="0023217F">
        <w:rPr>
          <w:rFonts w:ascii="Arial" w:hAnsi="Arial" w:cs="Arial"/>
          <w:sz w:val="22"/>
          <w:szCs w:val="22"/>
        </w:rPr>
        <w:t>benzgalantamine</w:t>
      </w:r>
      <w:proofErr w:type="spellEnd"/>
      <w:r w:rsidRPr="0023217F">
        <w:rPr>
          <w:rFonts w:ascii="Arial" w:hAnsi="Arial" w:cs="Arial"/>
          <w:sz w:val="22"/>
          <w:szCs w:val="22"/>
        </w:rPr>
        <w:t xml:space="preserve">) – </w:t>
      </w:r>
      <w:r w:rsidRPr="0023217F">
        <w:rPr>
          <w:rFonts w:ascii="Arial" w:hAnsi="Arial" w:cs="Arial"/>
          <w:b/>
          <w:bCs/>
          <w:sz w:val="22"/>
          <w:szCs w:val="22"/>
        </w:rPr>
        <w:t>PA</w:t>
      </w:r>
      <w:r w:rsidRPr="0023217F">
        <w:rPr>
          <w:rFonts w:ascii="Arial" w:hAnsi="Arial" w:cs="Arial"/>
          <w:sz w:val="22"/>
          <w:szCs w:val="22"/>
        </w:rPr>
        <w:t xml:space="preserve"> </w:t>
      </w:r>
    </w:p>
    <w:bookmarkEnd w:id="0"/>
    <w:p w14:paraId="78DC0857" w14:textId="77777777" w:rsidR="00E24E22" w:rsidRPr="00E24E22" w:rsidRDefault="00E24E22" w:rsidP="00E24E22">
      <w:pPr>
        <w:pStyle w:val="Heading2"/>
      </w:pPr>
      <w:r>
        <w:t>Change in Prior Authorization Status</w:t>
      </w:r>
    </w:p>
    <w:p w14:paraId="4385F536" w14:textId="77777777" w:rsidR="00A52375" w:rsidRPr="005244D5" w:rsidRDefault="00A52375" w:rsidP="00A52375">
      <w:pPr>
        <w:pStyle w:val="ListParagraph"/>
        <w:numPr>
          <w:ilvl w:val="0"/>
          <w:numId w:val="4"/>
        </w:numPr>
        <w:ind w:left="720"/>
        <w:contextualSpacing/>
        <w:rPr>
          <w:rFonts w:cs="Arial"/>
        </w:rPr>
      </w:pPr>
      <w:bookmarkStart w:id="1" w:name="_Hlk98931753"/>
      <w:bookmarkStart w:id="2" w:name="_Hlk30086979"/>
      <w:r w:rsidRPr="005244D5">
        <w:rPr>
          <w:rFonts w:cs="Arial"/>
        </w:rPr>
        <w:t xml:space="preserve">Effective </w:t>
      </w:r>
      <w:r w:rsidRPr="00D7131C">
        <w:rPr>
          <w:rFonts w:cs="Arial"/>
        </w:rPr>
        <w:t>November 17, 2025</w:t>
      </w:r>
      <w:r w:rsidRPr="005244D5">
        <w:rPr>
          <w:rFonts w:cs="Arial"/>
        </w:rPr>
        <w:t xml:space="preserve">, the following </w:t>
      </w:r>
      <w:r>
        <w:rPr>
          <w:rFonts w:cs="Arial"/>
        </w:rPr>
        <w:t>immunomodulator</w:t>
      </w:r>
      <w:r w:rsidRPr="005244D5">
        <w:rPr>
          <w:rFonts w:cs="Arial"/>
        </w:rPr>
        <w:t xml:space="preserve"> agent will require PA. </w:t>
      </w:r>
    </w:p>
    <w:p w14:paraId="051CDFA7" w14:textId="77777777" w:rsidR="00A52375" w:rsidRPr="005244D5" w:rsidRDefault="00A52375" w:rsidP="00A52375">
      <w:pPr>
        <w:pStyle w:val="ListParagraph"/>
        <w:numPr>
          <w:ilvl w:val="1"/>
          <w:numId w:val="4"/>
        </w:numPr>
        <w:spacing w:after="160" w:line="259" w:lineRule="auto"/>
        <w:ind w:left="1080"/>
        <w:contextualSpacing/>
        <w:rPr>
          <w:rFonts w:cs="Arial"/>
        </w:rPr>
      </w:pPr>
      <w:r w:rsidRPr="008132C5">
        <w:rPr>
          <w:rFonts w:cs="Arial"/>
        </w:rPr>
        <w:t>methotrexate 5 mg, 7.5</w:t>
      </w:r>
      <w:r>
        <w:rPr>
          <w:rFonts w:cs="Arial"/>
        </w:rPr>
        <w:t xml:space="preserve"> mg</w:t>
      </w:r>
      <w:r w:rsidRPr="008132C5">
        <w:rPr>
          <w:rFonts w:cs="Arial"/>
        </w:rPr>
        <w:t xml:space="preserve">, 10 mg, 15 mg tablet </w:t>
      </w:r>
      <w:r w:rsidRPr="005244D5">
        <w:rPr>
          <w:rFonts w:cs="Arial"/>
        </w:rPr>
        <w:t xml:space="preserve">– </w:t>
      </w:r>
      <w:r w:rsidRPr="005244D5">
        <w:rPr>
          <w:rFonts w:cs="Arial"/>
          <w:b/>
          <w:bCs/>
        </w:rPr>
        <w:t>PA</w:t>
      </w:r>
      <w:r w:rsidRPr="005244D5">
        <w:rPr>
          <w:rFonts w:cs="Arial"/>
        </w:rPr>
        <w:t>; A90</w:t>
      </w:r>
    </w:p>
    <w:p w14:paraId="3FBCC4A3" w14:textId="77777777" w:rsidR="00A52375" w:rsidRPr="00D63BA5" w:rsidRDefault="00A52375" w:rsidP="00A52375">
      <w:pPr>
        <w:pStyle w:val="ListParagraph"/>
        <w:numPr>
          <w:ilvl w:val="0"/>
          <w:numId w:val="4"/>
        </w:numPr>
        <w:ind w:left="720"/>
        <w:contextualSpacing/>
        <w:rPr>
          <w:rFonts w:cs="Arial"/>
        </w:rPr>
      </w:pPr>
      <w:r w:rsidRPr="00D63BA5">
        <w:rPr>
          <w:rFonts w:cs="Arial"/>
        </w:rPr>
        <w:t xml:space="preserve">Effective </w:t>
      </w:r>
      <w:r w:rsidRPr="00D7131C">
        <w:rPr>
          <w:rFonts w:cs="Arial"/>
        </w:rPr>
        <w:t>November 17, 2025</w:t>
      </w:r>
      <w:r>
        <w:rPr>
          <w:rFonts w:cs="Arial"/>
        </w:rPr>
        <w:t xml:space="preserve">, </w:t>
      </w:r>
      <w:r w:rsidRPr="00D63BA5">
        <w:rPr>
          <w:rFonts w:cs="Arial"/>
        </w:rPr>
        <w:t xml:space="preserve">the following </w:t>
      </w:r>
      <w:r>
        <w:rPr>
          <w:rFonts w:cs="Arial"/>
        </w:rPr>
        <w:t>muscle relaxant agent</w:t>
      </w:r>
      <w:r w:rsidRPr="00D63BA5">
        <w:rPr>
          <w:rFonts w:cs="Arial"/>
        </w:rPr>
        <w:t xml:space="preserve"> will require PA. </w:t>
      </w:r>
    </w:p>
    <w:p w14:paraId="23C5BCFE" w14:textId="509F18E6" w:rsidR="00A52375" w:rsidRPr="00A52375" w:rsidRDefault="00A52375" w:rsidP="00A52375">
      <w:pPr>
        <w:pStyle w:val="ListParagraph"/>
        <w:numPr>
          <w:ilvl w:val="1"/>
          <w:numId w:val="4"/>
        </w:numPr>
        <w:spacing w:after="160" w:line="259" w:lineRule="auto"/>
        <w:ind w:left="1080"/>
        <w:contextualSpacing/>
        <w:rPr>
          <w:rFonts w:cs="Arial"/>
        </w:rPr>
      </w:pPr>
      <w:r w:rsidRPr="00C47DA3">
        <w:rPr>
          <w:rFonts w:cs="Arial"/>
        </w:rPr>
        <w:t>methocarbamol 1,000 mg tablet</w:t>
      </w:r>
      <w:r>
        <w:rPr>
          <w:rFonts w:cs="Arial"/>
        </w:rPr>
        <w:t xml:space="preserve"> – </w:t>
      </w:r>
      <w:r w:rsidRPr="00C47DA3">
        <w:rPr>
          <w:rFonts w:cs="Arial"/>
          <w:b/>
          <w:bCs/>
        </w:rPr>
        <w:t>PA</w:t>
      </w:r>
    </w:p>
    <w:p w14:paraId="73F02999" w14:textId="77777777" w:rsidR="00A52375" w:rsidRPr="00537BCF" w:rsidRDefault="00A52375" w:rsidP="00A52375">
      <w:pPr>
        <w:pStyle w:val="ListParagraph"/>
        <w:numPr>
          <w:ilvl w:val="0"/>
          <w:numId w:val="4"/>
        </w:numPr>
        <w:ind w:left="720"/>
        <w:contextualSpacing/>
        <w:rPr>
          <w:rFonts w:cs="Arial"/>
        </w:rPr>
      </w:pPr>
      <w:r w:rsidRPr="00537BCF">
        <w:rPr>
          <w:rFonts w:cs="Arial"/>
        </w:rPr>
        <w:t xml:space="preserve">Effective </w:t>
      </w:r>
      <w:r w:rsidRPr="00D7131C">
        <w:rPr>
          <w:rFonts w:cs="Arial"/>
        </w:rPr>
        <w:t>November 17, 2025</w:t>
      </w:r>
      <w:r w:rsidRPr="00537BCF">
        <w:rPr>
          <w:rFonts w:cs="Arial"/>
        </w:rPr>
        <w:t xml:space="preserve">, the following urinary antispasmodic agent will no longer require PA when exceeding quantity limits. </w:t>
      </w:r>
    </w:p>
    <w:p w14:paraId="5F78BDCE" w14:textId="77777777" w:rsidR="00A52375" w:rsidRPr="00537BCF" w:rsidRDefault="00A52375" w:rsidP="00A52375">
      <w:pPr>
        <w:pStyle w:val="ListParagraph"/>
        <w:numPr>
          <w:ilvl w:val="1"/>
          <w:numId w:val="4"/>
        </w:numPr>
        <w:spacing w:after="160" w:line="259" w:lineRule="auto"/>
        <w:ind w:left="1080"/>
        <w:contextualSpacing/>
        <w:rPr>
          <w:rFonts w:cs="Arial"/>
        </w:rPr>
      </w:pPr>
      <w:r w:rsidRPr="00537BCF">
        <w:rPr>
          <w:rFonts w:cs="Arial"/>
        </w:rPr>
        <w:t>darifenacin; A90</w:t>
      </w:r>
    </w:p>
    <w:p w14:paraId="36165EFA" w14:textId="77777777" w:rsidR="00A52375" w:rsidRPr="004A446C" w:rsidRDefault="00A52375" w:rsidP="00A52375">
      <w:pPr>
        <w:pStyle w:val="ListParagraph"/>
        <w:numPr>
          <w:ilvl w:val="0"/>
          <w:numId w:val="4"/>
        </w:numPr>
        <w:spacing w:after="160"/>
        <w:ind w:left="720"/>
        <w:contextualSpacing/>
        <w:rPr>
          <w:rFonts w:cs="Arial"/>
        </w:rPr>
      </w:pPr>
      <w:r w:rsidRPr="004A446C">
        <w:rPr>
          <w:rFonts w:cs="Arial"/>
        </w:rPr>
        <w:t xml:space="preserve">Effective </w:t>
      </w:r>
      <w:r w:rsidRPr="00D7131C">
        <w:rPr>
          <w:rFonts w:cs="Arial"/>
        </w:rPr>
        <w:t>November 17, 2025</w:t>
      </w:r>
      <w:r w:rsidRPr="004A446C">
        <w:rPr>
          <w:rFonts w:cs="Arial"/>
        </w:rPr>
        <w:t>, the following inhaled respiratory agent will require PA.</w:t>
      </w:r>
    </w:p>
    <w:p w14:paraId="1346802E" w14:textId="77777777" w:rsidR="00A52375" w:rsidRPr="004A446C" w:rsidRDefault="00A52375" w:rsidP="00A52375">
      <w:pPr>
        <w:pStyle w:val="ListParagraph"/>
        <w:numPr>
          <w:ilvl w:val="1"/>
          <w:numId w:val="4"/>
        </w:numPr>
        <w:ind w:left="1080"/>
        <w:contextualSpacing/>
        <w:rPr>
          <w:rFonts w:cs="Arial"/>
        </w:rPr>
      </w:pPr>
      <w:proofErr w:type="spellStart"/>
      <w:r w:rsidRPr="004A446C">
        <w:rPr>
          <w:rFonts w:cs="Arial"/>
        </w:rPr>
        <w:t>Tudorza</w:t>
      </w:r>
      <w:proofErr w:type="spellEnd"/>
      <w:r w:rsidRPr="004A446C">
        <w:rPr>
          <w:rFonts w:cs="Arial"/>
        </w:rPr>
        <w:t xml:space="preserve"> (aclidinium) – </w:t>
      </w:r>
      <w:r w:rsidRPr="004A446C">
        <w:rPr>
          <w:rFonts w:cs="Arial"/>
          <w:b/>
          <w:bCs/>
        </w:rPr>
        <w:t>PA</w:t>
      </w:r>
    </w:p>
    <w:p w14:paraId="12B012A5" w14:textId="77777777" w:rsidR="00A52375" w:rsidRPr="004A446C" w:rsidRDefault="00A52375" w:rsidP="00A52375">
      <w:pPr>
        <w:pStyle w:val="ListParagraph"/>
        <w:numPr>
          <w:ilvl w:val="0"/>
          <w:numId w:val="4"/>
        </w:numPr>
        <w:spacing w:after="160" w:line="259" w:lineRule="auto"/>
        <w:ind w:left="720"/>
        <w:contextualSpacing/>
        <w:rPr>
          <w:rFonts w:cs="Arial"/>
        </w:rPr>
      </w:pPr>
      <w:r w:rsidRPr="004A446C">
        <w:rPr>
          <w:rFonts w:cs="Arial"/>
        </w:rPr>
        <w:lastRenderedPageBreak/>
        <w:t xml:space="preserve">Effective </w:t>
      </w:r>
      <w:r w:rsidRPr="00D7131C">
        <w:rPr>
          <w:rFonts w:cs="Arial"/>
        </w:rPr>
        <w:t>November 17</w:t>
      </w:r>
      <w:r w:rsidRPr="004A446C">
        <w:rPr>
          <w:rFonts w:cs="Arial"/>
        </w:rPr>
        <w:t xml:space="preserve">, 2025, the following </w:t>
      </w:r>
      <w:r>
        <w:rPr>
          <w:rFonts w:cs="Arial"/>
        </w:rPr>
        <w:t>antihistamine</w:t>
      </w:r>
      <w:r w:rsidRPr="004A446C">
        <w:rPr>
          <w:rFonts w:cs="Arial"/>
        </w:rPr>
        <w:t xml:space="preserve"> agent will no longer require PA.</w:t>
      </w:r>
    </w:p>
    <w:p w14:paraId="07C804AF" w14:textId="77777777" w:rsidR="00A52375" w:rsidRPr="004A446C" w:rsidRDefault="00A52375" w:rsidP="00A52375">
      <w:pPr>
        <w:pStyle w:val="ListParagraph"/>
        <w:numPr>
          <w:ilvl w:val="1"/>
          <w:numId w:val="4"/>
        </w:numPr>
        <w:spacing w:after="160" w:line="259" w:lineRule="auto"/>
        <w:ind w:left="1080"/>
        <w:contextualSpacing/>
        <w:rPr>
          <w:rFonts w:cs="Arial"/>
        </w:rPr>
      </w:pPr>
      <w:proofErr w:type="spellStart"/>
      <w:r w:rsidRPr="003F18F8">
        <w:rPr>
          <w:rFonts w:cs="Arial"/>
        </w:rPr>
        <w:t>Clarinex</w:t>
      </w:r>
      <w:proofErr w:type="spellEnd"/>
      <w:r w:rsidRPr="003F18F8">
        <w:rPr>
          <w:rFonts w:cs="Arial"/>
        </w:rPr>
        <w:t xml:space="preserve"> (desloratadine tablet)</w:t>
      </w:r>
      <w:r w:rsidRPr="004A446C">
        <w:rPr>
          <w:rFonts w:cs="Arial"/>
        </w:rPr>
        <w:t xml:space="preserve">; </w:t>
      </w:r>
      <w:r>
        <w:rPr>
          <w:rFonts w:cs="Arial"/>
        </w:rPr>
        <w:t>#, M90</w:t>
      </w:r>
    </w:p>
    <w:p w14:paraId="1F685EA8" w14:textId="77777777" w:rsidR="00A52375" w:rsidRPr="00911014" w:rsidRDefault="00A52375" w:rsidP="00A52375">
      <w:pPr>
        <w:pStyle w:val="ListParagraph"/>
        <w:numPr>
          <w:ilvl w:val="0"/>
          <w:numId w:val="4"/>
        </w:numPr>
        <w:ind w:left="720"/>
        <w:contextualSpacing/>
        <w:rPr>
          <w:rFonts w:cs="Arial"/>
        </w:rPr>
      </w:pPr>
      <w:r w:rsidRPr="00911014">
        <w:rPr>
          <w:rFonts w:cs="Arial"/>
        </w:rPr>
        <w:t xml:space="preserve">Effective </w:t>
      </w:r>
      <w:r w:rsidRPr="00D7131C">
        <w:rPr>
          <w:rFonts w:cs="Arial"/>
        </w:rPr>
        <w:t>November 17, 2025</w:t>
      </w:r>
      <w:r w:rsidRPr="00911014">
        <w:rPr>
          <w:rFonts w:cs="Arial"/>
        </w:rPr>
        <w:t xml:space="preserve">, the following antihistamine agent will require PA. </w:t>
      </w:r>
    </w:p>
    <w:p w14:paraId="02040589" w14:textId="77777777" w:rsidR="00A52375" w:rsidRDefault="00A52375" w:rsidP="00A52375">
      <w:pPr>
        <w:pStyle w:val="ListParagraph"/>
        <w:numPr>
          <w:ilvl w:val="1"/>
          <w:numId w:val="4"/>
        </w:numPr>
        <w:spacing w:after="160" w:line="259" w:lineRule="auto"/>
        <w:ind w:left="1080"/>
        <w:contextualSpacing/>
        <w:rPr>
          <w:rFonts w:cs="Arial"/>
        </w:rPr>
      </w:pPr>
      <w:r w:rsidRPr="00950D3D">
        <w:rPr>
          <w:rFonts w:cs="Arial"/>
        </w:rPr>
        <w:t xml:space="preserve">promethazine suppository – </w:t>
      </w:r>
      <w:r w:rsidRPr="00950D3D">
        <w:rPr>
          <w:rFonts w:cs="Arial"/>
          <w:b/>
          <w:bCs/>
        </w:rPr>
        <w:t>PA</w:t>
      </w:r>
      <w:r w:rsidRPr="00950D3D">
        <w:rPr>
          <w:rFonts w:cs="Arial"/>
        </w:rPr>
        <w:t>; A90</w:t>
      </w:r>
    </w:p>
    <w:p w14:paraId="6F551C94" w14:textId="77777777" w:rsidR="00A52375" w:rsidRPr="00911014" w:rsidRDefault="00A52375" w:rsidP="00A52375">
      <w:pPr>
        <w:pStyle w:val="ListParagraph"/>
        <w:numPr>
          <w:ilvl w:val="0"/>
          <w:numId w:val="4"/>
        </w:numPr>
        <w:ind w:left="720"/>
        <w:contextualSpacing/>
        <w:rPr>
          <w:rFonts w:cs="Arial"/>
        </w:rPr>
      </w:pPr>
      <w:r w:rsidRPr="00911014">
        <w:rPr>
          <w:rFonts w:cs="Arial"/>
        </w:rPr>
        <w:t xml:space="preserve">Effective </w:t>
      </w:r>
      <w:r w:rsidRPr="00D7131C">
        <w:rPr>
          <w:rFonts w:cs="Arial"/>
        </w:rPr>
        <w:t>November 17, 2025</w:t>
      </w:r>
      <w:r w:rsidRPr="00911014">
        <w:rPr>
          <w:rFonts w:cs="Arial"/>
        </w:rPr>
        <w:t xml:space="preserve">, the following </w:t>
      </w:r>
      <w:r>
        <w:rPr>
          <w:rFonts w:cs="Arial"/>
        </w:rPr>
        <w:t>antibiotic</w:t>
      </w:r>
      <w:r w:rsidRPr="00CF65D7">
        <w:rPr>
          <w:rFonts w:cs="Arial"/>
        </w:rPr>
        <w:t xml:space="preserve"> agent</w:t>
      </w:r>
      <w:r>
        <w:rPr>
          <w:rFonts w:cs="Arial"/>
        </w:rPr>
        <w:t>s</w:t>
      </w:r>
      <w:r w:rsidRPr="00CF65D7">
        <w:rPr>
          <w:rFonts w:cs="Arial"/>
        </w:rPr>
        <w:t xml:space="preserve"> </w:t>
      </w:r>
      <w:r w:rsidRPr="00911014">
        <w:rPr>
          <w:rFonts w:cs="Arial"/>
        </w:rPr>
        <w:t xml:space="preserve">will require PA. </w:t>
      </w:r>
    </w:p>
    <w:p w14:paraId="2F36425F" w14:textId="77777777" w:rsidR="00A52375" w:rsidRDefault="00A52375" w:rsidP="00A52375">
      <w:pPr>
        <w:pStyle w:val="ListParagraph"/>
        <w:numPr>
          <w:ilvl w:val="1"/>
          <w:numId w:val="4"/>
        </w:numPr>
        <w:spacing w:after="160" w:line="259" w:lineRule="auto"/>
        <w:ind w:left="1080"/>
        <w:contextualSpacing/>
        <w:rPr>
          <w:rFonts w:cs="Arial"/>
        </w:rPr>
      </w:pPr>
      <w:r w:rsidRPr="00E62666">
        <w:rPr>
          <w:rFonts w:cs="Arial"/>
        </w:rPr>
        <w:t xml:space="preserve">amoxicillin/clavulanate chewable tablet – </w:t>
      </w:r>
      <w:r w:rsidRPr="00E62666">
        <w:rPr>
          <w:rFonts w:cs="Arial"/>
          <w:b/>
          <w:bCs/>
        </w:rPr>
        <w:t>PA</w:t>
      </w:r>
      <w:r w:rsidRPr="00E62666">
        <w:rPr>
          <w:rFonts w:cs="Arial"/>
        </w:rPr>
        <w:t>; A90</w:t>
      </w:r>
    </w:p>
    <w:p w14:paraId="4F9CF095" w14:textId="77777777" w:rsidR="00A52375" w:rsidRDefault="00A52375" w:rsidP="00A52375">
      <w:pPr>
        <w:pStyle w:val="ListParagraph"/>
        <w:numPr>
          <w:ilvl w:val="1"/>
          <w:numId w:val="4"/>
        </w:numPr>
        <w:spacing w:after="160" w:line="259" w:lineRule="auto"/>
        <w:ind w:left="1080"/>
        <w:contextualSpacing/>
        <w:rPr>
          <w:rFonts w:cs="Arial"/>
        </w:rPr>
      </w:pPr>
      <w:r w:rsidRPr="009954D8">
        <w:rPr>
          <w:rFonts w:cs="Arial"/>
        </w:rPr>
        <w:t xml:space="preserve">cephalexin tablet – </w:t>
      </w:r>
      <w:r w:rsidRPr="00E62666">
        <w:rPr>
          <w:rFonts w:cs="Arial"/>
          <w:b/>
          <w:bCs/>
        </w:rPr>
        <w:t>PA</w:t>
      </w:r>
      <w:r w:rsidRPr="000D4DC8">
        <w:rPr>
          <w:rFonts w:cs="Arial"/>
        </w:rPr>
        <w:t>; A90</w:t>
      </w:r>
    </w:p>
    <w:p w14:paraId="52C65533" w14:textId="77777777" w:rsidR="00A52375" w:rsidRPr="00281656" w:rsidRDefault="00A52375" w:rsidP="00A52375">
      <w:pPr>
        <w:pStyle w:val="ListParagraph"/>
        <w:numPr>
          <w:ilvl w:val="1"/>
          <w:numId w:val="4"/>
        </w:numPr>
        <w:spacing w:after="160" w:line="259" w:lineRule="auto"/>
        <w:ind w:left="1080"/>
        <w:contextualSpacing/>
        <w:rPr>
          <w:rFonts w:cs="Arial"/>
        </w:rPr>
      </w:pPr>
      <w:r w:rsidRPr="00FA39D7">
        <w:rPr>
          <w:rFonts w:cs="Arial"/>
        </w:rPr>
        <w:t xml:space="preserve">erythromycin delayed-release capsule – </w:t>
      </w:r>
      <w:r w:rsidRPr="00E62666">
        <w:rPr>
          <w:rFonts w:cs="Arial"/>
          <w:b/>
          <w:bCs/>
        </w:rPr>
        <w:t>PA</w:t>
      </w:r>
      <w:r>
        <w:rPr>
          <w:rFonts w:cs="Arial"/>
          <w:b/>
          <w:bCs/>
        </w:rPr>
        <w:t xml:space="preserve">; </w:t>
      </w:r>
      <w:r>
        <w:rPr>
          <w:rFonts w:cs="Arial"/>
        </w:rPr>
        <w:t>A90</w:t>
      </w:r>
    </w:p>
    <w:p w14:paraId="1DBF73E6" w14:textId="77777777" w:rsidR="00A52375" w:rsidRDefault="00A52375" w:rsidP="00A52375">
      <w:pPr>
        <w:pStyle w:val="ListParagraph"/>
        <w:numPr>
          <w:ilvl w:val="1"/>
          <w:numId w:val="4"/>
        </w:numPr>
        <w:spacing w:after="160" w:line="259" w:lineRule="auto"/>
        <w:ind w:left="1080"/>
        <w:contextualSpacing/>
        <w:rPr>
          <w:rFonts w:cs="Arial"/>
        </w:rPr>
      </w:pPr>
      <w:r w:rsidRPr="00281656">
        <w:rPr>
          <w:rFonts w:cs="Arial"/>
        </w:rPr>
        <w:t xml:space="preserve">minocycline extended-release 55 mg, 65 mg, 80 mg, 115 mg tablet – </w:t>
      </w:r>
      <w:proofErr w:type="gramStart"/>
      <w:r w:rsidRPr="00281656">
        <w:rPr>
          <w:rFonts w:cs="Arial"/>
          <w:b/>
          <w:bCs/>
        </w:rPr>
        <w:t>PA</w:t>
      </w:r>
      <w:r>
        <w:rPr>
          <w:rFonts w:cs="Arial"/>
          <w:b/>
          <w:bCs/>
        </w:rPr>
        <w:t>;</w:t>
      </w:r>
      <w:proofErr w:type="gramEnd"/>
      <w:r>
        <w:rPr>
          <w:rFonts w:cs="Arial"/>
          <w:b/>
          <w:bCs/>
        </w:rPr>
        <w:t xml:space="preserve"> </w:t>
      </w:r>
      <w:r>
        <w:rPr>
          <w:rFonts w:cs="Arial"/>
        </w:rPr>
        <w:t>A90</w:t>
      </w:r>
    </w:p>
    <w:p w14:paraId="54CE0762" w14:textId="77777777" w:rsidR="00A52375" w:rsidRPr="0017084A" w:rsidRDefault="00A52375" w:rsidP="00A52375">
      <w:pPr>
        <w:pStyle w:val="ListParagraph"/>
        <w:numPr>
          <w:ilvl w:val="0"/>
          <w:numId w:val="4"/>
        </w:numPr>
        <w:ind w:left="720"/>
        <w:contextualSpacing/>
        <w:rPr>
          <w:rFonts w:cs="Arial"/>
        </w:rPr>
      </w:pPr>
      <w:r w:rsidRPr="0017084A">
        <w:rPr>
          <w:rFonts w:cs="Arial"/>
        </w:rPr>
        <w:t xml:space="preserve">Effective </w:t>
      </w:r>
      <w:r w:rsidRPr="00D7131C">
        <w:rPr>
          <w:rFonts w:cs="Arial"/>
        </w:rPr>
        <w:t>November 17, 2025</w:t>
      </w:r>
      <w:r w:rsidRPr="00911014">
        <w:rPr>
          <w:rFonts w:cs="Arial"/>
        </w:rPr>
        <w:t>,</w:t>
      </w:r>
      <w:r w:rsidRPr="0017084A">
        <w:rPr>
          <w:rFonts w:cs="Arial"/>
        </w:rPr>
        <w:t xml:space="preserve"> the following </w:t>
      </w:r>
      <w:r>
        <w:rPr>
          <w:rFonts w:cs="Arial"/>
        </w:rPr>
        <w:t xml:space="preserve">antipsychotic </w:t>
      </w:r>
      <w:r w:rsidRPr="0017084A">
        <w:rPr>
          <w:rFonts w:cs="Arial"/>
        </w:rPr>
        <w:t xml:space="preserve">agent will no longer require PA within established quantity </w:t>
      </w:r>
      <w:r>
        <w:rPr>
          <w:rFonts w:cs="Arial"/>
        </w:rPr>
        <w:t xml:space="preserve">and age </w:t>
      </w:r>
      <w:r w:rsidRPr="0017084A">
        <w:rPr>
          <w:rFonts w:cs="Arial"/>
        </w:rPr>
        <w:t xml:space="preserve">limits. </w:t>
      </w:r>
    </w:p>
    <w:p w14:paraId="7EFE29B7" w14:textId="77777777" w:rsidR="00A52375" w:rsidRPr="00E44D5A" w:rsidRDefault="00A52375" w:rsidP="00A52375">
      <w:pPr>
        <w:pStyle w:val="ListParagraph"/>
        <w:numPr>
          <w:ilvl w:val="1"/>
          <w:numId w:val="4"/>
        </w:numPr>
        <w:spacing w:after="160"/>
        <w:ind w:left="1080"/>
        <w:contextualSpacing/>
        <w:rPr>
          <w:rFonts w:cs="Arial"/>
        </w:rPr>
      </w:pPr>
      <w:proofErr w:type="spellStart"/>
      <w:r w:rsidRPr="0017084A">
        <w:rPr>
          <w:rFonts w:cs="Arial"/>
        </w:rPr>
        <w:t>Erzofri</w:t>
      </w:r>
      <w:proofErr w:type="spellEnd"/>
      <w:r w:rsidRPr="0017084A">
        <w:rPr>
          <w:rFonts w:cs="Arial"/>
        </w:rPr>
        <w:t xml:space="preserve"> (paliperidone extended-release 1-month injection)</w:t>
      </w:r>
      <w:r>
        <w:rPr>
          <w:rFonts w:cs="Arial"/>
        </w:rPr>
        <w:t xml:space="preserve"> </w:t>
      </w:r>
      <w:r w:rsidRPr="0017084A">
        <w:rPr>
          <w:rFonts w:cs="Arial"/>
          <w:vertAlign w:val="superscript"/>
        </w:rPr>
        <w:t>PD</w:t>
      </w:r>
      <w:r w:rsidRPr="0017084A">
        <w:rPr>
          <w:rFonts w:cs="Arial"/>
        </w:rPr>
        <w:t xml:space="preserve"> – </w:t>
      </w:r>
      <w:r w:rsidRPr="0017084A">
        <w:rPr>
          <w:rFonts w:cs="Arial"/>
          <w:b/>
          <w:bCs/>
        </w:rPr>
        <w:t>PA &lt;10 years and PA &gt;1 injection/28 days</w:t>
      </w:r>
    </w:p>
    <w:bookmarkEnd w:id="1"/>
    <w:bookmarkEnd w:id="2"/>
    <w:p w14:paraId="77935FFE" w14:textId="77777777" w:rsidR="00A52375" w:rsidRPr="00CF65D7" w:rsidRDefault="00A52375" w:rsidP="00A52375">
      <w:pPr>
        <w:pStyle w:val="ListParagraph"/>
        <w:numPr>
          <w:ilvl w:val="0"/>
          <w:numId w:val="4"/>
        </w:numPr>
        <w:spacing w:after="160"/>
        <w:ind w:left="720"/>
        <w:contextualSpacing/>
        <w:rPr>
          <w:rFonts w:cs="Arial"/>
        </w:rPr>
      </w:pPr>
      <w:r w:rsidRPr="00CF65D7">
        <w:rPr>
          <w:rFonts w:cs="Arial"/>
        </w:rPr>
        <w:t xml:space="preserve">Effective </w:t>
      </w:r>
      <w:r w:rsidRPr="00D7131C">
        <w:rPr>
          <w:rFonts w:cs="Arial"/>
        </w:rPr>
        <w:t>November 17, 2025</w:t>
      </w:r>
      <w:r w:rsidRPr="00CF65D7">
        <w:rPr>
          <w:rFonts w:cs="Arial"/>
        </w:rPr>
        <w:t xml:space="preserve">, the following </w:t>
      </w:r>
      <w:r>
        <w:rPr>
          <w:rFonts w:cs="Arial"/>
        </w:rPr>
        <w:t>antibiotic</w:t>
      </w:r>
      <w:r w:rsidRPr="00CF65D7">
        <w:rPr>
          <w:rFonts w:cs="Arial"/>
        </w:rPr>
        <w:t xml:space="preserve"> agent</w:t>
      </w:r>
      <w:r>
        <w:rPr>
          <w:rFonts w:cs="Arial"/>
        </w:rPr>
        <w:t>s</w:t>
      </w:r>
      <w:r w:rsidRPr="00CF65D7">
        <w:rPr>
          <w:rFonts w:cs="Arial"/>
        </w:rPr>
        <w:t xml:space="preserve"> will</w:t>
      </w:r>
      <w:r>
        <w:rPr>
          <w:rFonts w:cs="Arial"/>
        </w:rPr>
        <w:t xml:space="preserve"> no longer</w:t>
      </w:r>
      <w:r w:rsidRPr="00CF65D7">
        <w:rPr>
          <w:rFonts w:cs="Arial"/>
        </w:rPr>
        <w:t xml:space="preserve"> require PA.</w:t>
      </w:r>
    </w:p>
    <w:p w14:paraId="6BD67FB1" w14:textId="77777777" w:rsidR="00A52375" w:rsidRDefault="00A52375" w:rsidP="00A52375">
      <w:pPr>
        <w:pStyle w:val="ListParagraph"/>
        <w:numPr>
          <w:ilvl w:val="1"/>
          <w:numId w:val="4"/>
        </w:numPr>
        <w:ind w:left="1080"/>
        <w:contextualSpacing/>
        <w:rPr>
          <w:rFonts w:cs="Arial"/>
        </w:rPr>
      </w:pPr>
      <w:r w:rsidRPr="005E04E2">
        <w:rPr>
          <w:rFonts w:cs="Arial"/>
        </w:rPr>
        <w:t xml:space="preserve">doxycycline </w:t>
      </w:r>
      <w:proofErr w:type="spellStart"/>
      <w:r w:rsidRPr="005E04E2">
        <w:rPr>
          <w:rFonts w:cs="Arial"/>
        </w:rPr>
        <w:t>hyclate</w:t>
      </w:r>
      <w:proofErr w:type="spellEnd"/>
      <w:r w:rsidRPr="005E04E2">
        <w:rPr>
          <w:rFonts w:cs="Arial"/>
        </w:rPr>
        <w:t xml:space="preserve"> 75 mg, 150 mg tablet</w:t>
      </w:r>
      <w:r>
        <w:rPr>
          <w:rFonts w:cs="Arial"/>
        </w:rPr>
        <w:t>; A90</w:t>
      </w:r>
    </w:p>
    <w:p w14:paraId="1EEDA336" w14:textId="77777777" w:rsidR="00A52375" w:rsidRDefault="00A52375" w:rsidP="00A52375">
      <w:pPr>
        <w:pStyle w:val="ListParagraph"/>
        <w:numPr>
          <w:ilvl w:val="1"/>
          <w:numId w:val="4"/>
        </w:numPr>
        <w:ind w:left="1080"/>
        <w:contextualSpacing/>
        <w:rPr>
          <w:rFonts w:cs="Arial"/>
        </w:rPr>
      </w:pPr>
      <w:r>
        <w:rPr>
          <w:rFonts w:cs="Arial"/>
        </w:rPr>
        <w:t xml:space="preserve">minocycline </w:t>
      </w:r>
      <w:proofErr w:type="gramStart"/>
      <w:r>
        <w:rPr>
          <w:rFonts w:cs="Arial"/>
        </w:rPr>
        <w:t>extended-release</w:t>
      </w:r>
      <w:proofErr w:type="gramEnd"/>
      <w:r>
        <w:rPr>
          <w:rFonts w:cs="Arial"/>
        </w:rPr>
        <w:t xml:space="preserve"> 135 mg </w:t>
      </w:r>
      <w:proofErr w:type="gramStart"/>
      <w:r>
        <w:rPr>
          <w:rFonts w:cs="Arial"/>
        </w:rPr>
        <w:t>tablet;</w:t>
      </w:r>
      <w:proofErr w:type="gramEnd"/>
      <w:r>
        <w:rPr>
          <w:rFonts w:cs="Arial"/>
        </w:rPr>
        <w:t xml:space="preserve"> A90</w:t>
      </w:r>
    </w:p>
    <w:p w14:paraId="1D9B167A" w14:textId="77777777" w:rsidR="00A52375" w:rsidRPr="00FF62BD" w:rsidRDefault="00A52375" w:rsidP="00A52375">
      <w:pPr>
        <w:pStyle w:val="ListParagraph"/>
        <w:numPr>
          <w:ilvl w:val="0"/>
          <w:numId w:val="4"/>
        </w:numPr>
        <w:ind w:left="720"/>
        <w:contextualSpacing/>
        <w:rPr>
          <w:rFonts w:cs="Arial"/>
        </w:rPr>
      </w:pPr>
      <w:r w:rsidRPr="00FF62BD">
        <w:rPr>
          <w:rFonts w:cs="Arial"/>
        </w:rPr>
        <w:t xml:space="preserve">Effective </w:t>
      </w:r>
      <w:r w:rsidRPr="00D7131C">
        <w:rPr>
          <w:rFonts w:cs="Arial"/>
        </w:rPr>
        <w:t>November 17, 2025</w:t>
      </w:r>
      <w:r w:rsidRPr="00FF62BD">
        <w:rPr>
          <w:rFonts w:cs="Arial"/>
        </w:rPr>
        <w:t xml:space="preserve">, the following </w:t>
      </w:r>
      <w:r w:rsidRPr="00FF62BD">
        <w:rPr>
          <w:rFonts w:eastAsia="Calibri" w:cs="Arial"/>
        </w:rPr>
        <w:t>headache</w:t>
      </w:r>
      <w:r w:rsidRPr="003F27D8">
        <w:rPr>
          <w:rFonts w:eastAsia="Calibri" w:cs="Arial"/>
        </w:rPr>
        <w:t xml:space="preserve"> </w:t>
      </w:r>
      <w:r w:rsidRPr="00FF62BD">
        <w:rPr>
          <w:rFonts w:eastAsia="Calibri" w:cs="Arial"/>
        </w:rPr>
        <w:t xml:space="preserve">therapy </w:t>
      </w:r>
      <w:r w:rsidRPr="003F27D8">
        <w:rPr>
          <w:rFonts w:eastAsia="Calibri" w:cs="Arial"/>
        </w:rPr>
        <w:t>agent</w:t>
      </w:r>
      <w:r w:rsidRPr="00FF62BD">
        <w:rPr>
          <w:rFonts w:eastAsia="Calibri" w:cs="Arial"/>
        </w:rPr>
        <w:t>s</w:t>
      </w:r>
      <w:r w:rsidRPr="003F27D8">
        <w:rPr>
          <w:rFonts w:eastAsia="Calibri" w:cs="Arial"/>
        </w:rPr>
        <w:t xml:space="preserve"> </w:t>
      </w:r>
      <w:r w:rsidRPr="00FF62BD">
        <w:rPr>
          <w:rFonts w:cs="Arial"/>
        </w:rPr>
        <w:t xml:space="preserve">will now require PA when exceeding updated quantity limits. </w:t>
      </w:r>
    </w:p>
    <w:p w14:paraId="61BA0136" w14:textId="77777777" w:rsidR="00A52375" w:rsidRPr="005A74E4" w:rsidRDefault="00A52375" w:rsidP="00A52375">
      <w:pPr>
        <w:pStyle w:val="NoSpacing"/>
        <w:numPr>
          <w:ilvl w:val="1"/>
          <w:numId w:val="39"/>
        </w:numPr>
        <w:spacing w:line="276" w:lineRule="auto"/>
        <w:rPr>
          <w:rFonts w:ascii="Arial" w:hAnsi="Arial" w:cs="Arial"/>
        </w:rPr>
      </w:pPr>
      <w:r w:rsidRPr="00AF1CD8">
        <w:rPr>
          <w:rFonts w:ascii="Arial" w:hAnsi="Arial" w:cs="Arial"/>
        </w:rPr>
        <w:t xml:space="preserve">Imitrex (sumatriptan tablet) – </w:t>
      </w:r>
      <w:r w:rsidRPr="00194BC3">
        <w:rPr>
          <w:rFonts w:ascii="Arial" w:hAnsi="Arial" w:cs="Arial"/>
          <w:b/>
          <w:bCs/>
        </w:rPr>
        <w:t>PA &gt;</w:t>
      </w:r>
      <w:r>
        <w:rPr>
          <w:rFonts w:ascii="Arial" w:hAnsi="Arial" w:cs="Arial"/>
          <w:b/>
          <w:bCs/>
        </w:rPr>
        <w:t xml:space="preserve"> </w:t>
      </w:r>
      <w:r w:rsidRPr="00194BC3">
        <w:rPr>
          <w:rFonts w:ascii="Arial" w:hAnsi="Arial" w:cs="Arial"/>
          <w:b/>
          <w:bCs/>
        </w:rPr>
        <w:t>16 units/30 days</w:t>
      </w:r>
      <w:r w:rsidRPr="00AF1CD8">
        <w:rPr>
          <w:rFonts w:ascii="Arial" w:hAnsi="Arial" w:cs="Arial"/>
        </w:rPr>
        <w:t>; #, A90</w:t>
      </w:r>
    </w:p>
    <w:p w14:paraId="37CD6BFB" w14:textId="77777777" w:rsidR="00A52375" w:rsidRPr="00813F7E" w:rsidRDefault="00A52375" w:rsidP="00A52375">
      <w:pPr>
        <w:pStyle w:val="Default"/>
        <w:numPr>
          <w:ilvl w:val="1"/>
          <w:numId w:val="39"/>
        </w:numPr>
        <w:spacing w:line="276" w:lineRule="auto"/>
        <w:rPr>
          <w:rFonts w:ascii="Arial" w:hAnsi="Arial" w:cs="Arial"/>
          <w:color w:val="auto"/>
          <w:sz w:val="22"/>
          <w:szCs w:val="22"/>
        </w:rPr>
      </w:pPr>
      <w:r w:rsidRPr="00813F7E">
        <w:rPr>
          <w:rFonts w:ascii="Arial" w:hAnsi="Arial" w:cs="Arial"/>
          <w:color w:val="auto"/>
          <w:sz w:val="22"/>
          <w:szCs w:val="22"/>
        </w:rPr>
        <w:t>Maxalt MLT (rizatriptan orally disintegrating tablet) –</w:t>
      </w:r>
      <w:r w:rsidRPr="00813F7E">
        <w:rPr>
          <w:rFonts w:ascii="Arial" w:hAnsi="Arial" w:cs="Arial"/>
          <w:b/>
          <w:bCs/>
          <w:color w:val="auto"/>
          <w:sz w:val="22"/>
          <w:szCs w:val="22"/>
        </w:rPr>
        <w:t xml:space="preserve"> PA &gt;</w:t>
      </w:r>
      <w:r>
        <w:rPr>
          <w:rFonts w:ascii="Arial" w:hAnsi="Arial" w:cs="Arial"/>
          <w:b/>
          <w:bCs/>
          <w:color w:val="auto"/>
          <w:sz w:val="22"/>
          <w:szCs w:val="22"/>
        </w:rPr>
        <w:t xml:space="preserve"> </w:t>
      </w:r>
      <w:r w:rsidRPr="00813F7E">
        <w:rPr>
          <w:rFonts w:ascii="Arial" w:hAnsi="Arial" w:cs="Arial"/>
          <w:b/>
          <w:bCs/>
          <w:color w:val="auto"/>
          <w:sz w:val="22"/>
          <w:szCs w:val="22"/>
        </w:rPr>
        <w:t>16 units/30 days</w:t>
      </w:r>
      <w:r w:rsidRPr="00813F7E">
        <w:rPr>
          <w:rFonts w:ascii="Arial" w:hAnsi="Arial" w:cs="Arial"/>
          <w:color w:val="auto"/>
          <w:sz w:val="22"/>
          <w:szCs w:val="22"/>
        </w:rPr>
        <w:t>; #, A90</w:t>
      </w:r>
    </w:p>
    <w:p w14:paraId="5EB43D38" w14:textId="77777777" w:rsidR="00A52375" w:rsidRPr="00813F7E" w:rsidRDefault="00A52375" w:rsidP="00A52375">
      <w:pPr>
        <w:pStyle w:val="Default"/>
        <w:numPr>
          <w:ilvl w:val="1"/>
          <w:numId w:val="39"/>
        </w:numPr>
        <w:spacing w:line="276" w:lineRule="auto"/>
        <w:rPr>
          <w:rFonts w:ascii="Arial" w:hAnsi="Arial" w:cs="Arial"/>
          <w:color w:val="auto"/>
          <w:sz w:val="22"/>
          <w:szCs w:val="22"/>
        </w:rPr>
      </w:pPr>
      <w:r w:rsidRPr="00813F7E">
        <w:rPr>
          <w:rFonts w:ascii="Arial" w:hAnsi="Arial" w:cs="Arial"/>
          <w:color w:val="auto"/>
          <w:sz w:val="22"/>
          <w:szCs w:val="22"/>
        </w:rPr>
        <w:t xml:space="preserve">Maxalt (rizatriptan tablet) – </w:t>
      </w:r>
      <w:r w:rsidRPr="00813F7E">
        <w:rPr>
          <w:rFonts w:ascii="Arial" w:hAnsi="Arial" w:cs="Arial"/>
          <w:b/>
          <w:bCs/>
          <w:color w:val="auto"/>
          <w:sz w:val="22"/>
          <w:szCs w:val="22"/>
        </w:rPr>
        <w:t>PA &gt;</w:t>
      </w:r>
      <w:r>
        <w:rPr>
          <w:rFonts w:ascii="Arial" w:hAnsi="Arial" w:cs="Arial"/>
          <w:b/>
          <w:bCs/>
          <w:color w:val="auto"/>
          <w:sz w:val="22"/>
          <w:szCs w:val="22"/>
        </w:rPr>
        <w:t xml:space="preserve"> </w:t>
      </w:r>
      <w:r w:rsidRPr="00813F7E">
        <w:rPr>
          <w:rFonts w:ascii="Arial" w:hAnsi="Arial" w:cs="Arial"/>
          <w:b/>
          <w:bCs/>
          <w:color w:val="auto"/>
          <w:sz w:val="22"/>
          <w:szCs w:val="22"/>
        </w:rPr>
        <w:t>16 units/30 days</w:t>
      </w:r>
      <w:r w:rsidRPr="00813F7E">
        <w:rPr>
          <w:rFonts w:ascii="Arial" w:hAnsi="Arial" w:cs="Arial"/>
          <w:color w:val="auto"/>
          <w:sz w:val="22"/>
          <w:szCs w:val="22"/>
        </w:rPr>
        <w:t>; #, A90</w:t>
      </w:r>
    </w:p>
    <w:p w14:paraId="439D80A9" w14:textId="77777777" w:rsidR="00A52375" w:rsidRPr="00813F7E" w:rsidRDefault="00A52375" w:rsidP="00A52375">
      <w:pPr>
        <w:pStyle w:val="Default"/>
        <w:numPr>
          <w:ilvl w:val="1"/>
          <w:numId w:val="39"/>
        </w:numPr>
        <w:spacing w:line="276" w:lineRule="auto"/>
        <w:rPr>
          <w:rFonts w:ascii="Arial" w:hAnsi="Arial" w:cs="Arial"/>
          <w:color w:val="auto"/>
          <w:sz w:val="22"/>
          <w:szCs w:val="22"/>
        </w:rPr>
      </w:pPr>
      <w:r w:rsidRPr="00813F7E">
        <w:rPr>
          <w:rFonts w:ascii="Arial" w:hAnsi="Arial" w:cs="Arial"/>
          <w:color w:val="auto"/>
          <w:sz w:val="22"/>
          <w:szCs w:val="22"/>
        </w:rPr>
        <w:t xml:space="preserve">naratriptan – </w:t>
      </w:r>
      <w:r w:rsidRPr="00813F7E">
        <w:rPr>
          <w:rFonts w:ascii="Arial" w:hAnsi="Arial" w:cs="Arial"/>
          <w:b/>
          <w:bCs/>
          <w:color w:val="auto"/>
          <w:sz w:val="22"/>
          <w:szCs w:val="22"/>
        </w:rPr>
        <w:t>PA &gt;</w:t>
      </w:r>
      <w:r>
        <w:rPr>
          <w:rFonts w:ascii="Arial" w:hAnsi="Arial" w:cs="Arial"/>
          <w:b/>
          <w:bCs/>
          <w:color w:val="auto"/>
          <w:sz w:val="22"/>
          <w:szCs w:val="22"/>
        </w:rPr>
        <w:t xml:space="preserve"> </w:t>
      </w:r>
      <w:r w:rsidRPr="00813F7E">
        <w:rPr>
          <w:rFonts w:ascii="Arial" w:hAnsi="Arial" w:cs="Arial"/>
          <w:b/>
          <w:bCs/>
          <w:color w:val="auto"/>
          <w:sz w:val="22"/>
          <w:szCs w:val="22"/>
        </w:rPr>
        <w:t>16 units/30 days</w:t>
      </w:r>
      <w:r w:rsidRPr="00813F7E">
        <w:rPr>
          <w:rFonts w:ascii="Arial" w:hAnsi="Arial" w:cs="Arial"/>
          <w:color w:val="auto"/>
          <w:sz w:val="22"/>
          <w:szCs w:val="22"/>
        </w:rPr>
        <w:t>; A90</w:t>
      </w:r>
    </w:p>
    <w:p w14:paraId="0C5D9BC7" w14:textId="77777777" w:rsidR="00A52375" w:rsidRPr="007463A0" w:rsidRDefault="00A52375" w:rsidP="00A52375">
      <w:pPr>
        <w:pStyle w:val="NoSpacing"/>
        <w:numPr>
          <w:ilvl w:val="1"/>
          <w:numId w:val="39"/>
        </w:numPr>
        <w:spacing w:line="276" w:lineRule="auto"/>
        <w:rPr>
          <w:rFonts w:ascii="Arial" w:hAnsi="Arial" w:cs="Arial"/>
        </w:rPr>
      </w:pPr>
      <w:r w:rsidRPr="00AF1CD8">
        <w:rPr>
          <w:rFonts w:ascii="Arial" w:hAnsi="Arial" w:cs="Arial"/>
        </w:rPr>
        <w:t>sumatriptan 5 mg, 20 mg nasal spray –</w:t>
      </w:r>
      <w:r>
        <w:rPr>
          <w:rFonts w:ascii="Arial" w:hAnsi="Arial" w:cs="Arial"/>
        </w:rPr>
        <w:t xml:space="preserve"> </w:t>
      </w:r>
      <w:r w:rsidRPr="00111F3A">
        <w:rPr>
          <w:rFonts w:ascii="Arial" w:hAnsi="Arial" w:cs="Arial"/>
          <w:b/>
          <w:bCs/>
        </w:rPr>
        <w:t>PA &lt; 6 years and &gt;</w:t>
      </w:r>
      <w:r>
        <w:rPr>
          <w:rFonts w:ascii="Arial" w:hAnsi="Arial" w:cs="Arial"/>
          <w:b/>
          <w:bCs/>
        </w:rPr>
        <w:t xml:space="preserve"> </w:t>
      </w:r>
      <w:r w:rsidRPr="00111F3A">
        <w:rPr>
          <w:rFonts w:ascii="Arial" w:hAnsi="Arial" w:cs="Arial"/>
          <w:b/>
          <w:bCs/>
        </w:rPr>
        <w:t>16 units/30 days</w:t>
      </w:r>
      <w:r w:rsidRPr="00AF1CD8">
        <w:rPr>
          <w:rFonts w:ascii="Arial" w:hAnsi="Arial" w:cs="Arial"/>
        </w:rPr>
        <w:t>; #, A90</w:t>
      </w:r>
    </w:p>
    <w:p w14:paraId="01325204" w14:textId="7E2DE699" w:rsidR="00E24E22" w:rsidRPr="00356564" w:rsidRDefault="00A52375" w:rsidP="00A52375">
      <w:pPr>
        <w:pStyle w:val="ListParagraph"/>
        <w:numPr>
          <w:ilvl w:val="1"/>
          <w:numId w:val="11"/>
        </w:numPr>
        <w:spacing w:line="256" w:lineRule="auto"/>
        <w:ind w:left="1080"/>
        <w:contextualSpacing/>
        <w:rPr>
          <w:rFonts w:cs="Arial"/>
          <w:szCs w:val="22"/>
        </w:rPr>
      </w:pPr>
      <w:proofErr w:type="spellStart"/>
      <w:r w:rsidRPr="008A3193">
        <w:rPr>
          <w:rFonts w:cs="Arial"/>
          <w:szCs w:val="22"/>
        </w:rPr>
        <w:t>Zomig</w:t>
      </w:r>
      <w:proofErr w:type="spellEnd"/>
      <w:r w:rsidRPr="008A3193">
        <w:rPr>
          <w:rFonts w:cs="Arial"/>
          <w:szCs w:val="22"/>
        </w:rPr>
        <w:t xml:space="preserve"> (zolmitriptan tablet) – </w:t>
      </w:r>
      <w:r w:rsidRPr="008A3193">
        <w:rPr>
          <w:rFonts w:cs="Arial"/>
          <w:b/>
          <w:bCs/>
          <w:szCs w:val="22"/>
        </w:rPr>
        <w:t>PA &gt;</w:t>
      </w:r>
      <w:r>
        <w:rPr>
          <w:rFonts w:cs="Arial"/>
          <w:b/>
          <w:bCs/>
          <w:szCs w:val="22"/>
        </w:rPr>
        <w:t xml:space="preserve"> </w:t>
      </w:r>
      <w:r w:rsidRPr="008A3193">
        <w:rPr>
          <w:rFonts w:cs="Arial"/>
          <w:b/>
          <w:bCs/>
          <w:szCs w:val="22"/>
        </w:rPr>
        <w:t>16 units/30 days</w:t>
      </w:r>
      <w:r w:rsidRPr="008A3193">
        <w:rPr>
          <w:rFonts w:cs="Arial"/>
          <w:szCs w:val="22"/>
        </w:rPr>
        <w:t>; #, A90</w:t>
      </w:r>
    </w:p>
    <w:p w14:paraId="2F678278" w14:textId="683444DD" w:rsidR="00E24E22" w:rsidRPr="00E24E22" w:rsidRDefault="00E24E22" w:rsidP="00E24E22">
      <w:pPr>
        <w:pStyle w:val="Heading2"/>
      </w:pPr>
      <w:bookmarkStart w:id="3" w:name="_Hlk527542045"/>
      <w:r w:rsidRPr="00E24E22">
        <w:t>Updated MassHealth Brand Name Preferred Over Generic Drug List</w:t>
      </w:r>
    </w:p>
    <w:bookmarkEnd w:id="3"/>
    <w:p w14:paraId="3105013C" w14:textId="77777777" w:rsidR="00E24E22" w:rsidRPr="00C140B6" w:rsidRDefault="00E24E22" w:rsidP="00E24E22">
      <w:pPr>
        <w:keepNext/>
        <w:keepLines/>
        <w:outlineLvl w:val="0"/>
        <w:rPr>
          <w:rFonts w:eastAsia="Calibri" w:cs="Arial"/>
          <w:color w:val="000000"/>
          <w:szCs w:val="21"/>
        </w:rPr>
      </w:pPr>
      <w:r w:rsidRPr="00C140B6">
        <w:rPr>
          <w:rFonts w:eastAsia="Calibri" w:cs="Arial"/>
          <w:color w:val="000000"/>
          <w:szCs w:val="21"/>
        </w:rPr>
        <w:t>The MassHealth Brand Name Preferred Over Generic Drug List has been updated to reflect recent changes to the MassHealth Drug List.</w:t>
      </w:r>
    </w:p>
    <w:p w14:paraId="0FE99749" w14:textId="77777777" w:rsidR="00A52375" w:rsidRPr="009E0BE3" w:rsidRDefault="00A52375" w:rsidP="00A52375">
      <w:pPr>
        <w:pStyle w:val="Default"/>
        <w:numPr>
          <w:ilvl w:val="0"/>
          <w:numId w:val="40"/>
        </w:numPr>
        <w:spacing w:line="276" w:lineRule="auto"/>
        <w:rPr>
          <w:rFonts w:ascii="Arial" w:hAnsi="Arial" w:cs="Arial"/>
          <w:sz w:val="22"/>
          <w:szCs w:val="21"/>
        </w:rPr>
      </w:pPr>
      <w:r w:rsidRPr="00EE39BD">
        <w:rPr>
          <w:rFonts w:ascii="Arial" w:hAnsi="Arial" w:cs="Arial"/>
          <w:sz w:val="22"/>
          <w:szCs w:val="21"/>
        </w:rPr>
        <w:t xml:space="preserve">Effective </w:t>
      </w:r>
      <w:r w:rsidRPr="00EE39BD">
        <w:rPr>
          <w:rFonts w:ascii="Arial" w:hAnsi="Arial" w:cs="Arial"/>
          <w:color w:val="auto"/>
          <w:sz w:val="22"/>
          <w:szCs w:val="22"/>
        </w:rPr>
        <w:t>November 17, 2025</w:t>
      </w:r>
      <w:r w:rsidRPr="00EE39BD">
        <w:rPr>
          <w:rFonts w:ascii="Arial" w:hAnsi="Arial" w:cs="Arial"/>
          <w:sz w:val="22"/>
          <w:szCs w:val="22"/>
        </w:rPr>
        <w:t xml:space="preserve">, </w:t>
      </w:r>
      <w:r w:rsidRPr="00EE39BD">
        <w:rPr>
          <w:rFonts w:ascii="Arial" w:hAnsi="Arial" w:cs="Arial"/>
          <w:sz w:val="22"/>
          <w:szCs w:val="21"/>
        </w:rPr>
        <w:t>the</w:t>
      </w:r>
      <w:r w:rsidRPr="009E0BE3">
        <w:rPr>
          <w:rFonts w:ascii="Arial" w:hAnsi="Arial" w:cs="Arial"/>
          <w:sz w:val="22"/>
          <w:szCs w:val="21"/>
        </w:rPr>
        <w:t xml:space="preserve"> following agents will be added to the MassHealth Brand Name Preferred Over Generic Drug List. </w:t>
      </w:r>
    </w:p>
    <w:p w14:paraId="0F5D897D" w14:textId="77777777" w:rsidR="00A52375" w:rsidRDefault="00A52375" w:rsidP="00A52375">
      <w:pPr>
        <w:pStyle w:val="Default"/>
        <w:numPr>
          <w:ilvl w:val="0"/>
          <w:numId w:val="6"/>
        </w:numPr>
        <w:spacing w:line="276" w:lineRule="auto"/>
        <w:rPr>
          <w:rFonts w:ascii="Arial" w:hAnsi="Arial" w:cs="Arial"/>
          <w:sz w:val="22"/>
          <w:szCs w:val="22"/>
        </w:rPr>
      </w:pPr>
      <w:bookmarkStart w:id="4" w:name="_Hlk11399419"/>
      <w:bookmarkStart w:id="5" w:name="_Hlk527542710"/>
      <w:proofErr w:type="spellStart"/>
      <w:r w:rsidRPr="001E385D">
        <w:rPr>
          <w:rFonts w:ascii="Arial" w:hAnsi="Arial" w:cs="Arial"/>
          <w:sz w:val="22"/>
          <w:szCs w:val="22"/>
        </w:rPr>
        <w:t>Arnuity</w:t>
      </w:r>
      <w:proofErr w:type="spellEnd"/>
      <w:r w:rsidRPr="001E385D">
        <w:rPr>
          <w:rFonts w:ascii="Arial" w:hAnsi="Arial" w:cs="Arial"/>
          <w:sz w:val="22"/>
          <w:szCs w:val="22"/>
        </w:rPr>
        <w:t xml:space="preserve"> (fluticasone furoate inhalation powder) </w:t>
      </w:r>
      <w:r w:rsidRPr="00B3404E">
        <w:rPr>
          <w:rFonts w:ascii="Arial" w:hAnsi="Arial" w:cs="Arial"/>
          <w:sz w:val="22"/>
          <w:szCs w:val="22"/>
        </w:rPr>
        <w:t>–</w:t>
      </w:r>
      <w:r>
        <w:rPr>
          <w:rFonts w:ascii="Arial" w:hAnsi="Arial" w:cs="Arial"/>
          <w:sz w:val="22"/>
          <w:szCs w:val="22"/>
        </w:rPr>
        <w:t xml:space="preserve"> </w:t>
      </w:r>
      <w:r w:rsidRPr="001E385D">
        <w:rPr>
          <w:rFonts w:ascii="Arial" w:hAnsi="Arial" w:cs="Arial"/>
          <w:sz w:val="22"/>
          <w:szCs w:val="22"/>
        </w:rPr>
        <w:t>BP, A90</w:t>
      </w:r>
    </w:p>
    <w:p w14:paraId="12703C35" w14:textId="77777777" w:rsidR="00A52375" w:rsidRPr="00BB43E5" w:rsidRDefault="00A52375" w:rsidP="00A52375">
      <w:pPr>
        <w:pStyle w:val="Default"/>
        <w:numPr>
          <w:ilvl w:val="0"/>
          <w:numId w:val="6"/>
        </w:numPr>
        <w:spacing w:line="276" w:lineRule="auto"/>
        <w:rPr>
          <w:rFonts w:ascii="Arial" w:hAnsi="Arial" w:cs="Arial"/>
          <w:sz w:val="22"/>
          <w:szCs w:val="22"/>
        </w:rPr>
      </w:pPr>
      <w:r w:rsidRPr="00BB43E5">
        <w:rPr>
          <w:rFonts w:ascii="Arial" w:hAnsi="Arial" w:cs="Arial"/>
          <w:sz w:val="22"/>
          <w:szCs w:val="22"/>
        </w:rPr>
        <w:t xml:space="preserve">Cardura (doxazosin </w:t>
      </w:r>
      <w:proofErr w:type="gramStart"/>
      <w:r w:rsidRPr="00BB43E5">
        <w:rPr>
          <w:rFonts w:ascii="Arial" w:hAnsi="Arial" w:cs="Arial"/>
          <w:sz w:val="22"/>
          <w:szCs w:val="22"/>
        </w:rPr>
        <w:t>immediate-release</w:t>
      </w:r>
      <w:proofErr w:type="gramEnd"/>
      <w:r w:rsidRPr="00BB43E5">
        <w:rPr>
          <w:rFonts w:ascii="Arial" w:hAnsi="Arial" w:cs="Arial"/>
          <w:sz w:val="22"/>
          <w:szCs w:val="22"/>
        </w:rPr>
        <w:t>)</w:t>
      </w:r>
      <w:r>
        <w:rPr>
          <w:rFonts w:ascii="Arial" w:hAnsi="Arial" w:cs="Arial"/>
          <w:sz w:val="22"/>
          <w:szCs w:val="22"/>
        </w:rPr>
        <w:t>; BP, M90</w:t>
      </w:r>
    </w:p>
    <w:p w14:paraId="76C26EC7" w14:textId="77777777" w:rsidR="00A52375" w:rsidRPr="00B3404E" w:rsidRDefault="00A52375" w:rsidP="00A52375">
      <w:pPr>
        <w:pStyle w:val="Default"/>
        <w:numPr>
          <w:ilvl w:val="0"/>
          <w:numId w:val="6"/>
        </w:numPr>
        <w:spacing w:line="276" w:lineRule="auto"/>
        <w:rPr>
          <w:rFonts w:ascii="Arial" w:hAnsi="Arial" w:cs="Arial"/>
          <w:sz w:val="22"/>
          <w:szCs w:val="22"/>
        </w:rPr>
      </w:pPr>
      <w:proofErr w:type="spellStart"/>
      <w:r w:rsidRPr="00B3404E">
        <w:rPr>
          <w:rFonts w:ascii="Arial" w:hAnsi="Arial" w:cs="Arial"/>
          <w:sz w:val="22"/>
          <w:szCs w:val="22"/>
        </w:rPr>
        <w:t>Dificid</w:t>
      </w:r>
      <w:proofErr w:type="spellEnd"/>
      <w:r w:rsidRPr="00B3404E">
        <w:rPr>
          <w:rFonts w:ascii="Arial" w:hAnsi="Arial" w:cs="Arial"/>
          <w:sz w:val="22"/>
          <w:szCs w:val="22"/>
        </w:rPr>
        <w:t xml:space="preserve"> (fidaxomicin</w:t>
      </w:r>
      <w:r>
        <w:rPr>
          <w:rFonts w:ascii="Arial" w:hAnsi="Arial" w:cs="Arial"/>
          <w:sz w:val="22"/>
          <w:szCs w:val="22"/>
        </w:rPr>
        <w:t xml:space="preserve"> tablet</w:t>
      </w:r>
      <w:r w:rsidRPr="00B3404E">
        <w:rPr>
          <w:rFonts w:ascii="Arial" w:hAnsi="Arial" w:cs="Arial"/>
          <w:sz w:val="22"/>
          <w:szCs w:val="22"/>
        </w:rPr>
        <w:t xml:space="preserve">) – </w:t>
      </w:r>
      <w:r w:rsidRPr="00B3404E">
        <w:rPr>
          <w:rFonts w:ascii="Arial" w:hAnsi="Arial" w:cs="Arial"/>
          <w:b/>
          <w:bCs/>
          <w:sz w:val="22"/>
          <w:szCs w:val="22"/>
        </w:rPr>
        <w:t>PA;</w:t>
      </w:r>
      <w:r w:rsidRPr="00B3404E">
        <w:rPr>
          <w:rFonts w:ascii="Arial" w:hAnsi="Arial" w:cs="Arial"/>
          <w:sz w:val="22"/>
          <w:szCs w:val="22"/>
        </w:rPr>
        <w:t xml:space="preserve"> BP</w:t>
      </w:r>
    </w:p>
    <w:p w14:paraId="1C20CAF8" w14:textId="77777777" w:rsidR="00A52375" w:rsidRPr="009178B6" w:rsidRDefault="00A52375" w:rsidP="00A52375">
      <w:pPr>
        <w:pStyle w:val="ListParagraph"/>
        <w:numPr>
          <w:ilvl w:val="0"/>
          <w:numId w:val="6"/>
        </w:numPr>
        <w:spacing w:line="259" w:lineRule="auto"/>
        <w:contextualSpacing/>
        <w:rPr>
          <w:rFonts w:cs="Arial"/>
          <w:color w:val="000000"/>
        </w:rPr>
      </w:pPr>
      <w:bookmarkStart w:id="6" w:name="_Hlk14249184"/>
      <w:bookmarkStart w:id="7" w:name="_Hlk536624120"/>
      <w:bookmarkEnd w:id="4"/>
      <w:bookmarkEnd w:id="5"/>
      <w:proofErr w:type="spellStart"/>
      <w:r w:rsidRPr="009178B6">
        <w:rPr>
          <w:rFonts w:cs="Arial"/>
          <w:color w:val="000000"/>
        </w:rPr>
        <w:t>Timoptic</w:t>
      </w:r>
      <w:proofErr w:type="spellEnd"/>
      <w:r w:rsidRPr="009178B6">
        <w:rPr>
          <w:rFonts w:cs="Arial"/>
          <w:color w:val="000000"/>
        </w:rPr>
        <w:t xml:space="preserve"> </w:t>
      </w:r>
      <w:proofErr w:type="spellStart"/>
      <w:r w:rsidRPr="009178B6">
        <w:rPr>
          <w:rFonts w:cs="Arial"/>
          <w:color w:val="000000"/>
        </w:rPr>
        <w:t>Ocudose</w:t>
      </w:r>
      <w:proofErr w:type="spellEnd"/>
      <w:r w:rsidRPr="009178B6">
        <w:rPr>
          <w:rFonts w:cs="Arial"/>
          <w:color w:val="000000"/>
        </w:rPr>
        <w:t xml:space="preserve"> (timolol 0.25% ophthalmic unit dose solution) – </w:t>
      </w:r>
      <w:r w:rsidRPr="009178B6">
        <w:rPr>
          <w:rFonts w:cs="Arial"/>
          <w:b/>
          <w:bCs/>
          <w:color w:val="000000"/>
        </w:rPr>
        <w:t>PA</w:t>
      </w:r>
      <w:r w:rsidRPr="009178B6">
        <w:rPr>
          <w:rFonts w:cs="Arial"/>
          <w:color w:val="000000"/>
        </w:rPr>
        <w:t>; BP</w:t>
      </w:r>
      <w:r>
        <w:rPr>
          <w:rFonts w:cs="Arial"/>
          <w:color w:val="000000"/>
        </w:rPr>
        <w:t>,</w:t>
      </w:r>
      <w:r w:rsidRPr="009178B6">
        <w:rPr>
          <w:rFonts w:cs="Arial"/>
          <w:color w:val="000000"/>
        </w:rPr>
        <w:t xml:space="preserve"> M90</w:t>
      </w:r>
    </w:p>
    <w:p w14:paraId="31175D8B" w14:textId="77777777" w:rsidR="00A52375" w:rsidRPr="009E0BE3" w:rsidRDefault="00A52375" w:rsidP="00A52375">
      <w:pPr>
        <w:pStyle w:val="Default"/>
        <w:numPr>
          <w:ilvl w:val="0"/>
          <w:numId w:val="6"/>
        </w:numPr>
        <w:spacing w:line="276" w:lineRule="auto"/>
        <w:rPr>
          <w:rFonts w:ascii="Arial" w:hAnsi="Arial" w:cs="Arial"/>
          <w:sz w:val="22"/>
          <w:szCs w:val="22"/>
        </w:rPr>
      </w:pPr>
      <w:r w:rsidRPr="009E0BE3">
        <w:rPr>
          <w:rFonts w:ascii="Arial" w:hAnsi="Arial" w:cs="Arial"/>
          <w:sz w:val="22"/>
          <w:szCs w:val="22"/>
        </w:rPr>
        <w:t xml:space="preserve">Xarelto (rivaroxaban suspension) </w:t>
      </w:r>
      <w:r>
        <w:rPr>
          <w:rFonts w:ascii="Arial" w:hAnsi="Arial" w:cs="Arial"/>
          <w:sz w:val="22"/>
          <w:szCs w:val="22"/>
        </w:rPr>
        <w:t xml:space="preserve">– </w:t>
      </w:r>
      <w:r w:rsidRPr="007C623C">
        <w:rPr>
          <w:rFonts w:ascii="Arial" w:hAnsi="Arial" w:cs="Arial"/>
          <w:b/>
          <w:bCs/>
          <w:sz w:val="22"/>
          <w:szCs w:val="22"/>
        </w:rPr>
        <w:t>PA ≥ 18 years</w:t>
      </w:r>
      <w:r w:rsidRPr="009E0BE3">
        <w:rPr>
          <w:rFonts w:ascii="Arial" w:hAnsi="Arial" w:cs="Arial"/>
          <w:sz w:val="22"/>
          <w:szCs w:val="22"/>
        </w:rPr>
        <w:t>; BP</w:t>
      </w:r>
      <w:r>
        <w:rPr>
          <w:rFonts w:ascii="Arial" w:hAnsi="Arial" w:cs="Arial"/>
          <w:sz w:val="22"/>
          <w:szCs w:val="22"/>
        </w:rPr>
        <w:t>, A90</w:t>
      </w:r>
    </w:p>
    <w:p w14:paraId="686C61FA" w14:textId="77777777" w:rsidR="00A52375" w:rsidRPr="00406144" w:rsidRDefault="00A52375" w:rsidP="00A52375">
      <w:pPr>
        <w:pStyle w:val="Default"/>
        <w:numPr>
          <w:ilvl w:val="0"/>
          <w:numId w:val="6"/>
        </w:numPr>
        <w:spacing w:line="276" w:lineRule="auto"/>
        <w:rPr>
          <w:rFonts w:ascii="Arial" w:hAnsi="Arial" w:cs="Arial"/>
          <w:sz w:val="22"/>
          <w:szCs w:val="22"/>
        </w:rPr>
      </w:pPr>
      <w:r w:rsidRPr="00406144">
        <w:rPr>
          <w:rFonts w:ascii="Arial" w:hAnsi="Arial" w:cs="Arial"/>
          <w:sz w:val="22"/>
          <w:szCs w:val="22"/>
        </w:rPr>
        <w:t>Xopenex HFA (levalbuterol inhaler); BP, A90</w:t>
      </w:r>
    </w:p>
    <w:p w14:paraId="20F7B4C6" w14:textId="77777777" w:rsidR="00A52375" w:rsidRPr="0008776F" w:rsidRDefault="00A52375" w:rsidP="00A52375">
      <w:pPr>
        <w:pStyle w:val="Default"/>
        <w:numPr>
          <w:ilvl w:val="0"/>
          <w:numId w:val="40"/>
        </w:numPr>
        <w:spacing w:line="276" w:lineRule="auto"/>
        <w:rPr>
          <w:rFonts w:ascii="Arial" w:hAnsi="Arial" w:cs="Arial"/>
          <w:sz w:val="22"/>
          <w:szCs w:val="21"/>
        </w:rPr>
      </w:pPr>
      <w:r w:rsidRPr="0008776F">
        <w:rPr>
          <w:rFonts w:ascii="Arial" w:hAnsi="Arial" w:cs="Arial"/>
          <w:sz w:val="22"/>
          <w:szCs w:val="21"/>
        </w:rPr>
        <w:t xml:space="preserve">Effective </w:t>
      </w:r>
      <w:r w:rsidRPr="00D7131C">
        <w:rPr>
          <w:rFonts w:ascii="Arial" w:hAnsi="Arial" w:cs="Arial"/>
          <w:color w:val="auto"/>
          <w:sz w:val="22"/>
          <w:szCs w:val="22"/>
        </w:rPr>
        <w:t>November 17, 2025</w:t>
      </w:r>
      <w:r>
        <w:rPr>
          <w:rFonts w:ascii="Arial" w:hAnsi="Arial" w:cs="Arial"/>
          <w:color w:val="auto"/>
          <w:sz w:val="22"/>
          <w:szCs w:val="22"/>
        </w:rPr>
        <w:t xml:space="preserve">, </w:t>
      </w:r>
      <w:r w:rsidRPr="0008776F">
        <w:rPr>
          <w:rFonts w:ascii="Arial" w:hAnsi="Arial" w:cs="Arial"/>
          <w:sz w:val="22"/>
          <w:szCs w:val="21"/>
        </w:rPr>
        <w:t xml:space="preserve">the following agents will be removed from the MassHealth Brand Name Preferred Over Generic Drug List. </w:t>
      </w:r>
    </w:p>
    <w:bookmarkEnd w:id="6"/>
    <w:p w14:paraId="59DEDA8F" w14:textId="77777777" w:rsidR="00A52375" w:rsidRPr="0008776F" w:rsidRDefault="00A52375" w:rsidP="00A52375">
      <w:pPr>
        <w:pStyle w:val="ListParagraph"/>
        <w:numPr>
          <w:ilvl w:val="0"/>
          <w:numId w:val="31"/>
        </w:numPr>
        <w:spacing w:line="259" w:lineRule="auto"/>
        <w:ind w:left="1080"/>
        <w:contextualSpacing/>
        <w:rPr>
          <w:rFonts w:cs="Arial"/>
          <w:color w:val="000000"/>
        </w:rPr>
      </w:pPr>
      <w:proofErr w:type="spellStart"/>
      <w:r w:rsidRPr="0008776F">
        <w:rPr>
          <w:rFonts w:cs="Arial"/>
          <w:color w:val="000000"/>
        </w:rPr>
        <w:t>Airduo</w:t>
      </w:r>
      <w:proofErr w:type="spellEnd"/>
      <w:r w:rsidRPr="0008776F">
        <w:rPr>
          <w:rFonts w:cs="Arial"/>
          <w:color w:val="000000"/>
        </w:rPr>
        <w:t xml:space="preserve"> </w:t>
      </w:r>
      <w:proofErr w:type="spellStart"/>
      <w:r w:rsidRPr="0008776F">
        <w:rPr>
          <w:rFonts w:cs="Arial"/>
          <w:color w:val="000000"/>
        </w:rPr>
        <w:t>Respiclick</w:t>
      </w:r>
      <w:proofErr w:type="spellEnd"/>
      <w:r w:rsidRPr="0008776F">
        <w:rPr>
          <w:rFonts w:cs="Arial"/>
          <w:color w:val="000000"/>
        </w:rPr>
        <w:t xml:space="preserve"> (fluticasone/salmeterol inhalation powder) </w:t>
      </w:r>
      <w:r w:rsidRPr="0008776F">
        <w:rPr>
          <w:rFonts w:eastAsia="Calibri" w:cs="Arial"/>
        </w:rPr>
        <w:t xml:space="preserve">– </w:t>
      </w:r>
      <w:r w:rsidRPr="0008776F">
        <w:rPr>
          <w:rFonts w:eastAsia="Calibri" w:cs="Arial"/>
          <w:b/>
          <w:bCs/>
        </w:rPr>
        <w:t>PA</w:t>
      </w:r>
      <w:r w:rsidRPr="0008776F">
        <w:rPr>
          <w:rFonts w:cs="Arial"/>
        </w:rPr>
        <w:t>; A90</w:t>
      </w:r>
    </w:p>
    <w:bookmarkEnd w:id="7"/>
    <w:p w14:paraId="5573767E" w14:textId="77777777" w:rsidR="00A52375" w:rsidRPr="00DA4FC9" w:rsidRDefault="00A52375" w:rsidP="00A52375">
      <w:pPr>
        <w:pStyle w:val="ListParagraph"/>
        <w:numPr>
          <w:ilvl w:val="0"/>
          <w:numId w:val="16"/>
        </w:numPr>
        <w:spacing w:line="259" w:lineRule="auto"/>
        <w:contextualSpacing/>
        <w:rPr>
          <w:rFonts w:cs="Arial"/>
          <w:color w:val="000000"/>
        </w:rPr>
      </w:pPr>
      <w:r w:rsidRPr="00DA4FC9">
        <w:rPr>
          <w:rFonts w:cs="Arial"/>
          <w:color w:val="000000"/>
        </w:rPr>
        <w:t xml:space="preserve">Pradaxa (dabigatran capsule); </w:t>
      </w:r>
      <w:r>
        <w:rPr>
          <w:rFonts w:cs="Arial"/>
          <w:color w:val="000000"/>
        </w:rPr>
        <w:t xml:space="preserve">#, </w:t>
      </w:r>
      <w:r w:rsidRPr="00DA4FC9">
        <w:rPr>
          <w:rFonts w:cs="Arial"/>
          <w:color w:val="000000"/>
        </w:rPr>
        <w:t>M90</w:t>
      </w:r>
    </w:p>
    <w:p w14:paraId="3D8E4DED" w14:textId="77777777" w:rsidR="009F3823" w:rsidRDefault="00A52375" w:rsidP="00A52375">
      <w:pPr>
        <w:pStyle w:val="ListParagraph"/>
        <w:numPr>
          <w:ilvl w:val="0"/>
          <w:numId w:val="16"/>
        </w:numPr>
        <w:spacing w:line="259" w:lineRule="auto"/>
        <w:contextualSpacing/>
        <w:rPr>
          <w:rFonts w:cs="Arial"/>
        </w:rPr>
      </w:pPr>
      <w:proofErr w:type="spellStart"/>
      <w:r w:rsidRPr="00F8523A">
        <w:rPr>
          <w:rFonts w:cs="Arial"/>
          <w:color w:val="000000"/>
        </w:rPr>
        <w:t>Qudexy</w:t>
      </w:r>
      <w:proofErr w:type="spellEnd"/>
      <w:r w:rsidRPr="00F8523A">
        <w:rPr>
          <w:rFonts w:cs="Arial"/>
          <w:color w:val="000000"/>
        </w:rPr>
        <w:t xml:space="preserve"> XR (topiramate extended-release capsule) </w:t>
      </w:r>
      <w:r w:rsidRPr="00F8523A">
        <w:rPr>
          <w:rFonts w:eastAsia="Calibri" w:cs="Arial"/>
        </w:rPr>
        <w:t xml:space="preserve">– </w:t>
      </w:r>
      <w:r w:rsidRPr="00F8523A">
        <w:rPr>
          <w:rFonts w:eastAsia="Calibri" w:cs="Arial"/>
          <w:b/>
          <w:bCs/>
        </w:rPr>
        <w:t>PA &lt;</w:t>
      </w:r>
      <w:r>
        <w:rPr>
          <w:rFonts w:eastAsia="Calibri" w:cs="Arial"/>
          <w:b/>
          <w:bCs/>
        </w:rPr>
        <w:t xml:space="preserve"> </w:t>
      </w:r>
      <w:r w:rsidRPr="00F8523A">
        <w:rPr>
          <w:rFonts w:eastAsia="Calibri" w:cs="Arial"/>
          <w:b/>
          <w:bCs/>
        </w:rPr>
        <w:t>6 years</w:t>
      </w:r>
      <w:r w:rsidRPr="00F8523A">
        <w:rPr>
          <w:rFonts w:cs="Arial"/>
        </w:rPr>
        <w:t xml:space="preserve">; </w:t>
      </w:r>
      <w:r>
        <w:rPr>
          <w:rFonts w:cs="Arial"/>
        </w:rPr>
        <w:t xml:space="preserve">#, </w:t>
      </w:r>
      <w:r w:rsidRPr="00F8523A">
        <w:rPr>
          <w:rFonts w:cs="Arial"/>
        </w:rPr>
        <w:t>A90</w:t>
      </w:r>
    </w:p>
    <w:p w14:paraId="10B06064" w14:textId="77777777" w:rsidR="00360197" w:rsidRDefault="00360197" w:rsidP="00A52375">
      <w:pPr>
        <w:pStyle w:val="ListParagraph"/>
        <w:numPr>
          <w:ilvl w:val="0"/>
          <w:numId w:val="16"/>
        </w:numPr>
        <w:spacing w:line="259" w:lineRule="auto"/>
        <w:contextualSpacing/>
        <w:rPr>
          <w:rFonts w:cs="Arial"/>
        </w:rPr>
        <w:sectPr w:rsidR="00360197" w:rsidSect="00A946BB">
          <w:headerReference w:type="default" r:id="rId13"/>
          <w:footerReference w:type="default" r:id="rId14"/>
          <w:type w:val="continuous"/>
          <w:pgSz w:w="12240" w:h="15840" w:code="1"/>
          <w:pgMar w:top="360" w:right="907" w:bottom="446" w:left="907" w:header="0" w:footer="576" w:gutter="0"/>
          <w:cols w:space="720"/>
          <w:docGrid w:linePitch="360"/>
        </w:sectPr>
      </w:pPr>
    </w:p>
    <w:p w14:paraId="55E1021F" w14:textId="77777777" w:rsidR="00E24E22" w:rsidRPr="00E24E22" w:rsidRDefault="00E24E22" w:rsidP="00E24E22">
      <w:pPr>
        <w:pStyle w:val="Heading2"/>
      </w:pPr>
      <w:r w:rsidRPr="00E24E22">
        <w:lastRenderedPageBreak/>
        <w:t>Updated MassHealth 90-day Initiative</w:t>
      </w:r>
    </w:p>
    <w:p w14:paraId="44FAEB42" w14:textId="77777777" w:rsidR="00A52375" w:rsidRPr="006906FE" w:rsidRDefault="00A52375" w:rsidP="00A52375">
      <w:pPr>
        <w:rPr>
          <w:rFonts w:cs="Arial"/>
          <w:szCs w:val="21"/>
        </w:rPr>
      </w:pPr>
      <w:r w:rsidRPr="006906FE">
        <w:rPr>
          <w:rFonts w:cs="Arial"/>
          <w:szCs w:val="21"/>
        </w:rPr>
        <w:t xml:space="preserve">Effective </w:t>
      </w:r>
      <w:r w:rsidRPr="006906FE">
        <w:rPr>
          <w:rFonts w:cs="Arial"/>
        </w:rPr>
        <w:t>November 17, 2025, the following agents will no longer be allowed or mandated to be dispensed in up to a 90-day supply, as indicated below</w:t>
      </w:r>
      <w:r w:rsidRPr="006906FE">
        <w:rPr>
          <w:rFonts w:cs="Arial"/>
          <w:szCs w:val="21"/>
        </w:rPr>
        <w:t>.</w:t>
      </w:r>
    </w:p>
    <w:p w14:paraId="69202E6C" w14:textId="77777777" w:rsidR="00A52375" w:rsidRPr="00FA501C" w:rsidRDefault="00A52375" w:rsidP="00A52375">
      <w:pPr>
        <w:pStyle w:val="Default"/>
        <w:numPr>
          <w:ilvl w:val="1"/>
          <w:numId w:val="41"/>
        </w:numPr>
        <w:spacing w:line="276" w:lineRule="auto"/>
        <w:ind w:left="720"/>
        <w:rPr>
          <w:rFonts w:ascii="Arial" w:hAnsi="Arial" w:cs="Arial"/>
          <w:sz w:val="22"/>
          <w:szCs w:val="21"/>
        </w:rPr>
      </w:pPr>
      <w:r w:rsidRPr="00FA501C">
        <w:rPr>
          <w:rFonts w:ascii="Arial" w:hAnsi="Arial" w:cs="Arial"/>
          <w:sz w:val="22"/>
          <w:szCs w:val="21"/>
        </w:rPr>
        <w:t xml:space="preserve">methocarbamol 1,000 mg tablet – </w:t>
      </w:r>
      <w:r w:rsidRPr="00FA501C">
        <w:rPr>
          <w:rFonts w:ascii="Arial" w:hAnsi="Arial" w:cs="Arial"/>
          <w:b/>
          <w:bCs/>
          <w:sz w:val="22"/>
          <w:szCs w:val="21"/>
        </w:rPr>
        <w:t>PA</w:t>
      </w:r>
      <w:r w:rsidRPr="00FA501C">
        <w:rPr>
          <w:rFonts w:ascii="Arial" w:hAnsi="Arial" w:cs="Arial"/>
          <w:sz w:val="22"/>
          <w:szCs w:val="21"/>
        </w:rPr>
        <w:t xml:space="preserve"> </w:t>
      </w:r>
    </w:p>
    <w:p w14:paraId="43451928" w14:textId="671840BD" w:rsidR="00E24E22" w:rsidRDefault="00E24E22" w:rsidP="00E24E22">
      <w:pPr>
        <w:pStyle w:val="Heading2"/>
      </w:pPr>
      <w:r w:rsidRPr="00E24E22">
        <w:t xml:space="preserve">Abbreviations, Acronyms, and Symbols </w:t>
      </w:r>
    </w:p>
    <w:p w14:paraId="6077A1E5" w14:textId="6E5AD72A" w:rsidR="00E24E22" w:rsidRPr="006D72AD" w:rsidRDefault="00E24E22" w:rsidP="00BB1FDB">
      <w:pPr>
        <w:shd w:val="clear" w:color="auto" w:fill="FFFFFF"/>
        <w:tabs>
          <w:tab w:val="left" w:pos="180"/>
          <w:tab w:val="left" w:pos="360"/>
        </w:tabs>
        <w:spacing w:after="160" w:line="240" w:lineRule="auto"/>
        <w:ind w:left="274" w:hanging="360"/>
        <w:rPr>
          <w:sz w:val="18"/>
          <w:szCs w:val="18"/>
        </w:rPr>
      </w:pPr>
      <w:r w:rsidRPr="006D72AD">
        <w:rPr>
          <w:sz w:val="18"/>
          <w:szCs w:val="18"/>
        </w:rPr>
        <w:t># Designates a brand-name drug with FDA “A”-rated generic equivalents. Prior authorization is required for the brand, unless</w:t>
      </w:r>
      <w:r w:rsidR="007B76EB" w:rsidRPr="006D72AD">
        <w:rPr>
          <w:sz w:val="18"/>
          <w:szCs w:val="18"/>
        </w:rPr>
        <w:t xml:space="preserve"> </w:t>
      </w:r>
      <w:r w:rsidRPr="006D72AD">
        <w:rPr>
          <w:sz w:val="18"/>
          <w:szCs w:val="18"/>
        </w:rPr>
        <w:t>a</w:t>
      </w:r>
      <w:r w:rsidR="007B76EB" w:rsidRPr="006D72AD">
        <w:rPr>
          <w:sz w:val="18"/>
          <w:szCs w:val="18"/>
        </w:rPr>
        <w:t xml:space="preserve"> </w:t>
      </w:r>
      <w:r w:rsidRPr="006D72AD">
        <w:rPr>
          <w:sz w:val="18"/>
          <w:szCs w:val="18"/>
        </w:rPr>
        <w:t xml:space="preserve">particular form of that drug (for example, tablet, capsule, or liquid) does not have an FDA “A”-rated generic equivalent. </w:t>
      </w:r>
    </w:p>
    <w:p w14:paraId="75A11300" w14:textId="5B90FEDB" w:rsidR="00E24E22" w:rsidRPr="006D72AD" w:rsidRDefault="00E24E22" w:rsidP="00F73811">
      <w:pPr>
        <w:shd w:val="clear" w:color="auto" w:fill="FFFFFF"/>
        <w:tabs>
          <w:tab w:val="left" w:pos="180"/>
          <w:tab w:val="left" w:pos="360"/>
        </w:tabs>
        <w:spacing w:after="160"/>
        <w:ind w:left="274" w:hanging="360"/>
        <w:rPr>
          <w:sz w:val="18"/>
          <w:szCs w:val="18"/>
        </w:rPr>
      </w:pPr>
      <w:r w:rsidRPr="006D72AD">
        <w:rPr>
          <w:sz w:val="18"/>
          <w:szCs w:val="18"/>
        </w:rPr>
        <w:t xml:space="preserve">CO Carve-Out. This agent is listed on the Acute Hospital Carve-Out Drugs List and is subject to additional monitoring and </w:t>
      </w:r>
      <w:proofErr w:type="gramStart"/>
      <w:r w:rsidRPr="006D72AD">
        <w:rPr>
          <w:sz w:val="18"/>
          <w:szCs w:val="18"/>
        </w:rPr>
        <w:t>billing</w:t>
      </w:r>
      <w:r w:rsidR="00F955CA" w:rsidRPr="006D72AD">
        <w:rPr>
          <w:sz w:val="18"/>
          <w:szCs w:val="18"/>
        </w:rPr>
        <w:t xml:space="preserve">  </w:t>
      </w:r>
      <w:r w:rsidRPr="006D72AD">
        <w:rPr>
          <w:sz w:val="18"/>
          <w:szCs w:val="18"/>
        </w:rPr>
        <w:t>requirements</w:t>
      </w:r>
      <w:proofErr w:type="gramEnd"/>
      <w:r w:rsidRPr="006D72AD">
        <w:rPr>
          <w:sz w:val="18"/>
          <w:szCs w:val="18"/>
        </w:rPr>
        <w:t>. All requests for one-time cell and gene therapies (as listed on the Acute Hospital Carve-Out Drug List), including for members enrolled in an Accountable Care Partnership Plan (ACPP) or Managed Care Organization (MCO), will be reviewed by the MassHealth Drug Utilization Review (DUR) Program.</w:t>
      </w:r>
    </w:p>
    <w:p w14:paraId="3F62E2B5" w14:textId="77777777" w:rsidR="00E24E22" w:rsidRPr="006D72AD" w:rsidRDefault="00E24E22" w:rsidP="00F73811">
      <w:pPr>
        <w:shd w:val="clear" w:color="auto" w:fill="FFFFFF"/>
        <w:tabs>
          <w:tab w:val="left" w:pos="180"/>
          <w:tab w:val="left" w:pos="360"/>
        </w:tabs>
        <w:spacing w:after="160"/>
        <w:ind w:left="274" w:hanging="360"/>
        <w:rPr>
          <w:sz w:val="18"/>
          <w:szCs w:val="18"/>
        </w:rPr>
      </w:pPr>
      <w:r w:rsidRPr="006D72AD">
        <w:rPr>
          <w:sz w:val="18"/>
          <w:szCs w:val="18"/>
        </w:rPr>
        <w:t>MB This drug is available through the healthcare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4A7B8722" w14:textId="77777777" w:rsidR="00E24E22" w:rsidRPr="006D72AD" w:rsidRDefault="00E24E22" w:rsidP="00F82CB3">
      <w:pPr>
        <w:shd w:val="clear" w:color="auto" w:fill="FFFFFF"/>
        <w:tabs>
          <w:tab w:val="left" w:pos="180"/>
          <w:tab w:val="left" w:pos="360"/>
        </w:tabs>
        <w:spacing w:after="160" w:line="240" w:lineRule="auto"/>
        <w:ind w:left="274" w:hanging="360"/>
        <w:rPr>
          <w:sz w:val="18"/>
          <w:szCs w:val="18"/>
        </w:rPr>
      </w:pPr>
      <w:r w:rsidRPr="006D72AD">
        <w:rPr>
          <w:sz w:val="18"/>
          <w:szCs w:val="18"/>
        </w:rPr>
        <w:t xml:space="preserve">PA Prior authorization is required. The prescriber must obtain PA for the drug </w:t>
      </w:r>
      <w:proofErr w:type="gramStart"/>
      <w:r w:rsidRPr="006D72AD">
        <w:rPr>
          <w:sz w:val="18"/>
          <w:szCs w:val="18"/>
        </w:rPr>
        <w:t>in order for</w:t>
      </w:r>
      <w:proofErr w:type="gramEnd"/>
      <w:r w:rsidRPr="006D72AD">
        <w:rPr>
          <w:sz w:val="18"/>
          <w:szCs w:val="18"/>
        </w:rPr>
        <w:t xml:space="preserve"> the provider to receive reimbursement. Note: PA applies to both the brand-name and the FDA “A”-rated generic equivalent of listed product. </w:t>
      </w:r>
    </w:p>
    <w:p w14:paraId="7FFBFD56" w14:textId="77777777" w:rsidR="00E24E22" w:rsidRPr="006D72AD" w:rsidRDefault="00E24E22" w:rsidP="00F82CB3">
      <w:pPr>
        <w:shd w:val="clear" w:color="auto" w:fill="FFFFFF"/>
        <w:tabs>
          <w:tab w:val="left" w:pos="180"/>
          <w:tab w:val="left" w:pos="360"/>
        </w:tabs>
        <w:spacing w:after="160" w:line="240" w:lineRule="auto"/>
        <w:ind w:left="274" w:hanging="360"/>
        <w:rPr>
          <w:sz w:val="18"/>
          <w:szCs w:val="18"/>
        </w:rPr>
      </w:pPr>
      <w:r w:rsidRPr="006D72AD">
        <w:rPr>
          <w:sz w:val="18"/>
          <w:szCs w:val="18"/>
        </w:rPr>
        <w:t>A90</w:t>
      </w:r>
      <w:r w:rsidRPr="00BB1FDB">
        <w:rPr>
          <w:sz w:val="18"/>
          <w:szCs w:val="18"/>
        </w:rPr>
        <w:t xml:space="preserve"> </w:t>
      </w:r>
      <w:r w:rsidRPr="006D72AD">
        <w:rPr>
          <w:sz w:val="18"/>
          <w:szCs w:val="18"/>
        </w:rPr>
        <w:t xml:space="preserve">Allowable 90-day supply. </w:t>
      </w:r>
      <w:proofErr w:type="gramStart"/>
      <w:r w:rsidRPr="006D72AD">
        <w:rPr>
          <w:sz w:val="18"/>
          <w:szCs w:val="18"/>
        </w:rPr>
        <w:t>Dispensing in</w:t>
      </w:r>
      <w:proofErr w:type="gramEnd"/>
      <w:r w:rsidRPr="006D72AD">
        <w:rPr>
          <w:sz w:val="18"/>
          <w:szCs w:val="18"/>
        </w:rPr>
        <w:t xml:space="preserve"> up to a 90-day supply is allowed. May not include all strengths or formulations. Quantity limits and other restrictions may apply. </w:t>
      </w:r>
    </w:p>
    <w:p w14:paraId="0132D238" w14:textId="77777777" w:rsidR="00E24E22" w:rsidRPr="006D72AD" w:rsidRDefault="00E24E22" w:rsidP="00F82CB3">
      <w:pPr>
        <w:shd w:val="clear" w:color="auto" w:fill="FFFFFF"/>
        <w:tabs>
          <w:tab w:val="left" w:pos="180"/>
          <w:tab w:val="left" w:pos="360"/>
        </w:tabs>
        <w:spacing w:after="160" w:line="240" w:lineRule="auto"/>
        <w:ind w:left="274" w:hanging="360"/>
        <w:rPr>
          <w:sz w:val="18"/>
          <w:szCs w:val="18"/>
        </w:rPr>
      </w:pPr>
      <w:r w:rsidRPr="006D72AD">
        <w:rPr>
          <w:sz w:val="18"/>
          <w:szCs w:val="18"/>
        </w:rPr>
        <w:t>BP Brand Preferred over generic equivalents. In general, MassHealth requires a trial of the preferred drug or clinical rationale for prescribing the non-preferred drug generic equivalent.</w:t>
      </w:r>
    </w:p>
    <w:p w14:paraId="15B75921" w14:textId="77777777" w:rsidR="00E24E22" w:rsidRPr="006D72AD" w:rsidRDefault="00E24E22" w:rsidP="00F82CB3">
      <w:pPr>
        <w:shd w:val="clear" w:color="auto" w:fill="FFFFFF"/>
        <w:tabs>
          <w:tab w:val="left" w:pos="180"/>
          <w:tab w:val="left" w:pos="360"/>
        </w:tabs>
        <w:spacing w:after="160" w:line="240" w:lineRule="auto"/>
        <w:ind w:left="274" w:hanging="360"/>
        <w:rPr>
          <w:sz w:val="18"/>
          <w:szCs w:val="18"/>
        </w:rPr>
      </w:pPr>
      <w:bookmarkStart w:id="8" w:name="_Hlk99013636"/>
      <w:r w:rsidRPr="006D72AD">
        <w:rPr>
          <w:sz w:val="18"/>
          <w:szCs w:val="18"/>
        </w:rPr>
        <w:t xml:space="preserve">M90 Mandatory 90-day supply. After dispensing up to a 30-day supply initial fill, dispensing in a 90-day supply is required. May not include all strengths or formulations. Quantity limits and other restrictions may also apply. </w:t>
      </w:r>
    </w:p>
    <w:p w14:paraId="713969F9" w14:textId="1487C1B5" w:rsidR="00A650DC" w:rsidRDefault="00E24E22" w:rsidP="00F82CB3">
      <w:pPr>
        <w:spacing w:after="120" w:line="240" w:lineRule="auto"/>
        <w:ind w:left="270" w:hanging="360"/>
        <w:rPr>
          <w:sz w:val="18"/>
          <w:szCs w:val="18"/>
        </w:rPr>
      </w:pPr>
      <w:proofErr w:type="gramStart"/>
      <w:r w:rsidRPr="006D72AD">
        <w:rPr>
          <w:rFonts w:eastAsia="Calibri" w:cs="Arial"/>
          <w:bCs/>
          <w:sz w:val="18"/>
          <w:szCs w:val="18"/>
        </w:rPr>
        <w:t>PD</w:t>
      </w:r>
      <w:proofErr w:type="gramEnd"/>
      <w:r w:rsidRPr="006D72AD">
        <w:rPr>
          <w:rFonts w:eastAsia="Calibri" w:cs="Arial"/>
          <w:bCs/>
          <w:szCs w:val="22"/>
        </w:rPr>
        <w:t xml:space="preserve"> </w:t>
      </w:r>
      <w:r w:rsidRPr="006D72AD">
        <w:rPr>
          <w:rFonts w:eastAsia="Calibri" w:cs="Arial"/>
          <w:sz w:val="18"/>
          <w:szCs w:val="18"/>
        </w:rPr>
        <w:t xml:space="preserve">Preferred Drug. In general, MassHealth requires a trial of the preferred drug or clinical rationale for prescribing a non-preferred </w:t>
      </w:r>
      <w:r w:rsidRPr="00BB1FDB">
        <w:rPr>
          <w:sz w:val="18"/>
          <w:szCs w:val="18"/>
        </w:rPr>
        <w:t>drug within a therapeutic class.</w:t>
      </w:r>
      <w:bookmarkEnd w:id="8"/>
    </w:p>
    <w:p w14:paraId="2A6481CC" w14:textId="77777777" w:rsidR="006A269D" w:rsidRDefault="00A52375" w:rsidP="00F82CB3">
      <w:pPr>
        <w:spacing w:after="120" w:line="240" w:lineRule="auto"/>
        <w:ind w:left="270" w:hanging="360"/>
        <w:rPr>
          <w:rFonts w:eastAsia="Calibri" w:cs="Arial"/>
          <w:bCs/>
          <w:sz w:val="18"/>
          <w:szCs w:val="18"/>
        </w:rPr>
        <w:sectPr w:rsidR="006A269D" w:rsidSect="00360197">
          <w:footerReference w:type="default" r:id="rId15"/>
          <w:pgSz w:w="12240" w:h="15840" w:code="1"/>
          <w:pgMar w:top="360" w:right="907" w:bottom="446" w:left="907" w:header="0" w:footer="576" w:gutter="0"/>
          <w:cols w:space="720"/>
          <w:docGrid w:linePitch="360"/>
        </w:sectPr>
      </w:pPr>
      <w:r w:rsidRPr="00A52375">
        <w:rPr>
          <w:rFonts w:eastAsia="Calibri" w:cs="Arial"/>
          <w:bCs/>
          <w:sz w:val="18"/>
          <w:szCs w:val="18"/>
        </w:rPr>
        <w:t xml:space="preserve">1 </w:t>
      </w:r>
      <w:r>
        <w:rPr>
          <w:rFonts w:eastAsia="Calibri" w:cs="Arial"/>
          <w:bCs/>
          <w:sz w:val="18"/>
          <w:szCs w:val="18"/>
        </w:rPr>
        <w:tab/>
      </w:r>
      <w:r w:rsidRPr="00A52375">
        <w:rPr>
          <w:rFonts w:eastAsia="Calibri" w:cs="Arial"/>
          <w:bCs/>
          <w:sz w:val="18"/>
          <w:szCs w:val="18"/>
        </w:rPr>
        <w:t>Product may be available through the Massachusetts Department of Public Health (DPH). Please check with DPH for availability. MassHealth does not pay for immunizing biologicals (i.e., vaccines) and tubercular (TB) drugs that are available free of charge through local boards of public health or through the Massachusetts Department of Public Health without PA (130 CMR 406.413(C)). In cases where free vaccines are available to providers for specific populations (e.g. children, high risk, etc.), MassHealth will reimburse the provider only for individuals not eligible for the free vaccines. Notwithstanding the above, MassHealth will pay pharmacies for seasonal flu vaccine serum without PA, if the vaccine is administered in the pharmacy.</w:t>
      </w:r>
    </w:p>
    <w:p w14:paraId="5FA4356C" w14:textId="7B170304" w:rsidR="00A52375" w:rsidRPr="00A52375" w:rsidRDefault="00A52375" w:rsidP="00F82CB3">
      <w:pPr>
        <w:spacing w:after="120" w:line="240" w:lineRule="auto"/>
        <w:ind w:left="270" w:hanging="360"/>
        <w:rPr>
          <w:rFonts w:eastAsia="Calibri" w:cs="Arial"/>
          <w:bCs/>
          <w:sz w:val="18"/>
          <w:szCs w:val="18"/>
        </w:rPr>
      </w:pPr>
    </w:p>
    <w:sectPr w:rsidR="00A52375" w:rsidRPr="00A52375" w:rsidSect="00EC7147">
      <w:type w:val="continuous"/>
      <w:pgSz w:w="12240" w:h="15840" w:code="1"/>
      <w:pgMar w:top="360" w:right="907" w:bottom="446" w:left="907"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22B6" w14:textId="77777777" w:rsidR="00BF1867" w:rsidRDefault="00BF1867" w:rsidP="00492602">
      <w:r>
        <w:separator/>
      </w:r>
    </w:p>
  </w:endnote>
  <w:endnote w:type="continuationSeparator" w:id="0">
    <w:p w14:paraId="288CDB05" w14:textId="77777777" w:rsidR="00BF1867" w:rsidRDefault="00BF1867"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2940" w14:textId="44121CE3" w:rsidR="00A946BB" w:rsidRPr="00D11DC6" w:rsidRDefault="00FE5811" w:rsidP="00B507AA">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EC7147">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2654" w14:textId="77777777" w:rsidR="00B507AA" w:rsidRPr="00D11DC6" w:rsidRDefault="00B507AA" w:rsidP="00A946BB">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r w:rsidRPr="00EC7147">
      <w:t xml:space="preserve"> </w:t>
    </w:r>
    <w:r>
      <w:tab/>
    </w:r>
    <w:r w:rsidRPr="00D11DC6">
      <w:rPr>
        <w:rFonts w:cs="Arial"/>
        <w:iCs/>
        <w:sz w:val="18"/>
        <w:szCs w:val="18"/>
      </w:rPr>
      <w:t>Please direct any questions or comments (or to be removed from this fax distribution) to</w:t>
    </w:r>
  </w:p>
  <w:p w14:paraId="1D6C4BC5" w14:textId="77777777" w:rsidR="00B507AA" w:rsidRPr="00D11DC6" w:rsidRDefault="00B507AA" w:rsidP="00A946BB">
    <w:pPr>
      <w:pBdr>
        <w:top w:val="single" w:sz="18" w:space="1" w:color="auto"/>
      </w:pBdr>
      <w:tabs>
        <w:tab w:val="left" w:pos="-90"/>
        <w:tab w:val="left" w:pos="530"/>
        <w:tab w:val="center" w:pos="5400"/>
      </w:tabs>
      <w:autoSpaceDE w:val="0"/>
      <w:autoSpaceDN w:val="0"/>
      <w:adjustRightInd w:val="0"/>
      <w:spacing w:line="240" w:lineRule="auto"/>
      <w:jc w:val="center"/>
      <w:textAlignment w:val="baseline"/>
      <w:rPr>
        <w:rFonts w:cs="Arial"/>
        <w:iCs/>
        <w:sz w:val="18"/>
        <w:szCs w:val="18"/>
      </w:rPr>
    </w:pPr>
    <w:hyperlink r:id="rId1" w:history="1">
      <w:r w:rsidRPr="00473CC9">
        <w:rPr>
          <w:rStyle w:val="Hyperlink"/>
          <w:rFonts w:cs="Arial"/>
          <w:iCs/>
          <w:sz w:val="18"/>
          <w:szCs w:val="18"/>
        </w:rPr>
        <w:t>PharmFactsMA@Conduent.com</w:t>
      </w:r>
    </w:hyperlink>
    <w:r>
      <w:rPr>
        <w:rFonts w:cs="Arial"/>
        <w:iCs/>
        <w:sz w:val="18"/>
        <w:szCs w:val="18"/>
      </w:rPr>
      <w:t>.</w:t>
    </w:r>
    <w:r w:rsidRPr="00D11DC6">
      <w:rPr>
        <w:rFonts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7883" w14:textId="77777777" w:rsidR="00BF1867" w:rsidRDefault="00BF1867" w:rsidP="00492602">
      <w:r>
        <w:separator/>
      </w:r>
    </w:p>
  </w:footnote>
  <w:footnote w:type="continuationSeparator" w:id="0">
    <w:p w14:paraId="113CD885" w14:textId="77777777" w:rsidR="00BF1867" w:rsidRDefault="00BF1867"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CA5C" w14:textId="77777777" w:rsidR="00492602" w:rsidRDefault="00492602" w:rsidP="00492602">
    <w:pPr>
      <w:pStyle w:val="Header"/>
    </w:pPr>
  </w:p>
  <w:p w14:paraId="70381D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EDF9" w14:textId="0E2873DA" w:rsidR="00492602" w:rsidRDefault="00492602" w:rsidP="00BB1FDB">
    <w:pPr>
      <w:pStyle w:val="Default"/>
      <w:pBdr>
        <w:bottom w:val="single" w:sz="18" w:space="1" w:color="auto"/>
      </w:pBdr>
      <w:tabs>
        <w:tab w:val="right" w:pos="10440"/>
      </w:tabs>
      <w:spacing w:before="480" w:after="240"/>
      <w:rPr>
        <w:color w:val="FF0000"/>
        <w:sz w:val="18"/>
        <w:szCs w:val="18"/>
      </w:rPr>
    </w:pPr>
    <w:r w:rsidRPr="00AD18B8">
      <w:rPr>
        <w:sz w:val="18"/>
        <w:szCs w:val="18"/>
      </w:rPr>
      <w:t>P</w:t>
    </w:r>
    <w:r>
      <w:rPr>
        <w:sz w:val="18"/>
        <w:szCs w:val="18"/>
      </w:rPr>
      <w:t xml:space="preserve">harmacy Facts, </w:t>
    </w:r>
    <w:r w:rsidRPr="009437DF">
      <w:rPr>
        <w:color w:val="auto"/>
        <w:sz w:val="18"/>
        <w:szCs w:val="18"/>
      </w:rPr>
      <w:t xml:space="preserve">Number </w:t>
    </w:r>
    <w:r w:rsidR="009437DF" w:rsidRPr="009437DF">
      <w:rPr>
        <w:color w:val="auto"/>
        <w:sz w:val="18"/>
        <w:szCs w:val="18"/>
      </w:rPr>
      <w:t>2</w:t>
    </w:r>
    <w:r w:rsidR="00AD01FF">
      <w:rPr>
        <w:color w:val="auto"/>
        <w:sz w:val="18"/>
        <w:szCs w:val="18"/>
      </w:rPr>
      <w:t>61</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93814">
      <w:rPr>
        <w:noProof/>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02F4C"/>
    <w:multiLevelType w:val="hybridMultilevel"/>
    <w:tmpl w:val="3B302AA8"/>
    <w:lvl w:ilvl="0" w:tplc="6D74651E">
      <w:start w:val="1"/>
      <w:numFmt w:val="bullet"/>
      <w:lvlText w:val=""/>
      <w:lvlJc w:val="left"/>
      <w:pPr>
        <w:ind w:left="1440" w:hanging="360"/>
      </w:pPr>
      <w:rPr>
        <w:rFonts w:ascii="Symbol" w:hAnsi="Symbol"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B62A8"/>
    <w:multiLevelType w:val="hybridMultilevel"/>
    <w:tmpl w:val="3A2AB1D2"/>
    <w:lvl w:ilvl="0" w:tplc="04090019">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FF7A42"/>
    <w:multiLevelType w:val="hybridMultilevel"/>
    <w:tmpl w:val="C746601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01D2D"/>
    <w:multiLevelType w:val="hybridMultilevel"/>
    <w:tmpl w:val="458A4820"/>
    <w:lvl w:ilvl="0" w:tplc="6FF2F14A">
      <w:start w:val="1"/>
      <w:numFmt w:val="lowerLetter"/>
      <w:lvlText w:val="%1."/>
      <w:lvlJc w:val="left"/>
      <w:pPr>
        <w:ind w:left="720" w:hanging="360"/>
      </w:pPr>
      <w:rPr>
        <w:rFonts w:ascii="Arial" w:eastAsiaTheme="minorHAnsi" w:hAnsi="Arial" w:cs="Arial"/>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877A4"/>
    <w:multiLevelType w:val="hybridMultilevel"/>
    <w:tmpl w:val="A0987332"/>
    <w:lvl w:ilvl="0" w:tplc="B164E944">
      <w:start w:val="1"/>
      <w:numFmt w:val="lowerLetter"/>
      <w:lvlText w:val="%1."/>
      <w:lvlJc w:val="left"/>
      <w:pPr>
        <w:ind w:left="720" w:hanging="360"/>
      </w:pPr>
      <w:rPr>
        <w:rFonts w:ascii="Arial" w:eastAsiaTheme="minorHAnsi" w:hAnsi="Arial" w:cs="Arial"/>
      </w:rPr>
    </w:lvl>
    <w:lvl w:ilvl="1" w:tplc="FFFFFFFF">
      <w:start w:val="1"/>
      <w:numFmt w:val="bullet"/>
      <w:lvlText w:val=""/>
      <w:lvlJc w:val="left"/>
      <w:pPr>
        <w:ind w:left="144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E90019"/>
    <w:multiLevelType w:val="hybridMultilevel"/>
    <w:tmpl w:val="CD54B032"/>
    <w:lvl w:ilvl="0" w:tplc="FFFFFFFF">
      <w:start w:val="1"/>
      <w:numFmt w:val="lowerLetter"/>
      <w:lvlText w:val="%1."/>
      <w:lvlJc w:val="left"/>
      <w:pPr>
        <w:ind w:left="720" w:hanging="360"/>
      </w:pPr>
      <w:rPr>
        <w:rFonts w:ascii="Arial" w:eastAsiaTheme="minorHAnsi" w:hAnsi="Arial" w:cs="Arial"/>
      </w:rPr>
    </w:lvl>
    <w:lvl w:ilvl="1" w:tplc="FFFFFFFF">
      <w:start w:val="1"/>
      <w:numFmt w:val="bullet"/>
      <w:lvlText w:val=""/>
      <w:lvlJc w:val="left"/>
      <w:pPr>
        <w:ind w:left="144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E861E34"/>
    <w:multiLevelType w:val="hybridMultilevel"/>
    <w:tmpl w:val="12F0E11C"/>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8055241"/>
    <w:multiLevelType w:val="hybridMultilevel"/>
    <w:tmpl w:val="85CA3A9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5A50E45"/>
    <w:multiLevelType w:val="hybridMultilevel"/>
    <w:tmpl w:val="F5B6CC02"/>
    <w:lvl w:ilvl="0" w:tplc="0952DC44">
      <w:start w:val="1"/>
      <w:numFmt w:val="bullet"/>
      <w:lvlText w:val=""/>
      <w:lvlJc w:val="left"/>
      <w:pPr>
        <w:ind w:left="1080" w:hanging="360"/>
      </w:pPr>
      <w:rPr>
        <w:rFonts w:ascii="Symbol" w:hAnsi="Symbol" w:hint="default"/>
        <w:sz w:val="22"/>
        <w:szCs w:val="22"/>
        <w:vertAlign w:val="base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F27707"/>
    <w:multiLevelType w:val="hybridMultilevel"/>
    <w:tmpl w:val="4880B8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456482787">
    <w:abstractNumId w:val="16"/>
  </w:num>
  <w:num w:numId="2" w16cid:durableId="678387703">
    <w:abstractNumId w:val="22"/>
  </w:num>
  <w:num w:numId="3" w16cid:durableId="171258805">
    <w:abstractNumId w:val="27"/>
  </w:num>
  <w:num w:numId="4" w16cid:durableId="933971704">
    <w:abstractNumId w:val="10"/>
  </w:num>
  <w:num w:numId="5" w16cid:durableId="1146894553">
    <w:abstractNumId w:val="15"/>
  </w:num>
  <w:num w:numId="6" w16cid:durableId="1099835229">
    <w:abstractNumId w:val="21"/>
  </w:num>
  <w:num w:numId="7" w16cid:durableId="1091773746">
    <w:abstractNumId w:val="28"/>
  </w:num>
  <w:num w:numId="8" w16cid:durableId="775977178">
    <w:abstractNumId w:val="3"/>
  </w:num>
  <w:num w:numId="9" w16cid:durableId="1192911353">
    <w:abstractNumId w:val="0"/>
  </w:num>
  <w:num w:numId="10" w16cid:durableId="1998994280">
    <w:abstractNumId w:val="25"/>
  </w:num>
  <w:num w:numId="11" w16cid:durableId="77529562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6"/>
  </w:num>
  <w:num w:numId="13" w16cid:durableId="489909912">
    <w:abstractNumId w:val="27"/>
  </w:num>
  <w:num w:numId="14" w16cid:durableId="12777144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21"/>
  </w:num>
  <w:num w:numId="16" w16cid:durableId="1632830456">
    <w:abstractNumId w:val="23"/>
  </w:num>
  <w:num w:numId="17" w16cid:durableId="1271858877">
    <w:abstractNumId w:val="2"/>
  </w:num>
  <w:num w:numId="18" w16cid:durableId="12856954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7"/>
  </w:num>
  <w:num w:numId="20" w16cid:durableId="155609916">
    <w:abstractNumId w:val="4"/>
  </w:num>
  <w:num w:numId="21" w16cid:durableId="749011242">
    <w:abstractNumId w:val="13"/>
  </w:num>
  <w:num w:numId="22" w16cid:durableId="2135520725">
    <w:abstractNumId w:val="29"/>
  </w:num>
  <w:num w:numId="23" w16cid:durableId="1269894124">
    <w:abstractNumId w:val="32"/>
  </w:num>
  <w:num w:numId="24" w16cid:durableId="1534229008">
    <w:abstractNumId w:val="20"/>
  </w:num>
  <w:num w:numId="25" w16cid:durableId="480999597">
    <w:abstractNumId w:val="26"/>
  </w:num>
  <w:num w:numId="26" w16cid:durableId="1484080441">
    <w:abstractNumId w:val="10"/>
    <w:lvlOverride w:ilvl="0">
      <w:startOverride w:val="1"/>
    </w:lvlOverride>
  </w:num>
  <w:num w:numId="27" w16cid:durableId="339738625">
    <w:abstractNumId w:val="10"/>
  </w:num>
  <w:num w:numId="28" w16cid:durableId="1054817669">
    <w:abstractNumId w:val="8"/>
  </w:num>
  <w:num w:numId="29" w16cid:durableId="1907379004">
    <w:abstractNumId w:val="31"/>
  </w:num>
  <w:num w:numId="30" w16cid:durableId="23554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7531076">
    <w:abstractNumId w:val="30"/>
  </w:num>
  <w:num w:numId="32" w16cid:durableId="66678507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40663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386787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670849">
    <w:abstractNumId w:val="5"/>
  </w:num>
  <w:num w:numId="36" w16cid:durableId="178122067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274678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6627342">
    <w:abstractNumId w:val="33"/>
  </w:num>
  <w:num w:numId="39" w16cid:durableId="337193572">
    <w:abstractNumId w:val="11"/>
  </w:num>
  <w:num w:numId="40" w16cid:durableId="552739578">
    <w:abstractNumId w:val="1"/>
  </w:num>
  <w:num w:numId="41" w16cid:durableId="3732345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24699"/>
    <w:rsid w:val="00054839"/>
    <w:rsid w:val="00061F50"/>
    <w:rsid w:val="000658A5"/>
    <w:rsid w:val="000713D3"/>
    <w:rsid w:val="00074014"/>
    <w:rsid w:val="00074716"/>
    <w:rsid w:val="00081E8E"/>
    <w:rsid w:val="000A622F"/>
    <w:rsid w:val="000A6318"/>
    <w:rsid w:val="000D1502"/>
    <w:rsid w:val="00102EDF"/>
    <w:rsid w:val="00123D58"/>
    <w:rsid w:val="00124EAA"/>
    <w:rsid w:val="0012682D"/>
    <w:rsid w:val="001378CB"/>
    <w:rsid w:val="00137D3D"/>
    <w:rsid w:val="00140D08"/>
    <w:rsid w:val="00147437"/>
    <w:rsid w:val="00157A49"/>
    <w:rsid w:val="00171445"/>
    <w:rsid w:val="001721D8"/>
    <w:rsid w:val="0018357E"/>
    <w:rsid w:val="001864A9"/>
    <w:rsid w:val="00186F28"/>
    <w:rsid w:val="001A125B"/>
    <w:rsid w:val="001C1481"/>
    <w:rsid w:val="001D3436"/>
    <w:rsid w:val="001E779F"/>
    <w:rsid w:val="001F6F0B"/>
    <w:rsid w:val="002005A5"/>
    <w:rsid w:val="0021214A"/>
    <w:rsid w:val="00212477"/>
    <w:rsid w:val="00212622"/>
    <w:rsid w:val="002275AE"/>
    <w:rsid w:val="002509E9"/>
    <w:rsid w:val="00267FBD"/>
    <w:rsid w:val="00274F3E"/>
    <w:rsid w:val="00276F3A"/>
    <w:rsid w:val="00286CBE"/>
    <w:rsid w:val="00290C8D"/>
    <w:rsid w:val="00291397"/>
    <w:rsid w:val="002C7C67"/>
    <w:rsid w:val="002D390F"/>
    <w:rsid w:val="002D738C"/>
    <w:rsid w:val="002E2F9E"/>
    <w:rsid w:val="002F459B"/>
    <w:rsid w:val="003152DA"/>
    <w:rsid w:val="003240F1"/>
    <w:rsid w:val="0033053B"/>
    <w:rsid w:val="00347A86"/>
    <w:rsid w:val="00351497"/>
    <w:rsid w:val="00360067"/>
    <w:rsid w:val="00360197"/>
    <w:rsid w:val="00361733"/>
    <w:rsid w:val="0036343A"/>
    <w:rsid w:val="00372195"/>
    <w:rsid w:val="0037373E"/>
    <w:rsid w:val="00375713"/>
    <w:rsid w:val="00380F7C"/>
    <w:rsid w:val="00382054"/>
    <w:rsid w:val="003911FC"/>
    <w:rsid w:val="00393814"/>
    <w:rsid w:val="003B6839"/>
    <w:rsid w:val="003C45A1"/>
    <w:rsid w:val="003D3B27"/>
    <w:rsid w:val="003F533B"/>
    <w:rsid w:val="004233B0"/>
    <w:rsid w:val="00447A5F"/>
    <w:rsid w:val="004555D9"/>
    <w:rsid w:val="00456B5A"/>
    <w:rsid w:val="00457528"/>
    <w:rsid w:val="004664D3"/>
    <w:rsid w:val="00482DDE"/>
    <w:rsid w:val="00492602"/>
    <w:rsid w:val="0049423D"/>
    <w:rsid w:val="00494D38"/>
    <w:rsid w:val="004A3BAA"/>
    <w:rsid w:val="004A6C4D"/>
    <w:rsid w:val="004A7395"/>
    <w:rsid w:val="004C1DAD"/>
    <w:rsid w:val="004D1BC7"/>
    <w:rsid w:val="004D20D7"/>
    <w:rsid w:val="004D6D49"/>
    <w:rsid w:val="004D79B2"/>
    <w:rsid w:val="004F249B"/>
    <w:rsid w:val="004F5506"/>
    <w:rsid w:val="004F5612"/>
    <w:rsid w:val="005052D9"/>
    <w:rsid w:val="00516394"/>
    <w:rsid w:val="0052118E"/>
    <w:rsid w:val="00527F95"/>
    <w:rsid w:val="005314A6"/>
    <w:rsid w:val="005502E1"/>
    <w:rsid w:val="0055514F"/>
    <w:rsid w:val="0056481B"/>
    <w:rsid w:val="0057156C"/>
    <w:rsid w:val="00571898"/>
    <w:rsid w:val="00574ECE"/>
    <w:rsid w:val="00574F07"/>
    <w:rsid w:val="0057528C"/>
    <w:rsid w:val="00577AD7"/>
    <w:rsid w:val="00581E50"/>
    <w:rsid w:val="005835F0"/>
    <w:rsid w:val="005842A0"/>
    <w:rsid w:val="005958DD"/>
    <w:rsid w:val="005A2859"/>
    <w:rsid w:val="005A57BA"/>
    <w:rsid w:val="005B15B3"/>
    <w:rsid w:val="005C1528"/>
    <w:rsid w:val="005C347E"/>
    <w:rsid w:val="005D723D"/>
    <w:rsid w:val="005E3688"/>
    <w:rsid w:val="005E48BC"/>
    <w:rsid w:val="005F2371"/>
    <w:rsid w:val="005F40D5"/>
    <w:rsid w:val="00623469"/>
    <w:rsid w:val="00634C49"/>
    <w:rsid w:val="00637A67"/>
    <w:rsid w:val="006425F0"/>
    <w:rsid w:val="00644AAF"/>
    <w:rsid w:val="00650095"/>
    <w:rsid w:val="00651CA7"/>
    <w:rsid w:val="00656A01"/>
    <w:rsid w:val="00657D21"/>
    <w:rsid w:val="006615EC"/>
    <w:rsid w:val="00673F96"/>
    <w:rsid w:val="00674418"/>
    <w:rsid w:val="00674428"/>
    <w:rsid w:val="006753A6"/>
    <w:rsid w:val="00677EE7"/>
    <w:rsid w:val="00686C26"/>
    <w:rsid w:val="00690023"/>
    <w:rsid w:val="00696F48"/>
    <w:rsid w:val="0069772F"/>
    <w:rsid w:val="006A1AD3"/>
    <w:rsid w:val="006A269D"/>
    <w:rsid w:val="006A767B"/>
    <w:rsid w:val="006A7D28"/>
    <w:rsid w:val="006D3B5F"/>
    <w:rsid w:val="006D72AD"/>
    <w:rsid w:val="006E0C20"/>
    <w:rsid w:val="006E22A3"/>
    <w:rsid w:val="006F35F9"/>
    <w:rsid w:val="007319D7"/>
    <w:rsid w:val="00731FAF"/>
    <w:rsid w:val="00736BFB"/>
    <w:rsid w:val="007426BF"/>
    <w:rsid w:val="00756348"/>
    <w:rsid w:val="00760FDF"/>
    <w:rsid w:val="00763358"/>
    <w:rsid w:val="007757E7"/>
    <w:rsid w:val="00781D3B"/>
    <w:rsid w:val="007A038A"/>
    <w:rsid w:val="007A41F5"/>
    <w:rsid w:val="007B2D5C"/>
    <w:rsid w:val="007B2F2D"/>
    <w:rsid w:val="007B33B4"/>
    <w:rsid w:val="007B4429"/>
    <w:rsid w:val="007B7425"/>
    <w:rsid w:val="007B76EB"/>
    <w:rsid w:val="007F5417"/>
    <w:rsid w:val="00804116"/>
    <w:rsid w:val="00812480"/>
    <w:rsid w:val="00816C8D"/>
    <w:rsid w:val="00816CE2"/>
    <w:rsid w:val="00821937"/>
    <w:rsid w:val="008340D0"/>
    <w:rsid w:val="008403CA"/>
    <w:rsid w:val="008474A5"/>
    <w:rsid w:val="0085395A"/>
    <w:rsid w:val="00853F8E"/>
    <w:rsid w:val="0086142C"/>
    <w:rsid w:val="00863B44"/>
    <w:rsid w:val="00870F52"/>
    <w:rsid w:val="00872E7F"/>
    <w:rsid w:val="00880FA9"/>
    <w:rsid w:val="008930F1"/>
    <w:rsid w:val="00893F45"/>
    <w:rsid w:val="008A650C"/>
    <w:rsid w:val="008B3C1B"/>
    <w:rsid w:val="008C1341"/>
    <w:rsid w:val="008C5414"/>
    <w:rsid w:val="008C66D8"/>
    <w:rsid w:val="008E4B33"/>
    <w:rsid w:val="008F0130"/>
    <w:rsid w:val="008F2E4C"/>
    <w:rsid w:val="00905C46"/>
    <w:rsid w:val="00906EEC"/>
    <w:rsid w:val="009166DF"/>
    <w:rsid w:val="009204C7"/>
    <w:rsid w:val="00922030"/>
    <w:rsid w:val="00932FD3"/>
    <w:rsid w:val="009365C7"/>
    <w:rsid w:val="00937424"/>
    <w:rsid w:val="0094076D"/>
    <w:rsid w:val="00941258"/>
    <w:rsid w:val="00942245"/>
    <w:rsid w:val="009437DF"/>
    <w:rsid w:val="00956812"/>
    <w:rsid w:val="0095770E"/>
    <w:rsid w:val="009725E5"/>
    <w:rsid w:val="00974CFD"/>
    <w:rsid w:val="0097559E"/>
    <w:rsid w:val="00977BC2"/>
    <w:rsid w:val="00981567"/>
    <w:rsid w:val="00982F9F"/>
    <w:rsid w:val="009C0B43"/>
    <w:rsid w:val="009C3981"/>
    <w:rsid w:val="009D1341"/>
    <w:rsid w:val="009D1846"/>
    <w:rsid w:val="009D6D73"/>
    <w:rsid w:val="009D79C6"/>
    <w:rsid w:val="009F0440"/>
    <w:rsid w:val="009F0526"/>
    <w:rsid w:val="009F3823"/>
    <w:rsid w:val="00A01DE3"/>
    <w:rsid w:val="00A06542"/>
    <w:rsid w:val="00A11371"/>
    <w:rsid w:val="00A120E1"/>
    <w:rsid w:val="00A2577C"/>
    <w:rsid w:val="00A31FAA"/>
    <w:rsid w:val="00A343A9"/>
    <w:rsid w:val="00A52375"/>
    <w:rsid w:val="00A5239C"/>
    <w:rsid w:val="00A571F6"/>
    <w:rsid w:val="00A650DC"/>
    <w:rsid w:val="00A6764A"/>
    <w:rsid w:val="00A84255"/>
    <w:rsid w:val="00A853D9"/>
    <w:rsid w:val="00A946BB"/>
    <w:rsid w:val="00AB08DB"/>
    <w:rsid w:val="00AC1AC7"/>
    <w:rsid w:val="00AD01FF"/>
    <w:rsid w:val="00AD18B8"/>
    <w:rsid w:val="00AD33D5"/>
    <w:rsid w:val="00AD4AD1"/>
    <w:rsid w:val="00AD52F5"/>
    <w:rsid w:val="00AE21FC"/>
    <w:rsid w:val="00B01BAA"/>
    <w:rsid w:val="00B032A8"/>
    <w:rsid w:val="00B05470"/>
    <w:rsid w:val="00B07BD7"/>
    <w:rsid w:val="00B10600"/>
    <w:rsid w:val="00B13AA5"/>
    <w:rsid w:val="00B3099B"/>
    <w:rsid w:val="00B40A71"/>
    <w:rsid w:val="00B45236"/>
    <w:rsid w:val="00B503C7"/>
    <w:rsid w:val="00B507AA"/>
    <w:rsid w:val="00B54AB5"/>
    <w:rsid w:val="00B6176E"/>
    <w:rsid w:val="00B645C9"/>
    <w:rsid w:val="00B86F04"/>
    <w:rsid w:val="00B92C96"/>
    <w:rsid w:val="00BA64D7"/>
    <w:rsid w:val="00BA68F0"/>
    <w:rsid w:val="00BB1FDB"/>
    <w:rsid w:val="00BD08CA"/>
    <w:rsid w:val="00BE0808"/>
    <w:rsid w:val="00BF0DF4"/>
    <w:rsid w:val="00BF1867"/>
    <w:rsid w:val="00C00CF2"/>
    <w:rsid w:val="00C07C16"/>
    <w:rsid w:val="00C15672"/>
    <w:rsid w:val="00C21680"/>
    <w:rsid w:val="00C24879"/>
    <w:rsid w:val="00C24EF5"/>
    <w:rsid w:val="00C304E6"/>
    <w:rsid w:val="00C31421"/>
    <w:rsid w:val="00C33753"/>
    <w:rsid w:val="00C35B94"/>
    <w:rsid w:val="00C559C9"/>
    <w:rsid w:val="00C82FA4"/>
    <w:rsid w:val="00CA0669"/>
    <w:rsid w:val="00CA1E7C"/>
    <w:rsid w:val="00CA6DE2"/>
    <w:rsid w:val="00CB0030"/>
    <w:rsid w:val="00CB7521"/>
    <w:rsid w:val="00CC3DC3"/>
    <w:rsid w:val="00CC57AC"/>
    <w:rsid w:val="00CC776C"/>
    <w:rsid w:val="00CD2047"/>
    <w:rsid w:val="00CD6D68"/>
    <w:rsid w:val="00CF2057"/>
    <w:rsid w:val="00D0584B"/>
    <w:rsid w:val="00D16BAA"/>
    <w:rsid w:val="00D2695E"/>
    <w:rsid w:val="00D450C8"/>
    <w:rsid w:val="00D521FA"/>
    <w:rsid w:val="00D56B8E"/>
    <w:rsid w:val="00D66801"/>
    <w:rsid w:val="00D764EB"/>
    <w:rsid w:val="00D779F2"/>
    <w:rsid w:val="00D81121"/>
    <w:rsid w:val="00D939D0"/>
    <w:rsid w:val="00DA0D31"/>
    <w:rsid w:val="00DA6071"/>
    <w:rsid w:val="00DA6A55"/>
    <w:rsid w:val="00DB423E"/>
    <w:rsid w:val="00DF73DB"/>
    <w:rsid w:val="00E06F7D"/>
    <w:rsid w:val="00E15923"/>
    <w:rsid w:val="00E24139"/>
    <w:rsid w:val="00E24E22"/>
    <w:rsid w:val="00E3616D"/>
    <w:rsid w:val="00E4643C"/>
    <w:rsid w:val="00E50862"/>
    <w:rsid w:val="00E60ABB"/>
    <w:rsid w:val="00E62D91"/>
    <w:rsid w:val="00E67611"/>
    <w:rsid w:val="00E67713"/>
    <w:rsid w:val="00E72DFF"/>
    <w:rsid w:val="00E92E47"/>
    <w:rsid w:val="00E9576D"/>
    <w:rsid w:val="00EA235F"/>
    <w:rsid w:val="00EC08AC"/>
    <w:rsid w:val="00EC1948"/>
    <w:rsid w:val="00EC7147"/>
    <w:rsid w:val="00ED4639"/>
    <w:rsid w:val="00EE2A85"/>
    <w:rsid w:val="00EE54D2"/>
    <w:rsid w:val="00EF7C8A"/>
    <w:rsid w:val="00F2514F"/>
    <w:rsid w:val="00F25E7F"/>
    <w:rsid w:val="00F274DE"/>
    <w:rsid w:val="00F6038A"/>
    <w:rsid w:val="00F643E6"/>
    <w:rsid w:val="00F73811"/>
    <w:rsid w:val="00F76D69"/>
    <w:rsid w:val="00F82CB3"/>
    <w:rsid w:val="00F9012C"/>
    <w:rsid w:val="00F9097E"/>
    <w:rsid w:val="00F93C6C"/>
    <w:rsid w:val="00F955CA"/>
    <w:rsid w:val="00FA5147"/>
    <w:rsid w:val="00FB0C11"/>
    <w:rsid w:val="00FB5301"/>
    <w:rsid w:val="00FD4894"/>
    <w:rsid w:val="00FD7351"/>
    <w:rsid w:val="00FE5811"/>
    <w:rsid w:val="00FE6B9E"/>
    <w:rsid w:val="00FF0433"/>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15:docId w15:val="{BE9DE696-ECC8-4E64-9E80-454DADC2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B0"/>
    <w:pPr>
      <w:spacing w:line="276" w:lineRule="auto"/>
    </w:pPr>
    <w:rPr>
      <w:rFonts w:ascii="Arial" w:hAnsi="Arial"/>
      <w:sz w:val="22"/>
      <w:szCs w:val="24"/>
    </w:rPr>
  </w:style>
  <w:style w:type="paragraph" w:styleId="Heading1">
    <w:name w:val="heading 1"/>
    <w:basedOn w:val="Header"/>
    <w:next w:val="Normal"/>
    <w:link w:val="Heading1Char"/>
    <w:qFormat/>
    <w:rsid w:val="006A767B"/>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6A767B"/>
    <w:rPr>
      <w:rFonts w:ascii="Arial Black" w:eastAsiaTheme="majorEastAsia" w:hAnsi="Arial Black" w:cstheme="majorBidi"/>
      <w:sz w:val="28"/>
      <w:szCs w:val="32"/>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5"/>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4"/>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paragraph" w:styleId="Title">
    <w:name w:val="Title"/>
    <w:basedOn w:val="Heading1"/>
    <w:next w:val="Normal"/>
    <w:link w:val="TitleChar"/>
    <w:qFormat/>
    <w:rsid w:val="00E24E22"/>
    <w:pPr>
      <w:keepNext w:val="0"/>
      <w:keepLines w:val="0"/>
      <w:tabs>
        <w:tab w:val="clear" w:pos="4680"/>
        <w:tab w:val="clear" w:pos="9360"/>
      </w:tabs>
      <w:autoSpaceDE w:val="0"/>
      <w:autoSpaceDN w:val="0"/>
      <w:adjustRightInd w:val="0"/>
      <w:spacing w:before="0" w:after="80" w:line="288" w:lineRule="auto"/>
      <w:textAlignment w:val="baseline"/>
    </w:pPr>
    <w:rPr>
      <w:rFonts w:eastAsia="Times New Roman" w:cs="Arial"/>
      <w:b/>
      <w:bCs/>
      <w:szCs w:val="28"/>
    </w:rPr>
  </w:style>
  <w:style w:type="character" w:customStyle="1" w:styleId="TitleChar">
    <w:name w:val="Title Char"/>
    <w:basedOn w:val="DefaultParagraphFont"/>
    <w:link w:val="Title"/>
    <w:rsid w:val="00E24E22"/>
    <w:rPr>
      <w:rFonts w:ascii="Arial Black" w:hAnsi="Arial Black" w:cs="Arial"/>
      <w:b/>
      <w:bCs/>
      <w:sz w:val="28"/>
      <w:szCs w:val="28"/>
    </w:rPr>
  </w:style>
  <w:style w:type="character" w:styleId="UnresolvedMention">
    <w:name w:val="Unresolved Mention"/>
    <w:basedOn w:val="DefaultParagraphFont"/>
    <w:uiPriority w:val="99"/>
    <w:semiHidden/>
    <w:unhideWhenUsed/>
    <w:rsid w:val="00E24E22"/>
    <w:rPr>
      <w:color w:val="605E5C"/>
      <w:shd w:val="clear" w:color="auto" w:fill="E1DFDD"/>
    </w:rPr>
  </w:style>
  <w:style w:type="paragraph" w:styleId="Revision">
    <w:name w:val="Revision"/>
    <w:hidden/>
    <w:uiPriority w:val="99"/>
    <w:semiHidden/>
    <w:rsid w:val="00E24E22"/>
    <w:rPr>
      <w:rFonts w:ascii="Arial" w:hAnsi="Arial"/>
      <w:sz w:val="22"/>
      <w:szCs w:val="24"/>
    </w:rPr>
  </w:style>
  <w:style w:type="character" w:styleId="CommentReference">
    <w:name w:val="annotation reference"/>
    <w:basedOn w:val="DefaultParagraphFont"/>
    <w:semiHidden/>
    <w:unhideWhenUsed/>
    <w:rsid w:val="00E24E22"/>
    <w:rPr>
      <w:sz w:val="16"/>
      <w:szCs w:val="16"/>
    </w:rPr>
  </w:style>
  <w:style w:type="paragraph" w:styleId="CommentText">
    <w:name w:val="annotation text"/>
    <w:basedOn w:val="Normal"/>
    <w:link w:val="CommentTextChar"/>
    <w:unhideWhenUsed/>
    <w:rsid w:val="00E24E22"/>
    <w:pPr>
      <w:spacing w:line="240" w:lineRule="auto"/>
    </w:pPr>
    <w:rPr>
      <w:sz w:val="20"/>
      <w:szCs w:val="20"/>
    </w:rPr>
  </w:style>
  <w:style w:type="character" w:customStyle="1" w:styleId="CommentTextChar">
    <w:name w:val="Comment Text Char"/>
    <w:basedOn w:val="DefaultParagraphFont"/>
    <w:link w:val="CommentText"/>
    <w:rsid w:val="00E24E22"/>
    <w:rPr>
      <w:rFonts w:ascii="Arial" w:hAnsi="Arial"/>
    </w:rPr>
  </w:style>
  <w:style w:type="paragraph" w:styleId="CommentSubject">
    <w:name w:val="annotation subject"/>
    <w:basedOn w:val="CommentText"/>
    <w:next w:val="CommentText"/>
    <w:link w:val="CommentSubjectChar"/>
    <w:semiHidden/>
    <w:unhideWhenUsed/>
    <w:rsid w:val="00E24E22"/>
    <w:rPr>
      <w:b/>
      <w:bCs/>
    </w:rPr>
  </w:style>
  <w:style w:type="character" w:customStyle="1" w:styleId="CommentSubjectChar">
    <w:name w:val="Comment Subject Char"/>
    <w:basedOn w:val="CommentTextChar"/>
    <w:link w:val="CommentSubject"/>
    <w:semiHidden/>
    <w:rsid w:val="00E24E22"/>
    <w:rPr>
      <w:rFonts w:ascii="Arial" w:hAnsi="Arial"/>
      <w:b/>
      <w:bCs/>
    </w:rPr>
  </w:style>
  <w:style w:type="character" w:styleId="FollowedHyperlink">
    <w:name w:val="FollowedHyperlink"/>
    <w:basedOn w:val="DefaultParagraphFont"/>
    <w:semiHidden/>
    <w:unhideWhenUsed/>
    <w:rsid w:val="005F40D5"/>
    <w:rPr>
      <w:color w:val="800080" w:themeColor="followedHyperlink"/>
      <w:u w:val="single"/>
    </w:rPr>
  </w:style>
  <w:style w:type="paragraph" w:styleId="NoSpacing">
    <w:name w:val="No Spacing"/>
    <w:link w:val="NoSpacingChar"/>
    <w:uiPriority w:val="1"/>
    <w:qFormat/>
    <w:rsid w:val="00A52375"/>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A5237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hdl.pharmacy.services.conduent.com/MHDL/pubdruglist.do?category=MassHealth+Drug+List+A+-+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1070</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Eisan, Jenna (EHS)</cp:lastModifiedBy>
  <cp:revision>11</cp:revision>
  <dcterms:created xsi:type="dcterms:W3CDTF">2025-11-10T15:49:00Z</dcterms:created>
  <dcterms:modified xsi:type="dcterms:W3CDTF">2025-11-10T16:00:00Z</dcterms:modified>
</cp:coreProperties>
</file>