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92D3" w14:textId="350F7159" w:rsidR="00074716" w:rsidRDefault="000A622F" w:rsidP="00C559C9">
      <w:pPr>
        <w:pStyle w:val="Noparagraphstyle"/>
        <w:rPr>
          <w:rFonts w:ascii="Arial Narrow" w:hAnsi="Arial Narrow"/>
          <w:b/>
          <w:color w:val="FF0000"/>
          <w:sz w:val="20"/>
          <w:szCs w:val="20"/>
        </w:rPr>
      </w:pPr>
      <w:r>
        <w:rPr>
          <w:rFonts w:ascii="Arial" w:hAnsi="Arial" w:cs="Arial"/>
          <w:noProof/>
          <w:sz w:val="21"/>
          <w:szCs w:val="21"/>
        </w:rPr>
        <w:drawing>
          <wp:anchor distT="0" distB="0" distL="114300" distR="114300" simplePos="0" relativeHeight="251658240" behindDoc="1" locked="0" layoutInCell="1" allowOverlap="1" wp14:anchorId="4ED2292F" wp14:editId="5DCB5936">
            <wp:simplePos x="0" y="0"/>
            <wp:positionH relativeFrom="column">
              <wp:posOffset>-118745</wp:posOffset>
            </wp:positionH>
            <wp:positionV relativeFrom="paragraph">
              <wp:posOffset>-1256</wp:posOffset>
            </wp:positionV>
            <wp:extent cx="6830568" cy="1901952"/>
            <wp:effectExtent l="0" t="0" r="8890" b="3175"/>
            <wp:wrapNone/>
            <wp:docPr id="145245031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Pr>
          <w:rFonts w:ascii="Arial Narrow" w:hAnsi="Arial Narrow"/>
          <w:b/>
          <w:sz w:val="20"/>
          <w:szCs w:val="20"/>
        </w:rPr>
        <w:t xml:space="preserve">Number </w:t>
      </w:r>
      <w:r w:rsidR="007B298F" w:rsidRPr="007B298F">
        <w:rPr>
          <w:rFonts w:ascii="Arial Narrow" w:hAnsi="Arial Narrow"/>
          <w:b/>
          <w:color w:val="auto"/>
          <w:sz w:val="20"/>
          <w:szCs w:val="20"/>
        </w:rPr>
        <w:t>265</w:t>
      </w:r>
      <w:r w:rsidR="00C559C9" w:rsidRPr="007B298F">
        <w:rPr>
          <w:rFonts w:ascii="Arial Narrow" w:hAnsi="Arial Narrow"/>
          <w:b/>
          <w:color w:val="auto"/>
          <w:sz w:val="20"/>
          <w:szCs w:val="20"/>
        </w:rPr>
        <w:t xml:space="preserve">, </w:t>
      </w:r>
      <w:r w:rsidR="00384949" w:rsidRPr="007B298F">
        <w:rPr>
          <w:rFonts w:ascii="Arial Narrow" w:hAnsi="Arial Narrow"/>
          <w:b/>
          <w:color w:val="auto"/>
          <w:sz w:val="20"/>
          <w:szCs w:val="20"/>
        </w:rPr>
        <w:t xml:space="preserve">December </w:t>
      </w:r>
      <w:r w:rsidR="007B298F" w:rsidRPr="007B298F">
        <w:rPr>
          <w:rFonts w:ascii="Arial Narrow" w:hAnsi="Arial Narrow"/>
          <w:b/>
          <w:color w:val="auto"/>
          <w:sz w:val="20"/>
          <w:szCs w:val="20"/>
        </w:rPr>
        <w:t>18</w:t>
      </w:r>
      <w:r w:rsidR="00384949" w:rsidRPr="007B298F">
        <w:rPr>
          <w:rFonts w:ascii="Arial Narrow" w:hAnsi="Arial Narrow"/>
          <w:b/>
          <w:color w:val="auto"/>
          <w:sz w:val="20"/>
          <w:szCs w:val="20"/>
        </w:rPr>
        <w:t>, 2025</w:t>
      </w:r>
    </w:p>
    <w:p w14:paraId="32BF3DE7" w14:textId="77777777" w:rsidR="00074716" w:rsidRDefault="00074716" w:rsidP="00C559C9">
      <w:pPr>
        <w:pStyle w:val="Noparagraphstyle"/>
        <w:rPr>
          <w:rFonts w:ascii="Arial Narrow" w:hAnsi="Arial Narrow"/>
          <w:b/>
          <w:color w:val="FF0000"/>
          <w:sz w:val="20"/>
          <w:szCs w:val="20"/>
        </w:rPr>
      </w:pPr>
    </w:p>
    <w:p w14:paraId="0858B47B" w14:textId="77777777" w:rsidR="00074716" w:rsidRDefault="00074716" w:rsidP="00C559C9">
      <w:pPr>
        <w:pStyle w:val="Noparagraphstyle"/>
        <w:rPr>
          <w:rFonts w:ascii="Arial Narrow" w:hAnsi="Arial Narrow"/>
          <w:b/>
          <w:color w:val="FF0000"/>
          <w:sz w:val="20"/>
          <w:szCs w:val="20"/>
        </w:rPr>
      </w:pPr>
    </w:p>
    <w:p w14:paraId="6A5C6B8C" w14:textId="77777777" w:rsidR="00074716" w:rsidRDefault="00074716" w:rsidP="00C559C9">
      <w:pPr>
        <w:pStyle w:val="Noparagraphstyle"/>
        <w:rPr>
          <w:rFonts w:ascii="Arial Narrow" w:hAnsi="Arial Narrow"/>
          <w:b/>
          <w:color w:val="FF0000"/>
          <w:sz w:val="20"/>
          <w:szCs w:val="20"/>
        </w:rPr>
      </w:pPr>
    </w:p>
    <w:p w14:paraId="1301F774" w14:textId="77777777" w:rsidR="00074716" w:rsidRDefault="00074716" w:rsidP="00C559C9">
      <w:pPr>
        <w:pStyle w:val="Noparagraphstyle"/>
        <w:rPr>
          <w:rFonts w:ascii="Arial Narrow" w:hAnsi="Arial Narrow"/>
          <w:b/>
          <w:color w:val="FF0000"/>
          <w:sz w:val="20"/>
          <w:szCs w:val="20"/>
        </w:rPr>
      </w:pPr>
    </w:p>
    <w:p w14:paraId="187FE7C2" w14:textId="77777777" w:rsidR="00074716" w:rsidRDefault="00074716" w:rsidP="00C559C9">
      <w:pPr>
        <w:pStyle w:val="Noparagraphstyle"/>
        <w:rPr>
          <w:rFonts w:ascii="Arial Narrow" w:hAnsi="Arial Narrow"/>
          <w:b/>
          <w:color w:val="FF0000"/>
          <w:sz w:val="20"/>
          <w:szCs w:val="20"/>
        </w:rPr>
      </w:pPr>
    </w:p>
    <w:p w14:paraId="317BFC54" w14:textId="77777777" w:rsidR="00074716" w:rsidRDefault="00074716" w:rsidP="00C559C9">
      <w:pPr>
        <w:pStyle w:val="Noparagraphstyle"/>
        <w:rPr>
          <w:rFonts w:ascii="Arial Narrow" w:hAnsi="Arial Narrow"/>
          <w:b/>
          <w:color w:val="FF0000"/>
          <w:sz w:val="20"/>
          <w:szCs w:val="20"/>
        </w:rPr>
      </w:pPr>
    </w:p>
    <w:p w14:paraId="1FCA92D7" w14:textId="77777777" w:rsidR="00074716" w:rsidRDefault="00074716" w:rsidP="00C559C9">
      <w:pPr>
        <w:pStyle w:val="Noparagraphstyle"/>
        <w:rPr>
          <w:rFonts w:ascii="Arial Narrow" w:hAnsi="Arial Narrow"/>
          <w:b/>
          <w:color w:val="FF0000"/>
          <w:sz w:val="20"/>
          <w:szCs w:val="20"/>
        </w:rPr>
      </w:pPr>
    </w:p>
    <w:p w14:paraId="175B24BC" w14:textId="77777777" w:rsidR="00074716" w:rsidRDefault="00074716" w:rsidP="00C559C9">
      <w:pPr>
        <w:pStyle w:val="Noparagraphstyle"/>
        <w:rPr>
          <w:rFonts w:ascii="Arial Narrow" w:hAnsi="Arial Narrow"/>
          <w:b/>
          <w:color w:val="FF0000"/>
          <w:sz w:val="20"/>
          <w:szCs w:val="20"/>
        </w:rPr>
      </w:pPr>
    </w:p>
    <w:p w14:paraId="07CD72C2" w14:textId="77777777" w:rsidR="00074716" w:rsidRDefault="00074716" w:rsidP="00C559C9">
      <w:pPr>
        <w:pStyle w:val="Noparagraphstyle"/>
        <w:rPr>
          <w:rFonts w:ascii="Arial Narrow" w:hAnsi="Arial Narrow"/>
          <w:b/>
          <w:color w:val="FF0000"/>
          <w:sz w:val="20"/>
          <w:szCs w:val="20"/>
        </w:rPr>
      </w:pPr>
    </w:p>
    <w:p w14:paraId="0905EA74" w14:textId="77777777" w:rsidR="00074716" w:rsidRDefault="00074716" w:rsidP="00C559C9">
      <w:pPr>
        <w:pStyle w:val="Noparagraphstyle"/>
        <w:rPr>
          <w:rFonts w:ascii="Arial Narrow" w:hAnsi="Arial Narrow"/>
          <w:b/>
          <w:color w:val="FF0000"/>
          <w:sz w:val="20"/>
          <w:szCs w:val="20"/>
        </w:rPr>
      </w:pPr>
    </w:p>
    <w:p w14:paraId="7568DC23" w14:textId="77777777" w:rsidR="00074716" w:rsidRDefault="00074716" w:rsidP="00C559C9">
      <w:pPr>
        <w:pStyle w:val="Noparagraphstyle"/>
        <w:rPr>
          <w:rFonts w:ascii="Arial Narrow" w:hAnsi="Arial Narrow"/>
          <w:b/>
          <w:color w:val="FF0000"/>
          <w:sz w:val="20"/>
          <w:szCs w:val="20"/>
        </w:rPr>
      </w:pPr>
    </w:p>
    <w:p w14:paraId="539B08B0" w14:textId="11024760" w:rsidR="00074716" w:rsidRDefault="00074716" w:rsidP="00074716">
      <w:pPr>
        <w:pStyle w:val="NormalWeb"/>
        <w:shd w:val="clear" w:color="auto" w:fill="FFFFFF"/>
        <w:spacing w:before="0" w:beforeAutospacing="0" w:after="225" w:afterAutospacing="0"/>
        <w:jc w:val="both"/>
        <w:rPr>
          <w:rFonts w:cs="Arial"/>
          <w:color w:val="000000"/>
          <w:sz w:val="21"/>
          <w:szCs w:val="21"/>
        </w:rPr>
        <w:sectPr w:rsidR="00074716" w:rsidSect="001721D8">
          <w:headerReference w:type="default" r:id="rId9"/>
          <w:footerReference w:type="default" r:id="rId10"/>
          <w:footerReference w:type="first" r:id="rId11"/>
          <w:pgSz w:w="12240" w:h="15840" w:code="1"/>
          <w:pgMar w:top="360" w:right="907" w:bottom="446" w:left="907" w:header="0" w:footer="288" w:gutter="0"/>
          <w:cols w:space="720"/>
          <w:docGrid w:linePitch="360"/>
        </w:sectPr>
      </w:pPr>
    </w:p>
    <w:p w14:paraId="5AEA6FFD" w14:textId="77777777" w:rsidR="00384949" w:rsidRDefault="00384949" w:rsidP="0084541D">
      <w:pPr>
        <w:pStyle w:val="Heading1"/>
        <w:spacing w:before="0" w:line="240" w:lineRule="auto"/>
      </w:pPr>
      <w:bookmarkStart w:id="0" w:name="_Hlk216954066"/>
      <w:r w:rsidRPr="00384949">
        <w:t xml:space="preserve">Upcoming Changes to Health Safety Net Pharmacy Reimbursement of Non-Drug Products  </w:t>
      </w:r>
    </w:p>
    <w:bookmarkEnd w:id="0"/>
    <w:p w14:paraId="379A89B9" w14:textId="36C10ED9" w:rsidR="00384949" w:rsidRDefault="00384949" w:rsidP="00384949">
      <w:pPr>
        <w:pStyle w:val="Default"/>
        <w:spacing w:before="120" w:after="120"/>
        <w:rPr>
          <w:rFonts w:ascii="Arial" w:hAnsi="Arial" w:cs="Arial"/>
          <w:color w:val="auto"/>
          <w:sz w:val="22"/>
          <w:szCs w:val="22"/>
        </w:rPr>
      </w:pPr>
      <w:r w:rsidRPr="00384949">
        <w:rPr>
          <w:rFonts w:ascii="Arial" w:hAnsi="Arial" w:cs="Arial"/>
          <w:color w:val="auto"/>
          <w:sz w:val="22"/>
          <w:szCs w:val="22"/>
        </w:rPr>
        <w:t>Health Safety Net</w:t>
      </w:r>
      <w:r w:rsidR="00087954">
        <w:rPr>
          <w:rFonts w:ascii="Arial" w:hAnsi="Arial" w:cs="Arial"/>
          <w:color w:val="auto"/>
          <w:sz w:val="22"/>
          <w:szCs w:val="22"/>
        </w:rPr>
        <w:t xml:space="preserve"> (HSN)</w:t>
      </w:r>
      <w:r w:rsidRPr="00384949">
        <w:rPr>
          <w:rFonts w:ascii="Arial" w:hAnsi="Arial" w:cs="Arial"/>
          <w:color w:val="auto"/>
          <w:sz w:val="22"/>
          <w:szCs w:val="22"/>
        </w:rPr>
        <w:t xml:space="preserve"> coverage of non-drug products has historically matched the MassHealth Non-Drug Product List. However, effective January 12, 2026, the Health Safety Net is changing the management of the HSN formulary. Please see </w:t>
      </w:r>
      <w:hyperlink r:id="rId12" w:anchor="2025-" w:history="1">
        <w:r w:rsidRPr="00087954">
          <w:rPr>
            <w:rStyle w:val="Hyperlink"/>
            <w:rFonts w:ascii="Arial" w:hAnsi="Arial" w:cs="Arial"/>
            <w:sz w:val="22"/>
            <w:szCs w:val="22"/>
          </w:rPr>
          <w:t>Pharmacy Facts 258</w:t>
        </w:r>
      </w:hyperlink>
      <w:r w:rsidRPr="00384949">
        <w:rPr>
          <w:rFonts w:ascii="Arial" w:hAnsi="Arial" w:cs="Arial"/>
          <w:color w:val="auto"/>
          <w:sz w:val="22"/>
          <w:szCs w:val="22"/>
        </w:rPr>
        <w:t xml:space="preserve"> for detailed information on these changes.</w:t>
      </w:r>
    </w:p>
    <w:p w14:paraId="0CCBE727" w14:textId="308C233A" w:rsidR="00E871FA" w:rsidRDefault="00E871FA" w:rsidP="00E871FA">
      <w:pPr>
        <w:rPr>
          <w:rFonts w:eastAsia="Arial"/>
        </w:rPr>
      </w:pPr>
      <w:r>
        <w:rPr>
          <w:rFonts w:eastAsia="Arial"/>
        </w:rPr>
        <w:t>Effective January 12, 2026, only select non-drug products will be reimbursable as a</w:t>
      </w:r>
      <w:r w:rsidR="000C0D3C">
        <w:rPr>
          <w:rFonts w:eastAsia="Arial"/>
        </w:rPr>
        <w:t>n</w:t>
      </w:r>
      <w:r>
        <w:rPr>
          <w:rFonts w:eastAsia="Arial"/>
        </w:rPr>
        <w:t xml:space="preserve"> HSN pharmacy service. The table below summarizes HSN reimbursable non-drug products effective January 12, 2026.</w:t>
      </w:r>
    </w:p>
    <w:p w14:paraId="03E2808C" w14:textId="77777777" w:rsidR="00E871FA" w:rsidRDefault="00E871FA" w:rsidP="00E871FA">
      <w:pPr>
        <w:rPr>
          <w:rFonts w:eastAsia="Arial"/>
        </w:rPr>
      </w:pPr>
    </w:p>
    <w:tbl>
      <w:tblPr>
        <w:tblStyle w:val="TableGrid"/>
        <w:tblW w:w="0" w:type="auto"/>
        <w:tblLook w:val="0400" w:firstRow="0" w:lastRow="0" w:firstColumn="0" w:lastColumn="0" w:noHBand="0" w:noVBand="1"/>
      </w:tblPr>
      <w:tblGrid>
        <w:gridCol w:w="5208"/>
        <w:gridCol w:w="5208"/>
      </w:tblGrid>
      <w:tr w:rsidR="00E871FA" w14:paraId="293CA60C" w14:textId="77777777" w:rsidTr="003B00B7">
        <w:trPr>
          <w:tblHeader/>
        </w:trPr>
        <w:tc>
          <w:tcPr>
            <w:tcW w:w="5208" w:type="dxa"/>
            <w:shd w:val="clear" w:color="auto" w:fill="BFBFBF" w:themeFill="background1" w:themeFillShade="BF"/>
          </w:tcPr>
          <w:p w14:paraId="056F6B42" w14:textId="77777777" w:rsidR="00E871FA" w:rsidRDefault="00E871FA" w:rsidP="00543699">
            <w:pPr>
              <w:pStyle w:val="BodyText10"/>
              <w:spacing w:after="0" w:line="240" w:lineRule="auto"/>
              <w:rPr>
                <w:rFonts w:eastAsia="Arial"/>
                <w:color w:val="000000" w:themeColor="text1"/>
                <w:sz w:val="22"/>
                <w:szCs w:val="22"/>
              </w:rPr>
            </w:pPr>
            <w:r>
              <w:rPr>
                <w:rFonts w:eastAsia="Arial"/>
                <w:color w:val="000000" w:themeColor="text1"/>
                <w:sz w:val="22"/>
                <w:szCs w:val="22"/>
              </w:rPr>
              <w:t xml:space="preserve">Non-drug products that will generally be reimbursable </w:t>
            </w:r>
            <w:r w:rsidRPr="00965804">
              <w:rPr>
                <w:rFonts w:eastAsia="Arial"/>
                <w:b/>
                <w:bCs/>
                <w:color w:val="000000" w:themeColor="text1"/>
                <w:sz w:val="22"/>
                <w:szCs w:val="22"/>
              </w:rPr>
              <w:t>without prior authorization</w:t>
            </w:r>
          </w:p>
        </w:tc>
        <w:tc>
          <w:tcPr>
            <w:tcW w:w="5208" w:type="dxa"/>
            <w:shd w:val="clear" w:color="auto" w:fill="BFBFBF" w:themeFill="background1" w:themeFillShade="BF"/>
          </w:tcPr>
          <w:p w14:paraId="1E727D46" w14:textId="77777777" w:rsidR="00E871FA" w:rsidRDefault="00E871FA" w:rsidP="00543699">
            <w:pPr>
              <w:pStyle w:val="BodyText10"/>
              <w:spacing w:after="0" w:line="240" w:lineRule="auto"/>
              <w:rPr>
                <w:rFonts w:eastAsia="Arial"/>
                <w:color w:val="000000" w:themeColor="text1"/>
                <w:sz w:val="22"/>
                <w:szCs w:val="22"/>
              </w:rPr>
            </w:pPr>
            <w:r>
              <w:rPr>
                <w:rFonts w:eastAsia="Arial"/>
                <w:color w:val="000000" w:themeColor="text1"/>
                <w:sz w:val="22"/>
                <w:szCs w:val="22"/>
              </w:rPr>
              <w:t xml:space="preserve">Non-drug products that will generally be reimbursable </w:t>
            </w:r>
            <w:r w:rsidRPr="00965804">
              <w:rPr>
                <w:rFonts w:eastAsia="Arial"/>
                <w:b/>
                <w:bCs/>
                <w:color w:val="000000" w:themeColor="text1"/>
                <w:sz w:val="22"/>
                <w:szCs w:val="22"/>
              </w:rPr>
              <w:t>with prior authorization</w:t>
            </w:r>
          </w:p>
        </w:tc>
      </w:tr>
      <w:tr w:rsidR="00E871FA" w14:paraId="6606F4DC" w14:textId="77777777" w:rsidTr="00E871FA">
        <w:tc>
          <w:tcPr>
            <w:tcW w:w="5208" w:type="dxa"/>
          </w:tcPr>
          <w:p w14:paraId="16BAD601" w14:textId="77777777" w:rsidR="00E871FA" w:rsidRDefault="00E871FA" w:rsidP="00E871FA">
            <w:pPr>
              <w:pStyle w:val="Bulletedlist"/>
              <w:rPr>
                <w:rFonts w:eastAsia="Arial"/>
              </w:rPr>
            </w:pPr>
            <w:r>
              <w:rPr>
                <w:rFonts w:eastAsia="Arial"/>
              </w:rPr>
              <w:t>Alcohol swabs</w:t>
            </w:r>
          </w:p>
          <w:p w14:paraId="18B0AE52" w14:textId="77777777" w:rsidR="00E871FA" w:rsidRDefault="00E871FA" w:rsidP="00E871FA">
            <w:pPr>
              <w:pStyle w:val="Bulletedlist"/>
              <w:rPr>
                <w:rFonts w:eastAsia="Arial"/>
              </w:rPr>
            </w:pPr>
            <w:r>
              <w:rPr>
                <w:rFonts w:eastAsia="Arial"/>
              </w:rPr>
              <w:t>Preferred blood glucose test strips within quantity limits</w:t>
            </w:r>
          </w:p>
          <w:p w14:paraId="4D1C3DFB" w14:textId="77777777" w:rsidR="00E871FA" w:rsidRPr="007A3DD2" w:rsidRDefault="00E871FA" w:rsidP="00E871FA">
            <w:pPr>
              <w:pStyle w:val="Bulletedlist"/>
              <w:rPr>
                <w:rFonts w:eastAsia="Arial"/>
              </w:rPr>
            </w:pPr>
            <w:r w:rsidRPr="007A3DD2">
              <w:rPr>
                <w:rFonts w:eastAsia="Arial"/>
              </w:rPr>
              <w:t>Lancets</w:t>
            </w:r>
          </w:p>
          <w:p w14:paraId="4F8296E1" w14:textId="77777777" w:rsidR="00E871FA" w:rsidRDefault="00E871FA" w:rsidP="00E871FA">
            <w:pPr>
              <w:pStyle w:val="Bulletedlist"/>
              <w:rPr>
                <w:rFonts w:eastAsia="Arial"/>
              </w:rPr>
            </w:pPr>
            <w:r>
              <w:rPr>
                <w:rFonts w:eastAsia="Arial"/>
              </w:rPr>
              <w:t>Pen needles</w:t>
            </w:r>
          </w:p>
          <w:p w14:paraId="5FE327A1" w14:textId="77777777" w:rsidR="00E871FA" w:rsidRDefault="00E871FA" w:rsidP="00E871FA">
            <w:pPr>
              <w:pStyle w:val="Bulletedlist"/>
              <w:rPr>
                <w:rFonts w:eastAsia="Arial"/>
              </w:rPr>
            </w:pPr>
            <w:r>
              <w:rPr>
                <w:rFonts w:eastAsia="Arial"/>
              </w:rPr>
              <w:t>Disposable needles and syringes</w:t>
            </w:r>
          </w:p>
          <w:p w14:paraId="287428ED" w14:textId="77777777" w:rsidR="00E871FA" w:rsidRDefault="00E871FA" w:rsidP="00E871FA">
            <w:pPr>
              <w:pStyle w:val="Bulletedlist"/>
              <w:rPr>
                <w:rFonts w:eastAsia="Arial"/>
              </w:rPr>
            </w:pPr>
            <w:r>
              <w:rPr>
                <w:rFonts w:eastAsia="Arial"/>
              </w:rPr>
              <w:t>Ketone test strips</w:t>
            </w:r>
          </w:p>
          <w:p w14:paraId="0B52D2FC" w14:textId="77777777" w:rsidR="00E871FA" w:rsidRPr="005D7E5E" w:rsidRDefault="00E871FA" w:rsidP="00E871FA">
            <w:pPr>
              <w:pStyle w:val="Bulletedlist"/>
              <w:rPr>
                <w:rFonts w:eastAsia="Arial"/>
              </w:rPr>
            </w:pPr>
            <w:r>
              <w:rPr>
                <w:rFonts w:eastAsia="Arial"/>
              </w:rPr>
              <w:t>Urine glucose test strips</w:t>
            </w:r>
          </w:p>
        </w:tc>
        <w:tc>
          <w:tcPr>
            <w:tcW w:w="5208" w:type="dxa"/>
          </w:tcPr>
          <w:p w14:paraId="0374BA95" w14:textId="77777777" w:rsidR="00E871FA" w:rsidRDefault="00E871FA" w:rsidP="00E871FA">
            <w:pPr>
              <w:pStyle w:val="Bulletedlist"/>
              <w:rPr>
                <w:rFonts w:eastAsia="Arial"/>
              </w:rPr>
            </w:pPr>
            <w:r>
              <w:rPr>
                <w:rFonts w:eastAsia="Arial"/>
              </w:rPr>
              <w:t xml:space="preserve">Preferred </w:t>
            </w:r>
            <w:r w:rsidRPr="00CF5087">
              <w:rPr>
                <w:rFonts w:eastAsia="Arial"/>
              </w:rPr>
              <w:t>continuous glucose monitors</w:t>
            </w:r>
          </w:p>
          <w:p w14:paraId="30269FFA" w14:textId="77777777" w:rsidR="00E871FA" w:rsidRDefault="00E871FA" w:rsidP="00E871FA">
            <w:pPr>
              <w:pStyle w:val="Bulletedlist"/>
              <w:rPr>
                <w:rFonts w:eastAsia="Arial"/>
              </w:rPr>
            </w:pPr>
            <w:r>
              <w:rPr>
                <w:rFonts w:eastAsia="Arial"/>
              </w:rPr>
              <w:t xml:space="preserve">Preferred </w:t>
            </w:r>
            <w:r w:rsidRPr="00CF5087">
              <w:rPr>
                <w:rFonts w:eastAsia="Arial"/>
              </w:rPr>
              <w:t>continuous subcutaneous insulin infusion devices</w:t>
            </w:r>
          </w:p>
          <w:p w14:paraId="54D3F5FD" w14:textId="77777777" w:rsidR="00E871FA" w:rsidRDefault="00E871FA" w:rsidP="00E871FA">
            <w:pPr>
              <w:pStyle w:val="Bulletedlist"/>
              <w:rPr>
                <w:rFonts w:eastAsia="Arial"/>
              </w:rPr>
            </w:pPr>
            <w:r>
              <w:rPr>
                <w:rFonts w:eastAsia="Arial"/>
              </w:rPr>
              <w:t>Preferred blood glucose test strips above quantity limits</w:t>
            </w:r>
          </w:p>
          <w:p w14:paraId="6290BF47" w14:textId="77777777" w:rsidR="00E871FA" w:rsidRDefault="00E871FA" w:rsidP="00543699">
            <w:pPr>
              <w:pStyle w:val="BodyText10"/>
              <w:spacing w:after="0" w:line="240" w:lineRule="auto"/>
              <w:rPr>
                <w:rFonts w:eastAsia="Arial"/>
                <w:color w:val="000000" w:themeColor="text1"/>
                <w:sz w:val="22"/>
                <w:szCs w:val="22"/>
              </w:rPr>
            </w:pPr>
          </w:p>
        </w:tc>
      </w:tr>
    </w:tbl>
    <w:p w14:paraId="33EC959B" w14:textId="77777777" w:rsidR="00E871FA" w:rsidRDefault="00E871FA" w:rsidP="00E871FA">
      <w:pPr>
        <w:pStyle w:val="BodyText10"/>
        <w:spacing w:after="0" w:line="240" w:lineRule="auto"/>
        <w:rPr>
          <w:rFonts w:eastAsia="Arial"/>
          <w:color w:val="000000" w:themeColor="text1"/>
          <w:sz w:val="22"/>
          <w:szCs w:val="22"/>
        </w:rPr>
      </w:pPr>
    </w:p>
    <w:p w14:paraId="1634348D" w14:textId="77777777" w:rsidR="00E871FA" w:rsidRPr="007C336D" w:rsidRDefault="00E871FA" w:rsidP="00E871FA">
      <w:pPr>
        <w:rPr>
          <w:rFonts w:eastAsia="Arial"/>
        </w:rPr>
      </w:pPr>
      <w:r w:rsidRPr="19B1264F">
        <w:rPr>
          <w:rFonts w:eastAsia="Arial"/>
        </w:rPr>
        <w:t xml:space="preserve">Although existing prior authorizations (PA) for medications will be terminated effective January 12, 2026, existing </w:t>
      </w:r>
      <w:r w:rsidRPr="00965804">
        <w:rPr>
          <w:rFonts w:eastAsia="Arial"/>
        </w:rPr>
        <w:t>PAs</w:t>
      </w:r>
      <w:r w:rsidRPr="19B1264F">
        <w:rPr>
          <w:rFonts w:eastAsia="Arial"/>
        </w:rPr>
        <w:t xml:space="preserve"> for preferred non-drug products will be honored through the current expiration dates.</w:t>
      </w:r>
    </w:p>
    <w:p w14:paraId="0CA4AA86" w14:textId="77777777" w:rsidR="0084541D" w:rsidRDefault="0084541D" w:rsidP="0084541D">
      <w:pPr>
        <w:pStyle w:val="Heading1"/>
        <w:spacing w:before="120" w:line="240" w:lineRule="auto"/>
        <w:rPr>
          <w:rFonts w:eastAsia="Arial"/>
          <w:color w:val="000000" w:themeColor="text1"/>
          <w:sz w:val="22"/>
          <w:szCs w:val="22"/>
        </w:rPr>
      </w:pPr>
      <w:r w:rsidRPr="5C3C1752">
        <w:rPr>
          <w:rFonts w:eastAsia="Arial"/>
        </w:rPr>
        <w:t xml:space="preserve">Health Safety Net </w:t>
      </w:r>
      <w:r>
        <w:rPr>
          <w:rFonts w:eastAsia="Arial"/>
        </w:rPr>
        <w:t>Will No Longer Reimburse for Enteral Non-Drug Products</w:t>
      </w:r>
    </w:p>
    <w:p w14:paraId="33543AA0" w14:textId="5D3BF9AD" w:rsidR="0084541D" w:rsidRPr="0084541D" w:rsidRDefault="0084541D" w:rsidP="0084541D">
      <w:pPr>
        <w:spacing w:before="120" w:after="120"/>
      </w:pPr>
      <w:r w:rsidRPr="0084541D">
        <w:t>Any non-drug products not listed above will no longer be reimbursable as a</w:t>
      </w:r>
      <w:r w:rsidR="00087954">
        <w:t>n</w:t>
      </w:r>
      <w:r w:rsidRPr="0084541D">
        <w:t xml:space="preserve"> HSN pharmacy service. This includes, but is not limited to, pediatric enteral special formulas, thickening agents, medically necessary enteral nutritional liquid, or medically necessary formula for HSN patients.</w:t>
      </w:r>
    </w:p>
    <w:p w14:paraId="31B87777" w14:textId="4159D555" w:rsidR="00E871FA" w:rsidRDefault="0084541D" w:rsidP="0084541D">
      <w:r w:rsidRPr="0084541D">
        <w:t>Please note this update applies to HSN patients only. These enteral non-drug products continue to be covered under the pharmacy benefit for MassHealth members, including members enrolled in MassHealth Standard, CommonHealth, Children’s Medical Security Plan (CSMP), MassHealth fee-for-service, the Primary Care Clinician (PCC) plan, in a Primary Care Accountable Care Organization (PCACP), or a managed care entity.</w:t>
      </w:r>
    </w:p>
    <w:p w14:paraId="1B252F78" w14:textId="77777777" w:rsidR="0084541D" w:rsidRDefault="0084541D" w:rsidP="0084541D"/>
    <w:p w14:paraId="33FA4D2A" w14:textId="77777777" w:rsidR="0084541D" w:rsidRPr="0084541D" w:rsidRDefault="0084541D" w:rsidP="0084541D">
      <w:pPr>
        <w:pStyle w:val="Heading1"/>
        <w:rPr>
          <w:rFonts w:eastAsia="Times New Roman"/>
        </w:rPr>
      </w:pPr>
      <w:r w:rsidRPr="0084541D">
        <w:rPr>
          <w:rFonts w:eastAsia="Times New Roman"/>
        </w:rPr>
        <w:lastRenderedPageBreak/>
        <w:t xml:space="preserve">Additional Resources for Enteral Non-Drug Products </w:t>
      </w:r>
    </w:p>
    <w:p w14:paraId="60E868C2" w14:textId="4F975CFC" w:rsidR="0084541D" w:rsidRDefault="0084541D" w:rsidP="0084541D">
      <w:r w:rsidRPr="0084541D">
        <w:t>Providers should refer HSN patients who have been receiving infant formula through the pharmacy to the Massachusetts Department of Public Health’s (DPH) Women, Infants, and Children (WIC) program. This nutrition program provides healthy foods, nutrition education, breastfeeding support, and referrals to healthcare and other services, free of charge, to Massachusetts families who qualify. Infant formula and specialty medical formulas are available as part of the WIC food package for patients who are not fully breastfeeding or need special formula for medical need.</w:t>
      </w:r>
    </w:p>
    <w:p w14:paraId="3A0678DE" w14:textId="71341F4D" w:rsidR="0084541D" w:rsidRDefault="0084541D" w:rsidP="0084541D">
      <w:pPr>
        <w:pStyle w:val="Heading1"/>
      </w:pPr>
      <w:r w:rsidRPr="0084541D">
        <w:t>What other resources are available?</w:t>
      </w:r>
    </w:p>
    <w:p w14:paraId="374E31AE" w14:textId="77777777" w:rsidR="00374611" w:rsidRPr="00374611" w:rsidRDefault="00374611" w:rsidP="00374611">
      <w:pPr>
        <w:numPr>
          <w:ilvl w:val="0"/>
          <w:numId w:val="12"/>
        </w:numPr>
        <w:autoSpaceDE w:val="0"/>
        <w:autoSpaceDN w:val="0"/>
        <w:adjustRightInd w:val="0"/>
        <w:ind w:left="1080"/>
        <w:rPr>
          <w:rFonts w:cs="Arial"/>
          <w:color w:val="000000"/>
          <w:szCs w:val="22"/>
        </w:rPr>
      </w:pPr>
      <w:hyperlink r:id="rId13">
        <w:r w:rsidRPr="00374611">
          <w:rPr>
            <w:rStyle w:val="Hyperlink"/>
            <w:rFonts w:eastAsia="Arial"/>
            <w:szCs w:val="22"/>
          </w:rPr>
          <w:t>Massachusetts WIC Program</w:t>
        </w:r>
      </w:hyperlink>
    </w:p>
    <w:p w14:paraId="19AC40F8" w14:textId="25BBF90D" w:rsidR="00374611" w:rsidRPr="00374611" w:rsidRDefault="00374611" w:rsidP="00374611">
      <w:pPr>
        <w:numPr>
          <w:ilvl w:val="0"/>
          <w:numId w:val="12"/>
        </w:numPr>
        <w:autoSpaceDE w:val="0"/>
        <w:autoSpaceDN w:val="0"/>
        <w:adjustRightInd w:val="0"/>
        <w:ind w:left="1080"/>
        <w:rPr>
          <w:rFonts w:cs="Arial"/>
          <w:color w:val="000000"/>
          <w:szCs w:val="22"/>
        </w:rPr>
      </w:pPr>
      <w:hyperlink r:id="rId14">
        <w:r w:rsidRPr="00374611">
          <w:rPr>
            <w:rStyle w:val="Hyperlink"/>
            <w:rFonts w:eastAsia="Arial"/>
            <w:szCs w:val="22"/>
          </w:rPr>
          <w:t>USDA WIC Breastfeeding Support</w:t>
        </w:r>
      </w:hyperlink>
      <w:r w:rsidRPr="00374611">
        <w:rPr>
          <w:rFonts w:eastAsia="Arial"/>
          <w:color w:val="000000" w:themeColor="text1"/>
          <w:szCs w:val="22"/>
        </w:rPr>
        <w:t xml:space="preserve"> </w:t>
      </w:r>
    </w:p>
    <w:p w14:paraId="4A40C99C" w14:textId="4B94BEAB" w:rsidR="00D66801" w:rsidRPr="0084541D" w:rsidRDefault="00D66801" w:rsidP="00374611">
      <w:pPr>
        <w:autoSpaceDE w:val="0"/>
        <w:autoSpaceDN w:val="0"/>
        <w:adjustRightInd w:val="0"/>
        <w:ind w:left="1080"/>
        <w:rPr>
          <w:rFonts w:cs="Arial"/>
          <w:szCs w:val="22"/>
        </w:rPr>
      </w:pPr>
    </w:p>
    <w:p w14:paraId="328346A1" w14:textId="77777777" w:rsidR="00D66801" w:rsidRDefault="00D66801" w:rsidP="00212622">
      <w:pPr>
        <w:shd w:val="clear" w:color="auto" w:fill="FFFFFF"/>
        <w:ind w:left="270" w:hanging="441"/>
        <w:rPr>
          <w:bCs/>
          <w:sz w:val="18"/>
          <w:szCs w:val="18"/>
        </w:rPr>
        <w:sectPr w:rsidR="00D66801" w:rsidSect="00DB423E">
          <w:headerReference w:type="default" r:id="rId15"/>
          <w:footerReference w:type="default" r:id="rId16"/>
          <w:type w:val="continuous"/>
          <w:pgSz w:w="12240" w:h="15840" w:code="1"/>
          <w:pgMar w:top="360" w:right="907" w:bottom="720" w:left="907" w:header="720" w:footer="576" w:gutter="0"/>
          <w:cols w:sep="1" w:space="720"/>
          <w:docGrid w:linePitch="360"/>
        </w:sectPr>
      </w:pPr>
    </w:p>
    <w:p w14:paraId="713969F9" w14:textId="77777777" w:rsidR="00A650DC" w:rsidRPr="001721D8" w:rsidRDefault="00A650DC" w:rsidP="0037571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A275" w14:textId="77777777" w:rsidR="00267FBD" w:rsidRDefault="00267FBD" w:rsidP="00492602">
      <w:r>
        <w:separator/>
      </w:r>
    </w:p>
  </w:endnote>
  <w:endnote w:type="continuationSeparator" w:id="0">
    <w:p w14:paraId="2026E35F" w14:textId="77777777" w:rsidR="00267FBD" w:rsidRDefault="00267FBD"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0CE2" w14:textId="77777777" w:rsidR="00FE5811" w:rsidRDefault="00FE5811" w:rsidP="00FE5811">
    <w:pPr>
      <w:pBdr>
        <w:top w:val="single" w:sz="18" w:space="1" w:color="auto"/>
      </w:pBdr>
      <w:tabs>
        <w:tab w:val="left" w:pos="-90"/>
        <w:tab w:val="left" w:pos="530"/>
        <w:tab w:val="center" w:pos="5400"/>
      </w:tabs>
      <w:autoSpaceDE w:val="0"/>
      <w:autoSpaceDN w:val="0"/>
      <w:adjustRightInd w:val="0"/>
      <w:jc w:val="center"/>
      <w:textAlignment w:val="baseline"/>
      <w:rPr>
        <w:rFonts w:cs="Arial"/>
        <w:iCs/>
        <w:sz w:val="18"/>
        <w:szCs w:val="18"/>
      </w:rPr>
    </w:pPr>
    <w:r>
      <w:rPr>
        <w:rFonts w:cs="Arial"/>
        <w:iCs/>
        <w:sz w:val="18"/>
        <w:szCs w:val="18"/>
      </w:rPr>
      <w:t>Please direct any</w:t>
    </w:r>
    <w:r w:rsidRPr="002D3600">
      <w:rPr>
        <w:rFonts w:cs="Arial"/>
        <w:iCs/>
        <w:sz w:val="18"/>
        <w:szCs w:val="18"/>
      </w:rPr>
      <w:t xml:space="preserve"> questions or comments</w:t>
    </w:r>
    <w:r>
      <w:rPr>
        <w:rFonts w:cs="Arial"/>
        <w:iCs/>
        <w:sz w:val="18"/>
        <w:szCs w:val="18"/>
      </w:rPr>
      <w:t xml:space="preserve"> (or </w:t>
    </w:r>
    <w:r w:rsidRPr="002D3600">
      <w:rPr>
        <w:rFonts w:cs="Arial"/>
        <w:iCs/>
        <w:sz w:val="18"/>
        <w:szCs w:val="18"/>
      </w:rPr>
      <w:t>to be removed from this fax distribution</w:t>
    </w:r>
    <w:r>
      <w:rPr>
        <w:rFonts w:cs="Arial"/>
        <w:iCs/>
        <w:sz w:val="18"/>
        <w:szCs w:val="18"/>
      </w:rPr>
      <w:t>)</w:t>
    </w:r>
    <w:r w:rsidRPr="002D3600">
      <w:rPr>
        <w:rFonts w:cs="Arial"/>
        <w:iCs/>
        <w:sz w:val="18"/>
        <w:szCs w:val="18"/>
      </w:rPr>
      <w:t xml:space="preserve"> </w:t>
    </w:r>
    <w:r>
      <w:rPr>
        <w:rFonts w:cs="Arial"/>
        <w:iCs/>
        <w:sz w:val="18"/>
        <w:szCs w:val="18"/>
      </w:rPr>
      <w:t>to</w:t>
    </w:r>
  </w:p>
  <w:p w14:paraId="080F3C14" w14:textId="0F4FAACF" w:rsidR="00637A67" w:rsidRPr="00FE5811" w:rsidRDefault="00FE5811" w:rsidP="00FE5811">
    <w:pPr>
      <w:tabs>
        <w:tab w:val="left" w:pos="-90"/>
      </w:tabs>
      <w:autoSpaceDE w:val="0"/>
      <w:autoSpaceDN w:val="0"/>
      <w:adjustRightInd w:val="0"/>
      <w:jc w:val="center"/>
      <w:textAlignment w:val="baseline"/>
    </w:pPr>
    <w:hyperlink r:id="rId1" w:history="1">
      <w:r w:rsidRPr="00386AF8">
        <w:rPr>
          <w:rStyle w:val="Hyperlink"/>
          <w:rFonts w:cs="Arial"/>
          <w:iCs/>
          <w:sz w:val="18"/>
          <w:szCs w:val="18"/>
        </w:rPr>
        <w:t>PharmFactsMA@Conduent.com</w:t>
      </w:r>
    </w:hyperlink>
    <w:r>
      <w:rPr>
        <w:rFonts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0654" w14:textId="77777777" w:rsidR="00267FBD" w:rsidRDefault="00267FBD" w:rsidP="00492602">
      <w:r>
        <w:separator/>
      </w:r>
    </w:p>
  </w:footnote>
  <w:footnote w:type="continuationSeparator" w:id="0">
    <w:p w14:paraId="0B40606D" w14:textId="77777777" w:rsidR="00267FBD" w:rsidRDefault="00267FBD"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CA5C" w14:textId="77777777" w:rsidR="00492602" w:rsidRDefault="00492602" w:rsidP="00492602">
    <w:pPr>
      <w:pStyle w:val="Header"/>
    </w:pPr>
  </w:p>
  <w:p w14:paraId="70381D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EDF9" w14:textId="3F3DC41B"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7B298F" w:rsidRPr="007B298F">
      <w:rPr>
        <w:color w:val="auto"/>
        <w:sz w:val="18"/>
        <w:szCs w:val="18"/>
      </w:rPr>
      <w:t>265</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06931"/>
    <w:multiLevelType w:val="hybridMultilevel"/>
    <w:tmpl w:val="415611BA"/>
    <w:lvl w:ilvl="0" w:tplc="751C4A02">
      <w:start w:val="1"/>
      <w:numFmt w:val="bullet"/>
      <w:lvlText w:val=""/>
      <w:lvlJc w:val="left"/>
      <w:pPr>
        <w:ind w:left="720" w:hanging="360"/>
      </w:pPr>
      <w:rPr>
        <w:rFonts w:ascii="Symbol" w:hAnsi="Symbol" w:hint="default"/>
      </w:rPr>
    </w:lvl>
    <w:lvl w:ilvl="1" w:tplc="A11EA3BC">
      <w:start w:val="1"/>
      <w:numFmt w:val="bullet"/>
      <w:lvlText w:val="o"/>
      <w:lvlJc w:val="left"/>
      <w:pPr>
        <w:ind w:left="1440" w:hanging="360"/>
      </w:pPr>
      <w:rPr>
        <w:rFonts w:ascii="Courier New" w:hAnsi="Courier New" w:hint="default"/>
      </w:rPr>
    </w:lvl>
    <w:lvl w:ilvl="2" w:tplc="CD0E479C">
      <w:start w:val="1"/>
      <w:numFmt w:val="bullet"/>
      <w:lvlText w:val=""/>
      <w:lvlJc w:val="left"/>
      <w:pPr>
        <w:ind w:left="2160" w:hanging="360"/>
      </w:pPr>
      <w:rPr>
        <w:rFonts w:ascii="Wingdings" w:hAnsi="Wingdings" w:hint="default"/>
      </w:rPr>
    </w:lvl>
    <w:lvl w:ilvl="3" w:tplc="7BE21322">
      <w:start w:val="1"/>
      <w:numFmt w:val="bullet"/>
      <w:lvlText w:val=""/>
      <w:lvlJc w:val="left"/>
      <w:pPr>
        <w:ind w:left="2880" w:hanging="360"/>
      </w:pPr>
      <w:rPr>
        <w:rFonts w:ascii="Symbol" w:hAnsi="Symbol" w:hint="default"/>
      </w:rPr>
    </w:lvl>
    <w:lvl w:ilvl="4" w:tplc="41FE03CE">
      <w:start w:val="1"/>
      <w:numFmt w:val="bullet"/>
      <w:lvlText w:val="o"/>
      <w:lvlJc w:val="left"/>
      <w:pPr>
        <w:ind w:left="3600" w:hanging="360"/>
      </w:pPr>
      <w:rPr>
        <w:rFonts w:ascii="Courier New" w:hAnsi="Courier New" w:hint="default"/>
      </w:rPr>
    </w:lvl>
    <w:lvl w:ilvl="5" w:tplc="2EB06E20">
      <w:start w:val="1"/>
      <w:numFmt w:val="bullet"/>
      <w:lvlText w:val=""/>
      <w:lvlJc w:val="left"/>
      <w:pPr>
        <w:ind w:left="4320" w:hanging="360"/>
      </w:pPr>
      <w:rPr>
        <w:rFonts w:ascii="Wingdings" w:hAnsi="Wingdings" w:hint="default"/>
      </w:rPr>
    </w:lvl>
    <w:lvl w:ilvl="6" w:tplc="64B61BAA">
      <w:start w:val="1"/>
      <w:numFmt w:val="bullet"/>
      <w:lvlText w:val=""/>
      <w:lvlJc w:val="left"/>
      <w:pPr>
        <w:ind w:left="5040" w:hanging="360"/>
      </w:pPr>
      <w:rPr>
        <w:rFonts w:ascii="Symbol" w:hAnsi="Symbol" w:hint="default"/>
      </w:rPr>
    </w:lvl>
    <w:lvl w:ilvl="7" w:tplc="BAC496CC">
      <w:start w:val="1"/>
      <w:numFmt w:val="bullet"/>
      <w:lvlText w:val="o"/>
      <w:lvlJc w:val="left"/>
      <w:pPr>
        <w:ind w:left="5760" w:hanging="360"/>
      </w:pPr>
      <w:rPr>
        <w:rFonts w:ascii="Courier New" w:hAnsi="Courier New" w:hint="default"/>
      </w:rPr>
    </w:lvl>
    <w:lvl w:ilvl="8" w:tplc="B358D4EA">
      <w:start w:val="1"/>
      <w:numFmt w:val="bullet"/>
      <w:lvlText w:val=""/>
      <w:lvlJc w:val="left"/>
      <w:pPr>
        <w:ind w:left="6480" w:hanging="360"/>
      </w:pPr>
      <w:rPr>
        <w:rFonts w:ascii="Wingdings" w:hAnsi="Wingdings" w:hint="default"/>
      </w:r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C1CDE"/>
    <w:multiLevelType w:val="hybridMultilevel"/>
    <w:tmpl w:val="62D854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C91187D"/>
    <w:multiLevelType w:val="hybridMultilevel"/>
    <w:tmpl w:val="3790D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482787">
    <w:abstractNumId w:val="11"/>
  </w:num>
  <w:num w:numId="2" w16cid:durableId="678387703">
    <w:abstractNumId w:val="17"/>
  </w:num>
  <w:num w:numId="3" w16cid:durableId="171258805">
    <w:abstractNumId w:val="21"/>
  </w:num>
  <w:num w:numId="4" w16cid:durableId="933971704">
    <w:abstractNumId w:val="8"/>
  </w:num>
  <w:num w:numId="5" w16cid:durableId="1146894553">
    <w:abstractNumId w:val="10"/>
  </w:num>
  <w:num w:numId="6" w16cid:durableId="1099835229">
    <w:abstractNumId w:val="16"/>
  </w:num>
  <w:num w:numId="7" w16cid:durableId="1091773746">
    <w:abstractNumId w:val="22"/>
  </w:num>
  <w:num w:numId="8" w16cid:durableId="775977178">
    <w:abstractNumId w:val="3"/>
  </w:num>
  <w:num w:numId="9" w16cid:durableId="1192911353">
    <w:abstractNumId w:val="0"/>
  </w:num>
  <w:num w:numId="10" w16cid:durableId="1998994280">
    <w:abstractNumId w:val="19"/>
  </w:num>
  <w:num w:numId="11" w16cid:durableId="77529562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5"/>
  </w:num>
  <w:num w:numId="13" w16cid:durableId="489909912">
    <w:abstractNumId w:val="21"/>
  </w:num>
  <w:num w:numId="14" w16cid:durableId="12777144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16"/>
  </w:num>
  <w:num w:numId="16" w16cid:durableId="1632830456">
    <w:abstractNumId w:val="18"/>
  </w:num>
  <w:num w:numId="17" w16cid:durableId="1271858877">
    <w:abstractNumId w:val="2"/>
  </w:num>
  <w:num w:numId="18" w16cid:durableId="1285695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6"/>
  </w:num>
  <w:num w:numId="20" w16cid:durableId="155609916">
    <w:abstractNumId w:val="4"/>
  </w:num>
  <w:num w:numId="21" w16cid:durableId="749011242">
    <w:abstractNumId w:val="9"/>
  </w:num>
  <w:num w:numId="22" w16cid:durableId="2135520725">
    <w:abstractNumId w:val="23"/>
  </w:num>
  <w:num w:numId="23" w16cid:durableId="1269894124">
    <w:abstractNumId w:val="24"/>
  </w:num>
  <w:num w:numId="24" w16cid:durableId="1534229008">
    <w:abstractNumId w:val="15"/>
  </w:num>
  <w:num w:numId="25" w16cid:durableId="480999597">
    <w:abstractNumId w:val="20"/>
  </w:num>
  <w:num w:numId="26" w16cid:durableId="1484080441">
    <w:abstractNumId w:val="8"/>
    <w:lvlOverride w:ilvl="0">
      <w:startOverride w:val="1"/>
    </w:lvlOverride>
  </w:num>
  <w:num w:numId="27" w16cid:durableId="339738625">
    <w:abstractNumId w:val="8"/>
  </w:num>
  <w:num w:numId="28" w16cid:durableId="1394038460">
    <w:abstractNumId w:val="7"/>
  </w:num>
  <w:num w:numId="29" w16cid:durableId="1203709859">
    <w:abstractNumId w:val="14"/>
  </w:num>
  <w:num w:numId="30" w16cid:durableId="1210723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4839"/>
    <w:rsid w:val="00061F50"/>
    <w:rsid w:val="000658A5"/>
    <w:rsid w:val="000713D3"/>
    <w:rsid w:val="00074014"/>
    <w:rsid w:val="00074716"/>
    <w:rsid w:val="00081E8E"/>
    <w:rsid w:val="00087954"/>
    <w:rsid w:val="000A622F"/>
    <w:rsid w:val="000A6318"/>
    <w:rsid w:val="000C0D3C"/>
    <w:rsid w:val="000D1502"/>
    <w:rsid w:val="000E690E"/>
    <w:rsid w:val="00102EDF"/>
    <w:rsid w:val="00123D58"/>
    <w:rsid w:val="00124EAA"/>
    <w:rsid w:val="0012682D"/>
    <w:rsid w:val="001378CB"/>
    <w:rsid w:val="00137D3D"/>
    <w:rsid w:val="00140D08"/>
    <w:rsid w:val="00147437"/>
    <w:rsid w:val="00157A49"/>
    <w:rsid w:val="00171445"/>
    <w:rsid w:val="001721D8"/>
    <w:rsid w:val="0018357E"/>
    <w:rsid w:val="001864A9"/>
    <w:rsid w:val="001A125B"/>
    <w:rsid w:val="001C1481"/>
    <w:rsid w:val="001E779F"/>
    <w:rsid w:val="001F6F0B"/>
    <w:rsid w:val="0021214A"/>
    <w:rsid w:val="00212477"/>
    <w:rsid w:val="00212622"/>
    <w:rsid w:val="002275AE"/>
    <w:rsid w:val="002509E9"/>
    <w:rsid w:val="00267FBD"/>
    <w:rsid w:val="00274F3E"/>
    <w:rsid w:val="00276F3A"/>
    <w:rsid w:val="00286CBE"/>
    <w:rsid w:val="00291397"/>
    <w:rsid w:val="002C7C67"/>
    <w:rsid w:val="002D390F"/>
    <w:rsid w:val="002D738C"/>
    <w:rsid w:val="002E2F9E"/>
    <w:rsid w:val="002F459B"/>
    <w:rsid w:val="003152DA"/>
    <w:rsid w:val="003240F1"/>
    <w:rsid w:val="0033053B"/>
    <w:rsid w:val="00351497"/>
    <w:rsid w:val="00360067"/>
    <w:rsid w:val="00361733"/>
    <w:rsid w:val="0036343A"/>
    <w:rsid w:val="00372195"/>
    <w:rsid w:val="0037373E"/>
    <w:rsid w:val="00374611"/>
    <w:rsid w:val="00375713"/>
    <w:rsid w:val="00382054"/>
    <w:rsid w:val="00384949"/>
    <w:rsid w:val="003911FC"/>
    <w:rsid w:val="003B00B7"/>
    <w:rsid w:val="003B6839"/>
    <w:rsid w:val="003C45A1"/>
    <w:rsid w:val="003D3B27"/>
    <w:rsid w:val="003F533B"/>
    <w:rsid w:val="004233B0"/>
    <w:rsid w:val="00447A5F"/>
    <w:rsid w:val="004555D9"/>
    <w:rsid w:val="00456B5A"/>
    <w:rsid w:val="00457528"/>
    <w:rsid w:val="004664D3"/>
    <w:rsid w:val="00492602"/>
    <w:rsid w:val="0049423D"/>
    <w:rsid w:val="00494D38"/>
    <w:rsid w:val="004A3BAA"/>
    <w:rsid w:val="004A7395"/>
    <w:rsid w:val="004C1DAD"/>
    <w:rsid w:val="004D1BC7"/>
    <w:rsid w:val="004D20D7"/>
    <w:rsid w:val="004D79B2"/>
    <w:rsid w:val="004F5506"/>
    <w:rsid w:val="004F5612"/>
    <w:rsid w:val="005052D9"/>
    <w:rsid w:val="00516394"/>
    <w:rsid w:val="0052118E"/>
    <w:rsid w:val="00527F95"/>
    <w:rsid w:val="005314A6"/>
    <w:rsid w:val="005502E1"/>
    <w:rsid w:val="0055514F"/>
    <w:rsid w:val="0056481B"/>
    <w:rsid w:val="0057156C"/>
    <w:rsid w:val="00571898"/>
    <w:rsid w:val="00574ECE"/>
    <w:rsid w:val="00574F07"/>
    <w:rsid w:val="0057528C"/>
    <w:rsid w:val="00581E50"/>
    <w:rsid w:val="005835F0"/>
    <w:rsid w:val="005842A0"/>
    <w:rsid w:val="005958DD"/>
    <w:rsid w:val="005A57BA"/>
    <w:rsid w:val="005B15B3"/>
    <w:rsid w:val="005D723D"/>
    <w:rsid w:val="005E3688"/>
    <w:rsid w:val="005F2371"/>
    <w:rsid w:val="00623469"/>
    <w:rsid w:val="00634C49"/>
    <w:rsid w:val="00637A67"/>
    <w:rsid w:val="00644AAF"/>
    <w:rsid w:val="00650095"/>
    <w:rsid w:val="00651CA7"/>
    <w:rsid w:val="00656A01"/>
    <w:rsid w:val="00657D21"/>
    <w:rsid w:val="006615EC"/>
    <w:rsid w:val="0066569B"/>
    <w:rsid w:val="00673F96"/>
    <w:rsid w:val="00674418"/>
    <w:rsid w:val="00674428"/>
    <w:rsid w:val="006753A6"/>
    <w:rsid w:val="00686C26"/>
    <w:rsid w:val="00690023"/>
    <w:rsid w:val="00696F48"/>
    <w:rsid w:val="0069772F"/>
    <w:rsid w:val="006A1AD3"/>
    <w:rsid w:val="006A767B"/>
    <w:rsid w:val="006A7D28"/>
    <w:rsid w:val="006D3B5F"/>
    <w:rsid w:val="006E0C20"/>
    <w:rsid w:val="006E22A3"/>
    <w:rsid w:val="006F35F9"/>
    <w:rsid w:val="007319D7"/>
    <w:rsid w:val="00731FAF"/>
    <w:rsid w:val="007426BF"/>
    <w:rsid w:val="00760FDF"/>
    <w:rsid w:val="00763358"/>
    <w:rsid w:val="007757E7"/>
    <w:rsid w:val="00781D3B"/>
    <w:rsid w:val="007A038A"/>
    <w:rsid w:val="007A41F5"/>
    <w:rsid w:val="007B298F"/>
    <w:rsid w:val="007B2F2D"/>
    <w:rsid w:val="007B33B4"/>
    <w:rsid w:val="007B4429"/>
    <w:rsid w:val="007B7425"/>
    <w:rsid w:val="007F5417"/>
    <w:rsid w:val="00804116"/>
    <w:rsid w:val="00812480"/>
    <w:rsid w:val="00816C8D"/>
    <w:rsid w:val="00816CE2"/>
    <w:rsid w:val="00821937"/>
    <w:rsid w:val="008340D0"/>
    <w:rsid w:val="008403CA"/>
    <w:rsid w:val="0084541D"/>
    <w:rsid w:val="008474A5"/>
    <w:rsid w:val="0085395A"/>
    <w:rsid w:val="00853F8E"/>
    <w:rsid w:val="0086142C"/>
    <w:rsid w:val="00870F52"/>
    <w:rsid w:val="00872E7F"/>
    <w:rsid w:val="00880FA9"/>
    <w:rsid w:val="008930F1"/>
    <w:rsid w:val="00893F45"/>
    <w:rsid w:val="008C1341"/>
    <w:rsid w:val="008C5414"/>
    <w:rsid w:val="008C66D8"/>
    <w:rsid w:val="008E4B33"/>
    <w:rsid w:val="008F0130"/>
    <w:rsid w:val="008F2E4C"/>
    <w:rsid w:val="00905C46"/>
    <w:rsid w:val="00906EEC"/>
    <w:rsid w:val="009166DF"/>
    <w:rsid w:val="009204C7"/>
    <w:rsid w:val="00922030"/>
    <w:rsid w:val="00932FD3"/>
    <w:rsid w:val="009365C7"/>
    <w:rsid w:val="00937424"/>
    <w:rsid w:val="0094076D"/>
    <w:rsid w:val="00941258"/>
    <w:rsid w:val="00942245"/>
    <w:rsid w:val="00956812"/>
    <w:rsid w:val="0095770E"/>
    <w:rsid w:val="009725E5"/>
    <w:rsid w:val="00974CFD"/>
    <w:rsid w:val="00981567"/>
    <w:rsid w:val="009C0B43"/>
    <w:rsid w:val="009C3981"/>
    <w:rsid w:val="009D1341"/>
    <w:rsid w:val="009D6D73"/>
    <w:rsid w:val="009D79C6"/>
    <w:rsid w:val="009F0440"/>
    <w:rsid w:val="009F0526"/>
    <w:rsid w:val="00A01DE3"/>
    <w:rsid w:val="00A06542"/>
    <w:rsid w:val="00A11371"/>
    <w:rsid w:val="00A120E1"/>
    <w:rsid w:val="00A2577C"/>
    <w:rsid w:val="00A31FAA"/>
    <w:rsid w:val="00A343A9"/>
    <w:rsid w:val="00A5239C"/>
    <w:rsid w:val="00A571F6"/>
    <w:rsid w:val="00A650DC"/>
    <w:rsid w:val="00A6764A"/>
    <w:rsid w:val="00A84255"/>
    <w:rsid w:val="00A853D9"/>
    <w:rsid w:val="00A958E2"/>
    <w:rsid w:val="00AC1AC7"/>
    <w:rsid w:val="00AD18B8"/>
    <w:rsid w:val="00AD33D5"/>
    <w:rsid w:val="00AE21FC"/>
    <w:rsid w:val="00B01BAA"/>
    <w:rsid w:val="00B05470"/>
    <w:rsid w:val="00B07BD7"/>
    <w:rsid w:val="00B10600"/>
    <w:rsid w:val="00B13AA5"/>
    <w:rsid w:val="00B3099B"/>
    <w:rsid w:val="00B40A71"/>
    <w:rsid w:val="00B45236"/>
    <w:rsid w:val="00B503C7"/>
    <w:rsid w:val="00B54AB5"/>
    <w:rsid w:val="00B645C9"/>
    <w:rsid w:val="00B86F04"/>
    <w:rsid w:val="00B92C96"/>
    <w:rsid w:val="00BA64D7"/>
    <w:rsid w:val="00BA68F0"/>
    <w:rsid w:val="00BD08CA"/>
    <w:rsid w:val="00BE0808"/>
    <w:rsid w:val="00BF0DF4"/>
    <w:rsid w:val="00C00CF2"/>
    <w:rsid w:val="00C15672"/>
    <w:rsid w:val="00C21680"/>
    <w:rsid w:val="00C24EF5"/>
    <w:rsid w:val="00C304E6"/>
    <w:rsid w:val="00C31421"/>
    <w:rsid w:val="00C33753"/>
    <w:rsid w:val="00C35B94"/>
    <w:rsid w:val="00C559C9"/>
    <w:rsid w:val="00C82FA4"/>
    <w:rsid w:val="00CA0669"/>
    <w:rsid w:val="00CA1E7C"/>
    <w:rsid w:val="00CB0030"/>
    <w:rsid w:val="00CB7521"/>
    <w:rsid w:val="00CC57AC"/>
    <w:rsid w:val="00CC776C"/>
    <w:rsid w:val="00CD6D68"/>
    <w:rsid w:val="00CF2057"/>
    <w:rsid w:val="00D0584B"/>
    <w:rsid w:val="00D2695E"/>
    <w:rsid w:val="00D450C8"/>
    <w:rsid w:val="00D521FA"/>
    <w:rsid w:val="00D66801"/>
    <w:rsid w:val="00D779F2"/>
    <w:rsid w:val="00D81121"/>
    <w:rsid w:val="00D939D0"/>
    <w:rsid w:val="00DA6A55"/>
    <w:rsid w:val="00DB423E"/>
    <w:rsid w:val="00DF73DB"/>
    <w:rsid w:val="00E06F7D"/>
    <w:rsid w:val="00E24139"/>
    <w:rsid w:val="00E3616D"/>
    <w:rsid w:val="00E50862"/>
    <w:rsid w:val="00E60ABB"/>
    <w:rsid w:val="00E62D91"/>
    <w:rsid w:val="00E67611"/>
    <w:rsid w:val="00E67713"/>
    <w:rsid w:val="00E72DFF"/>
    <w:rsid w:val="00E74543"/>
    <w:rsid w:val="00E871FA"/>
    <w:rsid w:val="00E92E47"/>
    <w:rsid w:val="00E95005"/>
    <w:rsid w:val="00E9576D"/>
    <w:rsid w:val="00EC08AC"/>
    <w:rsid w:val="00EC1948"/>
    <w:rsid w:val="00ED4639"/>
    <w:rsid w:val="00EE54D2"/>
    <w:rsid w:val="00EF7C8A"/>
    <w:rsid w:val="00F2514F"/>
    <w:rsid w:val="00F25E7F"/>
    <w:rsid w:val="00F274DE"/>
    <w:rsid w:val="00F6038A"/>
    <w:rsid w:val="00F643E6"/>
    <w:rsid w:val="00F76D69"/>
    <w:rsid w:val="00F9012C"/>
    <w:rsid w:val="00F9097E"/>
    <w:rsid w:val="00F93C6C"/>
    <w:rsid w:val="00FA5147"/>
    <w:rsid w:val="00FB0C11"/>
    <w:rsid w:val="00FB5301"/>
    <w:rsid w:val="00FD4894"/>
    <w:rsid w:val="00FE5811"/>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15:docId w15:val="{C0A2B9C0-274D-473B-981A-CD7916BE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B0"/>
    <w:pPr>
      <w:spacing w:line="276" w:lineRule="auto"/>
    </w:pPr>
    <w:rPr>
      <w:rFonts w:ascii="Arial" w:hAnsi="Arial"/>
      <w:sz w:val="22"/>
      <w:szCs w:val="24"/>
    </w:rPr>
  </w:style>
  <w:style w:type="paragraph" w:styleId="Heading1">
    <w:name w:val="heading 1"/>
    <w:basedOn w:val="Header"/>
    <w:next w:val="Normal"/>
    <w:link w:val="Heading1Char"/>
    <w:qFormat/>
    <w:rsid w:val="006A767B"/>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6A767B"/>
    <w:rPr>
      <w:rFonts w:ascii="Arial Black" w:eastAsiaTheme="majorEastAsia" w:hAnsi="Arial Black" w:cstheme="majorBidi"/>
      <w:sz w:val="28"/>
      <w:szCs w:val="32"/>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5"/>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4"/>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character" w:styleId="UnresolvedMention">
    <w:name w:val="Unresolved Mention"/>
    <w:basedOn w:val="DefaultParagraphFont"/>
    <w:uiPriority w:val="99"/>
    <w:semiHidden/>
    <w:unhideWhenUsed/>
    <w:rsid w:val="00087954"/>
    <w:rPr>
      <w:color w:val="605E5C"/>
      <w:shd w:val="clear" w:color="auto" w:fill="E1DFDD"/>
    </w:rPr>
  </w:style>
  <w:style w:type="paragraph" w:styleId="Revision">
    <w:name w:val="Revision"/>
    <w:hidden/>
    <w:uiPriority w:val="99"/>
    <w:semiHidden/>
    <w:rsid w:val="0008795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orgs/women-infants-children-nutrition-program/locations?_page=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masshealth-pharmacy-facts-2016-curr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icbreastfeeding.fns.usda.gov/stag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Malcolm (EHS)</dc:creator>
  <cp:lastModifiedBy>Schooling, Kathryn H (EHS)</cp:lastModifiedBy>
  <cp:revision>3</cp:revision>
  <dcterms:created xsi:type="dcterms:W3CDTF">2025-12-18T17:43:00Z</dcterms:created>
  <dcterms:modified xsi:type="dcterms:W3CDTF">2025-12-18T18:17:00Z</dcterms:modified>
</cp:coreProperties>
</file>