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4FEE070A" w:rsidR="00074716" w:rsidRPr="00C24879" w:rsidRDefault="000A622F" w:rsidP="00C559C9">
      <w:pPr>
        <w:pStyle w:val="Noparagraphstyle"/>
        <w:rPr>
          <w:rFonts w:ascii="Arial Narrow" w:hAnsi="Arial Narrow"/>
          <w:b/>
          <w:color w:val="auto"/>
          <w:sz w:val="20"/>
          <w:szCs w:val="20"/>
        </w:rPr>
      </w:pPr>
      <w:r w:rsidRPr="00C24879">
        <w:rPr>
          <w:rFonts w:ascii="Arial" w:hAnsi="Arial" w:cs="Arial"/>
          <w:noProof/>
          <w:color w:val="auto"/>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C24879">
        <w:rPr>
          <w:rFonts w:ascii="Arial Narrow" w:hAnsi="Arial Narrow"/>
          <w:b/>
          <w:color w:val="auto"/>
          <w:sz w:val="20"/>
          <w:szCs w:val="20"/>
        </w:rPr>
        <w:t xml:space="preserve">Number </w:t>
      </w:r>
      <w:r w:rsidR="009437DF" w:rsidRPr="00C24879">
        <w:rPr>
          <w:rFonts w:ascii="Arial" w:hAnsi="Arial" w:cs="Arial"/>
          <w:noProof/>
          <w:color w:val="auto"/>
          <w:sz w:val="21"/>
          <w:szCs w:val="21"/>
        </w:rPr>
        <w:drawing>
          <wp:anchor distT="0" distB="0" distL="114300" distR="114300" simplePos="0" relativeHeight="251660288" behindDoc="1" locked="0" layoutInCell="1" allowOverlap="1" wp14:anchorId="1E2616CE" wp14:editId="3645AA8A">
            <wp:simplePos x="0" y="0"/>
            <wp:positionH relativeFrom="column">
              <wp:posOffset>-80645</wp:posOffset>
            </wp:positionH>
            <wp:positionV relativeFrom="paragraph">
              <wp:posOffset>-1270</wp:posOffset>
            </wp:positionV>
            <wp:extent cx="6830568" cy="1901952"/>
            <wp:effectExtent l="0" t="0" r="8890" b="3175"/>
            <wp:wrapNone/>
            <wp:docPr id="87865670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9437DF">
        <w:rPr>
          <w:rFonts w:ascii="Arial Narrow" w:hAnsi="Arial Narrow"/>
          <w:b/>
          <w:color w:val="auto"/>
          <w:sz w:val="20"/>
          <w:szCs w:val="20"/>
        </w:rPr>
        <w:t>2</w:t>
      </w:r>
      <w:r w:rsidR="00EE2A85">
        <w:rPr>
          <w:rFonts w:ascii="Arial Narrow" w:hAnsi="Arial Narrow"/>
          <w:b/>
          <w:color w:val="auto"/>
          <w:sz w:val="20"/>
          <w:szCs w:val="20"/>
        </w:rPr>
        <w:t>6</w:t>
      </w:r>
      <w:r w:rsidR="00FD119B">
        <w:rPr>
          <w:rFonts w:ascii="Arial Narrow" w:hAnsi="Arial Narrow"/>
          <w:b/>
          <w:color w:val="auto"/>
          <w:sz w:val="20"/>
          <w:szCs w:val="20"/>
        </w:rPr>
        <w:t>8</w:t>
      </w:r>
      <w:r w:rsidR="009437DF" w:rsidRPr="00C24879">
        <w:rPr>
          <w:rFonts w:ascii="Arial Narrow" w:hAnsi="Arial Narrow"/>
          <w:b/>
          <w:color w:val="auto"/>
          <w:sz w:val="20"/>
          <w:szCs w:val="20"/>
        </w:rPr>
        <w:t xml:space="preserve">, </w:t>
      </w:r>
      <w:r w:rsidR="00FD119B">
        <w:rPr>
          <w:rFonts w:ascii="Arial Narrow" w:hAnsi="Arial Narrow"/>
          <w:b/>
          <w:color w:val="auto"/>
          <w:sz w:val="20"/>
          <w:szCs w:val="20"/>
        </w:rPr>
        <w:t>December 24</w:t>
      </w:r>
      <w:r w:rsidR="009437DF" w:rsidRPr="00C24879">
        <w:rPr>
          <w:rFonts w:ascii="Arial Narrow" w:hAnsi="Arial Narrow"/>
          <w:b/>
          <w:color w:val="auto"/>
          <w:sz w:val="20"/>
          <w:szCs w:val="20"/>
        </w:rPr>
        <w:t>, 2025</w:t>
      </w:r>
    </w:p>
    <w:p w14:paraId="32BF3DE7" w14:textId="77777777" w:rsidR="00074716" w:rsidRPr="00C24879" w:rsidRDefault="00074716" w:rsidP="00C559C9">
      <w:pPr>
        <w:pStyle w:val="Noparagraphstyle"/>
        <w:rPr>
          <w:rFonts w:ascii="Arial Narrow" w:hAnsi="Arial Narrow"/>
          <w:b/>
          <w:color w:val="auto"/>
          <w:sz w:val="20"/>
          <w:szCs w:val="20"/>
        </w:rPr>
      </w:pPr>
    </w:p>
    <w:p w14:paraId="0858B47B" w14:textId="77777777" w:rsidR="00074716" w:rsidRPr="00C24879" w:rsidRDefault="00074716" w:rsidP="00C559C9">
      <w:pPr>
        <w:pStyle w:val="Noparagraphstyle"/>
        <w:rPr>
          <w:rFonts w:ascii="Arial Narrow" w:hAnsi="Arial Narrow"/>
          <w:b/>
          <w:color w:val="auto"/>
          <w:sz w:val="20"/>
          <w:szCs w:val="20"/>
        </w:rPr>
      </w:pPr>
    </w:p>
    <w:p w14:paraId="6A5C6B8C" w14:textId="77777777" w:rsidR="00074716" w:rsidRPr="00C24879" w:rsidRDefault="00074716" w:rsidP="00C559C9">
      <w:pPr>
        <w:pStyle w:val="Noparagraphstyle"/>
        <w:rPr>
          <w:rFonts w:ascii="Arial Narrow" w:hAnsi="Arial Narrow"/>
          <w:b/>
          <w:color w:val="auto"/>
          <w:sz w:val="20"/>
          <w:szCs w:val="20"/>
        </w:rPr>
      </w:pPr>
    </w:p>
    <w:p w14:paraId="1301F774" w14:textId="77777777" w:rsidR="00074716" w:rsidRPr="00C24879" w:rsidRDefault="00074716" w:rsidP="00C559C9">
      <w:pPr>
        <w:pStyle w:val="Noparagraphstyle"/>
        <w:rPr>
          <w:rFonts w:ascii="Arial Narrow" w:hAnsi="Arial Narrow"/>
          <w:b/>
          <w:color w:val="auto"/>
          <w:sz w:val="20"/>
          <w:szCs w:val="20"/>
        </w:rPr>
      </w:pPr>
    </w:p>
    <w:p w14:paraId="187FE7C2" w14:textId="77777777" w:rsidR="00074716" w:rsidRPr="00C24879" w:rsidRDefault="00074716" w:rsidP="00C559C9">
      <w:pPr>
        <w:pStyle w:val="Noparagraphstyle"/>
        <w:rPr>
          <w:rFonts w:ascii="Arial Narrow" w:hAnsi="Arial Narrow"/>
          <w:b/>
          <w:color w:val="auto"/>
          <w:sz w:val="20"/>
          <w:szCs w:val="20"/>
        </w:rPr>
      </w:pPr>
    </w:p>
    <w:p w14:paraId="317BFC54" w14:textId="77777777" w:rsidR="00074716" w:rsidRPr="00C24879" w:rsidRDefault="00074716" w:rsidP="00C559C9">
      <w:pPr>
        <w:pStyle w:val="Noparagraphstyle"/>
        <w:rPr>
          <w:rFonts w:ascii="Arial Narrow" w:hAnsi="Arial Narrow"/>
          <w:b/>
          <w:color w:val="auto"/>
          <w:sz w:val="20"/>
          <w:szCs w:val="20"/>
        </w:rPr>
      </w:pPr>
    </w:p>
    <w:p w14:paraId="1FCA92D7" w14:textId="77777777" w:rsidR="00074716" w:rsidRPr="00C24879" w:rsidRDefault="00074716" w:rsidP="00C559C9">
      <w:pPr>
        <w:pStyle w:val="Noparagraphstyle"/>
        <w:rPr>
          <w:rFonts w:ascii="Arial Narrow" w:hAnsi="Arial Narrow"/>
          <w:b/>
          <w:color w:val="auto"/>
          <w:sz w:val="20"/>
          <w:szCs w:val="20"/>
        </w:rPr>
      </w:pPr>
    </w:p>
    <w:p w14:paraId="175B24BC" w14:textId="77777777" w:rsidR="00074716" w:rsidRPr="00C24879" w:rsidRDefault="00074716" w:rsidP="00C559C9">
      <w:pPr>
        <w:pStyle w:val="Noparagraphstyle"/>
        <w:rPr>
          <w:rFonts w:ascii="Arial Narrow" w:hAnsi="Arial Narrow"/>
          <w:b/>
          <w:color w:val="auto"/>
          <w:sz w:val="20"/>
          <w:szCs w:val="20"/>
        </w:rPr>
      </w:pPr>
    </w:p>
    <w:p w14:paraId="07CD72C2" w14:textId="77777777" w:rsidR="00074716" w:rsidRPr="00C24879" w:rsidRDefault="00074716" w:rsidP="00C559C9">
      <w:pPr>
        <w:pStyle w:val="Noparagraphstyle"/>
        <w:rPr>
          <w:rFonts w:ascii="Arial Narrow" w:hAnsi="Arial Narrow"/>
          <w:b/>
          <w:color w:val="auto"/>
          <w:sz w:val="20"/>
          <w:szCs w:val="20"/>
        </w:rPr>
      </w:pPr>
    </w:p>
    <w:p w14:paraId="0905EA74" w14:textId="77777777" w:rsidR="00074716" w:rsidRPr="00C24879" w:rsidRDefault="00074716" w:rsidP="00C559C9">
      <w:pPr>
        <w:pStyle w:val="Noparagraphstyle"/>
        <w:rPr>
          <w:rFonts w:ascii="Arial Narrow" w:hAnsi="Arial Narrow"/>
          <w:b/>
          <w:color w:val="auto"/>
          <w:sz w:val="20"/>
          <w:szCs w:val="20"/>
        </w:rPr>
      </w:pPr>
    </w:p>
    <w:p w14:paraId="7568DC23" w14:textId="77777777" w:rsidR="00074716" w:rsidRPr="00C24879" w:rsidRDefault="00074716" w:rsidP="00C559C9">
      <w:pPr>
        <w:pStyle w:val="Noparagraphstyle"/>
        <w:rPr>
          <w:rFonts w:ascii="Arial Narrow" w:hAnsi="Arial Narrow"/>
          <w:b/>
          <w:color w:val="auto"/>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68714105" w14:textId="77777777" w:rsidR="00E24E22" w:rsidRPr="00E24E22" w:rsidRDefault="00E24E22" w:rsidP="00E24E22">
      <w:pPr>
        <w:pStyle w:val="Heading1"/>
        <w:rPr>
          <w:szCs w:val="28"/>
        </w:rPr>
      </w:pPr>
      <w:r w:rsidRPr="00E24E22">
        <w:rPr>
          <w:szCs w:val="28"/>
        </w:rPr>
        <w:t>MassHealth Drug List Update</w:t>
      </w:r>
    </w:p>
    <w:p w14:paraId="5BD85693" w14:textId="162A4917" w:rsidR="00E24E22" w:rsidRDefault="00E24E22" w:rsidP="00E24E22">
      <w:pPr>
        <w:rPr>
          <w:rFonts w:cs="Arial"/>
          <w:szCs w:val="22"/>
        </w:rPr>
      </w:pPr>
      <w:r w:rsidRPr="00E37E21">
        <w:rPr>
          <w:rFonts w:cs="Arial"/>
          <w:szCs w:val="22"/>
        </w:rPr>
        <w:t xml:space="preserve">Below are updates to the </w:t>
      </w:r>
      <w:hyperlink r:id="rId12" w:history="1">
        <w:r w:rsidRPr="005F40D5">
          <w:rPr>
            <w:rStyle w:val="Hyperlink"/>
            <w:rFonts w:cs="Arial"/>
            <w:szCs w:val="22"/>
          </w:rPr>
          <w:t>MassHealth Drug List</w:t>
        </w:r>
      </w:hyperlink>
      <w:r w:rsidRPr="00E37E21">
        <w:rPr>
          <w:rFonts w:cs="Arial"/>
          <w:szCs w:val="22"/>
        </w:rPr>
        <w:t xml:space="preserve"> (MHDL). See the </w:t>
      </w:r>
      <w:r w:rsidRPr="00CD2047">
        <w:rPr>
          <w:rFonts w:cs="Arial"/>
          <w:szCs w:val="22"/>
        </w:rPr>
        <w:t>MHDL</w:t>
      </w:r>
      <w:r>
        <w:rPr>
          <w:rFonts w:cs="Arial"/>
          <w:szCs w:val="22"/>
        </w:rPr>
        <w:t xml:space="preserve"> </w:t>
      </w:r>
      <w:r w:rsidRPr="00E37E21">
        <w:rPr>
          <w:rFonts w:cs="Arial"/>
          <w:szCs w:val="22"/>
        </w:rPr>
        <w:t>for a complete listing of updates</w:t>
      </w:r>
    </w:p>
    <w:p w14:paraId="79F65C07" w14:textId="77777777" w:rsidR="00E24E22" w:rsidRPr="00E24E22" w:rsidRDefault="00E24E22" w:rsidP="00E24E22">
      <w:pPr>
        <w:pStyle w:val="Heading2"/>
      </w:pPr>
      <w:r w:rsidRPr="00E24E22">
        <w:t>Additions</w:t>
      </w:r>
    </w:p>
    <w:p w14:paraId="2E13B74E" w14:textId="77777777" w:rsidR="001A1124" w:rsidRPr="001A1124" w:rsidRDefault="001A1124" w:rsidP="001A1124">
      <w:pPr>
        <w:autoSpaceDE w:val="0"/>
        <w:autoSpaceDN w:val="0"/>
        <w:adjustRightInd w:val="0"/>
        <w:spacing w:line="240" w:lineRule="auto"/>
        <w:rPr>
          <w:rFonts w:eastAsia="Calibri" w:cs="Arial"/>
          <w:color w:val="000000"/>
          <w:szCs w:val="21"/>
        </w:rPr>
      </w:pPr>
      <w:r w:rsidRPr="001A1124">
        <w:rPr>
          <w:rFonts w:eastAsia="Calibri" w:cs="Arial"/>
          <w:color w:val="000000"/>
          <w:szCs w:val="22"/>
        </w:rPr>
        <w:t xml:space="preserve">Effective </w:t>
      </w:r>
      <w:r w:rsidRPr="001A1124">
        <w:rPr>
          <w:rFonts w:eastAsia="Calibri" w:cs="Arial"/>
          <w:szCs w:val="22"/>
        </w:rPr>
        <w:t>January 5, 2026,</w:t>
      </w:r>
      <w:r w:rsidRPr="001A1124">
        <w:rPr>
          <w:rFonts w:eastAsia="Calibri" w:cs="Arial"/>
          <w:color w:val="000000"/>
          <w:szCs w:val="22"/>
        </w:rPr>
        <w:t xml:space="preserve"> the</w:t>
      </w:r>
      <w:r w:rsidRPr="001A1124">
        <w:rPr>
          <w:rFonts w:eastAsia="Calibri" w:cs="Arial"/>
          <w:color w:val="000000"/>
          <w:szCs w:val="21"/>
        </w:rPr>
        <w:t xml:space="preserve"> following newly marketed drugs have been added to the MassHealth Drug List. </w:t>
      </w:r>
    </w:p>
    <w:p w14:paraId="456BF597" w14:textId="77777777" w:rsidR="001A1124" w:rsidRPr="001A1124" w:rsidRDefault="001A1124" w:rsidP="001A1124">
      <w:pPr>
        <w:numPr>
          <w:ilvl w:val="0"/>
          <w:numId w:val="42"/>
        </w:numPr>
        <w:autoSpaceDE w:val="0"/>
        <w:autoSpaceDN w:val="0"/>
        <w:adjustRightInd w:val="0"/>
        <w:rPr>
          <w:rFonts w:eastAsia="Calibri" w:cs="Arial"/>
          <w:color w:val="000000"/>
          <w:szCs w:val="22"/>
        </w:rPr>
      </w:pPr>
      <w:r w:rsidRPr="001A1124">
        <w:rPr>
          <w:rFonts w:eastAsia="Calibri" w:cs="Arial"/>
          <w:color w:val="000000"/>
          <w:szCs w:val="22"/>
        </w:rPr>
        <w:t xml:space="preserve">bisoprolol 2.5 mg – </w:t>
      </w:r>
      <w:r w:rsidRPr="001A1124">
        <w:rPr>
          <w:rFonts w:eastAsia="Calibri" w:cs="Arial"/>
          <w:b/>
          <w:bCs/>
          <w:color w:val="000000"/>
          <w:szCs w:val="22"/>
        </w:rPr>
        <w:t>PA</w:t>
      </w:r>
      <w:r w:rsidRPr="001A1124">
        <w:rPr>
          <w:rFonts w:eastAsia="Calibri" w:cs="Arial"/>
          <w:color w:val="000000"/>
          <w:szCs w:val="22"/>
        </w:rPr>
        <w:t>; M90</w:t>
      </w:r>
    </w:p>
    <w:p w14:paraId="59B97BEB"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Boruzu</w:t>
      </w:r>
      <w:proofErr w:type="spellEnd"/>
      <w:r w:rsidRPr="001A1124">
        <w:rPr>
          <w:rFonts w:eastAsia="Calibri" w:cs="Arial"/>
          <w:color w:val="000000"/>
          <w:szCs w:val="22"/>
        </w:rPr>
        <w:t xml:space="preserve"> (bortezomib) – </w:t>
      </w:r>
      <w:r w:rsidRPr="001A1124">
        <w:rPr>
          <w:rFonts w:eastAsia="Calibri" w:cs="Arial"/>
          <w:b/>
          <w:bCs/>
          <w:color w:val="000000"/>
          <w:szCs w:val="22"/>
        </w:rPr>
        <w:t>PA</w:t>
      </w:r>
      <w:r w:rsidRPr="001A1124">
        <w:rPr>
          <w:rFonts w:eastAsia="Calibri" w:cs="Arial"/>
          <w:color w:val="000000"/>
          <w:szCs w:val="22"/>
        </w:rPr>
        <w:t>; MB</w:t>
      </w:r>
    </w:p>
    <w:p w14:paraId="3BD3CCF3" w14:textId="77777777" w:rsidR="001A1124" w:rsidRPr="001A1124" w:rsidRDefault="001A1124" w:rsidP="001A1124">
      <w:pPr>
        <w:numPr>
          <w:ilvl w:val="0"/>
          <w:numId w:val="42"/>
        </w:numPr>
        <w:autoSpaceDE w:val="0"/>
        <w:autoSpaceDN w:val="0"/>
        <w:adjustRightInd w:val="0"/>
        <w:rPr>
          <w:rFonts w:eastAsia="Calibri" w:cs="Arial"/>
          <w:color w:val="000000"/>
          <w:szCs w:val="22"/>
        </w:rPr>
      </w:pPr>
      <w:r w:rsidRPr="001A1124">
        <w:rPr>
          <w:rFonts w:eastAsia="Calibri" w:cs="Arial"/>
          <w:color w:val="000000"/>
          <w:szCs w:val="22"/>
        </w:rPr>
        <w:t xml:space="preserve">carbamazepine 200 mg chewable tablet – </w:t>
      </w:r>
      <w:r w:rsidRPr="001A1124">
        <w:rPr>
          <w:rFonts w:eastAsia="Calibri" w:cs="Arial"/>
          <w:b/>
          <w:bCs/>
          <w:color w:val="000000"/>
          <w:szCs w:val="22"/>
        </w:rPr>
        <w:t>PA</w:t>
      </w:r>
      <w:r w:rsidRPr="001A1124">
        <w:rPr>
          <w:rFonts w:eastAsia="Calibri" w:cs="Arial"/>
          <w:color w:val="000000"/>
          <w:szCs w:val="22"/>
        </w:rPr>
        <w:t xml:space="preserve">; A90 </w:t>
      </w:r>
    </w:p>
    <w:p w14:paraId="476A534E" w14:textId="77777777" w:rsidR="001A1124" w:rsidRPr="001A1124" w:rsidRDefault="001A1124" w:rsidP="001A1124">
      <w:pPr>
        <w:numPr>
          <w:ilvl w:val="0"/>
          <w:numId w:val="42"/>
        </w:numPr>
        <w:autoSpaceDE w:val="0"/>
        <w:autoSpaceDN w:val="0"/>
        <w:adjustRightInd w:val="0"/>
        <w:rPr>
          <w:rFonts w:eastAsia="Calibri" w:cs="Arial"/>
          <w:color w:val="000000"/>
          <w:szCs w:val="22"/>
        </w:rPr>
      </w:pPr>
      <w:r w:rsidRPr="001A1124">
        <w:rPr>
          <w:rFonts w:eastAsia="Calibri" w:cs="Arial"/>
          <w:color w:val="000000"/>
          <w:szCs w:val="22"/>
        </w:rPr>
        <w:t xml:space="preserve">Eliquis (apixaban sprinkle capsule) – </w:t>
      </w:r>
      <w:r w:rsidRPr="001A1124">
        <w:rPr>
          <w:rFonts w:eastAsia="Calibri" w:cs="Arial"/>
          <w:b/>
          <w:bCs/>
          <w:color w:val="000000"/>
          <w:szCs w:val="22"/>
        </w:rPr>
        <w:t>PA</w:t>
      </w:r>
    </w:p>
    <w:p w14:paraId="550AA6AF" w14:textId="77777777" w:rsidR="001A1124" w:rsidRPr="001A1124" w:rsidRDefault="001A1124" w:rsidP="001A1124">
      <w:pPr>
        <w:numPr>
          <w:ilvl w:val="0"/>
          <w:numId w:val="42"/>
        </w:numPr>
        <w:autoSpaceDE w:val="0"/>
        <w:autoSpaceDN w:val="0"/>
        <w:adjustRightInd w:val="0"/>
        <w:rPr>
          <w:rFonts w:eastAsia="Calibri" w:cs="Arial"/>
          <w:color w:val="000000"/>
          <w:szCs w:val="22"/>
        </w:rPr>
      </w:pPr>
      <w:r w:rsidRPr="001A1124">
        <w:rPr>
          <w:rFonts w:eastAsia="Calibri" w:cs="Arial"/>
          <w:color w:val="000000"/>
          <w:szCs w:val="22"/>
        </w:rPr>
        <w:t xml:space="preserve">Eliquis (apixaban tablet for oral suspension) – </w:t>
      </w:r>
      <w:r w:rsidRPr="001A1124">
        <w:rPr>
          <w:rFonts w:eastAsia="Calibri" w:cs="Arial"/>
          <w:b/>
          <w:bCs/>
          <w:color w:val="000000"/>
          <w:szCs w:val="22"/>
        </w:rPr>
        <w:t>PA</w:t>
      </w:r>
    </w:p>
    <w:p w14:paraId="14A96F21"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Harliku</w:t>
      </w:r>
      <w:proofErr w:type="spellEnd"/>
      <w:r w:rsidRPr="001A1124">
        <w:rPr>
          <w:rFonts w:eastAsia="Calibri" w:cs="Arial"/>
          <w:color w:val="000000"/>
          <w:szCs w:val="22"/>
        </w:rPr>
        <w:t xml:space="preserve"> (</w:t>
      </w:r>
      <w:proofErr w:type="spellStart"/>
      <w:r w:rsidRPr="001A1124">
        <w:rPr>
          <w:rFonts w:eastAsia="Calibri" w:cs="Arial"/>
          <w:color w:val="000000"/>
          <w:szCs w:val="22"/>
        </w:rPr>
        <w:t>nitisinone</w:t>
      </w:r>
      <w:proofErr w:type="spellEnd"/>
      <w:r w:rsidRPr="001A1124">
        <w:rPr>
          <w:rFonts w:eastAsia="Calibri" w:cs="Arial"/>
          <w:color w:val="000000"/>
          <w:szCs w:val="22"/>
        </w:rPr>
        <w:t xml:space="preserve"> tablet) – </w:t>
      </w:r>
      <w:r w:rsidRPr="001A1124">
        <w:rPr>
          <w:rFonts w:eastAsia="Calibri" w:cs="Arial"/>
          <w:b/>
          <w:bCs/>
          <w:color w:val="000000"/>
          <w:szCs w:val="22"/>
        </w:rPr>
        <w:t>PA</w:t>
      </w:r>
    </w:p>
    <w:p w14:paraId="4318F983"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Hemiclor</w:t>
      </w:r>
      <w:proofErr w:type="spellEnd"/>
      <w:r w:rsidRPr="001A1124">
        <w:rPr>
          <w:rFonts w:eastAsia="Calibri" w:cs="Arial"/>
          <w:color w:val="000000"/>
          <w:szCs w:val="22"/>
        </w:rPr>
        <w:t xml:space="preserve"> (chlorthalidone 12.5 mg) – </w:t>
      </w:r>
      <w:r w:rsidRPr="001A1124">
        <w:rPr>
          <w:rFonts w:eastAsia="Calibri" w:cs="Arial"/>
          <w:b/>
          <w:bCs/>
          <w:color w:val="000000"/>
          <w:szCs w:val="22"/>
        </w:rPr>
        <w:t>PA</w:t>
      </w:r>
    </w:p>
    <w:p w14:paraId="3028FD18"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Ibtrozi</w:t>
      </w:r>
      <w:proofErr w:type="spellEnd"/>
      <w:r w:rsidRPr="001A1124">
        <w:rPr>
          <w:rFonts w:eastAsia="Calibri" w:cs="Arial"/>
          <w:color w:val="000000"/>
          <w:szCs w:val="22"/>
        </w:rPr>
        <w:t xml:space="preserve"> (</w:t>
      </w:r>
      <w:proofErr w:type="spellStart"/>
      <w:r w:rsidRPr="001A1124">
        <w:rPr>
          <w:rFonts w:eastAsia="Calibri" w:cs="Arial"/>
          <w:color w:val="000000"/>
          <w:szCs w:val="22"/>
        </w:rPr>
        <w:t>taletrectinib</w:t>
      </w:r>
      <w:proofErr w:type="spellEnd"/>
      <w:r w:rsidRPr="001A1124">
        <w:rPr>
          <w:rFonts w:eastAsia="Calibri" w:cs="Arial"/>
          <w:color w:val="000000"/>
          <w:szCs w:val="22"/>
        </w:rPr>
        <w:t xml:space="preserve">) – </w:t>
      </w:r>
      <w:r w:rsidRPr="001A1124">
        <w:rPr>
          <w:rFonts w:eastAsia="Calibri" w:cs="Arial"/>
          <w:b/>
          <w:bCs/>
          <w:color w:val="000000"/>
          <w:szCs w:val="22"/>
        </w:rPr>
        <w:t>PA</w:t>
      </w:r>
    </w:p>
    <w:p w14:paraId="2F8247C7"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Imuldosa</w:t>
      </w:r>
      <w:proofErr w:type="spellEnd"/>
      <w:r w:rsidRPr="001A1124">
        <w:rPr>
          <w:rFonts w:eastAsia="Calibri" w:cs="Arial"/>
          <w:color w:val="000000"/>
          <w:szCs w:val="22"/>
        </w:rPr>
        <w:t xml:space="preserve"> (ustekinumab-</w:t>
      </w:r>
      <w:proofErr w:type="spellStart"/>
      <w:r w:rsidRPr="001A1124">
        <w:rPr>
          <w:rFonts w:eastAsia="Calibri" w:cs="Arial"/>
          <w:color w:val="000000"/>
          <w:szCs w:val="22"/>
        </w:rPr>
        <w:t>srlf</w:t>
      </w:r>
      <w:proofErr w:type="spellEnd"/>
      <w:r w:rsidRPr="001A1124">
        <w:rPr>
          <w:rFonts w:eastAsia="Calibri" w:cs="Arial"/>
          <w:color w:val="000000"/>
          <w:szCs w:val="22"/>
        </w:rPr>
        <w:t xml:space="preserve"> prefilled syringe) </w:t>
      </w:r>
      <w:r w:rsidRPr="001A1124">
        <w:rPr>
          <w:rFonts w:eastAsia="Calibri" w:cs="Arial"/>
          <w:color w:val="000000"/>
          <w:szCs w:val="22"/>
          <w:vertAlign w:val="superscript"/>
        </w:rPr>
        <w:t>PD</w:t>
      </w:r>
      <w:r w:rsidRPr="001A1124">
        <w:rPr>
          <w:rFonts w:eastAsia="Calibri" w:cs="Arial"/>
          <w:color w:val="000000"/>
          <w:szCs w:val="22"/>
        </w:rPr>
        <w:t xml:space="preserve"> – </w:t>
      </w:r>
      <w:r w:rsidRPr="001A1124">
        <w:rPr>
          <w:rFonts w:eastAsia="Calibri" w:cs="Arial"/>
          <w:b/>
          <w:bCs/>
          <w:color w:val="000000"/>
          <w:szCs w:val="22"/>
        </w:rPr>
        <w:t>PA</w:t>
      </w:r>
    </w:p>
    <w:p w14:paraId="340870C4"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Imuldosa</w:t>
      </w:r>
      <w:proofErr w:type="spellEnd"/>
      <w:r w:rsidRPr="001A1124">
        <w:rPr>
          <w:rFonts w:eastAsia="Calibri" w:cs="Arial"/>
          <w:color w:val="000000"/>
          <w:szCs w:val="22"/>
        </w:rPr>
        <w:t xml:space="preserve"> (ustekinumab-</w:t>
      </w:r>
      <w:proofErr w:type="spellStart"/>
      <w:r w:rsidRPr="001A1124">
        <w:rPr>
          <w:rFonts w:eastAsia="Calibri" w:cs="Arial"/>
          <w:color w:val="000000"/>
          <w:szCs w:val="22"/>
        </w:rPr>
        <w:t>srlf</w:t>
      </w:r>
      <w:proofErr w:type="spellEnd"/>
      <w:r w:rsidRPr="001A1124">
        <w:rPr>
          <w:rFonts w:eastAsia="Calibri" w:cs="Arial"/>
          <w:color w:val="000000"/>
          <w:szCs w:val="22"/>
        </w:rPr>
        <w:t xml:space="preserve"> vial) </w:t>
      </w:r>
      <w:r w:rsidRPr="001A1124">
        <w:rPr>
          <w:rFonts w:eastAsia="Calibri" w:cs="Arial"/>
          <w:color w:val="000000"/>
          <w:szCs w:val="22"/>
          <w:vertAlign w:val="superscript"/>
        </w:rPr>
        <w:t>PD</w:t>
      </w:r>
      <w:r w:rsidRPr="001A1124">
        <w:rPr>
          <w:rFonts w:eastAsia="Calibri" w:cs="Arial"/>
          <w:color w:val="000000"/>
          <w:szCs w:val="22"/>
        </w:rPr>
        <w:t xml:space="preserve"> – </w:t>
      </w:r>
      <w:r w:rsidRPr="001A1124">
        <w:rPr>
          <w:rFonts w:eastAsia="Calibri" w:cs="Arial"/>
          <w:b/>
          <w:bCs/>
          <w:color w:val="000000"/>
          <w:szCs w:val="22"/>
        </w:rPr>
        <w:t>PA</w:t>
      </w:r>
      <w:r w:rsidRPr="001A1124">
        <w:rPr>
          <w:rFonts w:eastAsia="Calibri" w:cs="Arial"/>
          <w:color w:val="000000"/>
          <w:szCs w:val="22"/>
        </w:rPr>
        <w:t>; MB</w:t>
      </w:r>
    </w:p>
    <w:p w14:paraId="42DAD004" w14:textId="77777777" w:rsidR="001A1124" w:rsidRPr="001A1124" w:rsidRDefault="001A1124" w:rsidP="001A1124">
      <w:pPr>
        <w:numPr>
          <w:ilvl w:val="0"/>
          <w:numId w:val="42"/>
        </w:numPr>
        <w:autoSpaceDE w:val="0"/>
        <w:autoSpaceDN w:val="0"/>
        <w:adjustRightInd w:val="0"/>
        <w:rPr>
          <w:rFonts w:eastAsia="Calibri" w:cs="Arial"/>
          <w:color w:val="000000"/>
          <w:szCs w:val="22"/>
        </w:rPr>
      </w:pPr>
      <w:r w:rsidRPr="001A1124">
        <w:rPr>
          <w:rFonts w:eastAsia="Calibri" w:cs="Arial"/>
          <w:color w:val="000000"/>
          <w:szCs w:val="22"/>
        </w:rPr>
        <w:t xml:space="preserve">labetalol 400 mg tablet– </w:t>
      </w:r>
      <w:r w:rsidRPr="001A1124">
        <w:rPr>
          <w:rFonts w:eastAsia="Calibri" w:cs="Arial"/>
          <w:b/>
          <w:bCs/>
          <w:color w:val="000000"/>
          <w:szCs w:val="22"/>
        </w:rPr>
        <w:t>PA</w:t>
      </w:r>
      <w:r w:rsidRPr="001A1124">
        <w:rPr>
          <w:rFonts w:eastAsia="Calibri" w:cs="Arial"/>
          <w:color w:val="000000"/>
          <w:szCs w:val="22"/>
        </w:rPr>
        <w:t>; M90</w:t>
      </w:r>
    </w:p>
    <w:p w14:paraId="5F6B07DC"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Leqselvi</w:t>
      </w:r>
      <w:proofErr w:type="spellEnd"/>
      <w:r w:rsidRPr="001A1124">
        <w:rPr>
          <w:rFonts w:eastAsia="Calibri" w:cs="Arial"/>
          <w:color w:val="000000"/>
          <w:szCs w:val="22"/>
        </w:rPr>
        <w:t xml:space="preserve"> (</w:t>
      </w:r>
      <w:proofErr w:type="spellStart"/>
      <w:r w:rsidRPr="001A1124">
        <w:rPr>
          <w:rFonts w:eastAsia="Calibri" w:cs="Arial"/>
          <w:color w:val="000000"/>
          <w:szCs w:val="22"/>
        </w:rPr>
        <w:t>deuruxolitinib</w:t>
      </w:r>
      <w:proofErr w:type="spellEnd"/>
      <w:r w:rsidRPr="001A1124">
        <w:rPr>
          <w:rFonts w:eastAsia="Calibri" w:cs="Arial"/>
          <w:color w:val="000000"/>
          <w:szCs w:val="22"/>
        </w:rPr>
        <w:t xml:space="preserve">) – </w:t>
      </w:r>
      <w:r w:rsidRPr="001A1124">
        <w:rPr>
          <w:rFonts w:eastAsia="Calibri" w:cs="Arial"/>
          <w:b/>
          <w:bCs/>
          <w:color w:val="000000"/>
          <w:szCs w:val="22"/>
        </w:rPr>
        <w:t>PA</w:t>
      </w:r>
    </w:p>
    <w:p w14:paraId="28197E08"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Lynozyfic</w:t>
      </w:r>
      <w:proofErr w:type="spellEnd"/>
      <w:r w:rsidRPr="001A1124">
        <w:rPr>
          <w:rFonts w:eastAsia="Calibri" w:cs="Arial"/>
          <w:color w:val="000000"/>
          <w:szCs w:val="22"/>
        </w:rPr>
        <w:t xml:space="preserve"> (</w:t>
      </w:r>
      <w:proofErr w:type="spellStart"/>
      <w:r w:rsidRPr="001A1124">
        <w:rPr>
          <w:rFonts w:eastAsia="Calibri" w:cs="Arial"/>
          <w:color w:val="000000"/>
          <w:szCs w:val="22"/>
        </w:rPr>
        <w:t>linvoseltamab-gcpt</w:t>
      </w:r>
      <w:proofErr w:type="spellEnd"/>
      <w:r w:rsidRPr="001A1124">
        <w:rPr>
          <w:rFonts w:eastAsia="Calibri" w:cs="Arial"/>
          <w:color w:val="000000"/>
          <w:szCs w:val="22"/>
        </w:rPr>
        <w:t xml:space="preserve">) – </w:t>
      </w:r>
      <w:r w:rsidRPr="001A1124">
        <w:rPr>
          <w:rFonts w:eastAsia="Calibri" w:cs="Arial"/>
          <w:b/>
          <w:bCs/>
          <w:color w:val="000000"/>
          <w:szCs w:val="22"/>
        </w:rPr>
        <w:t>PA</w:t>
      </w:r>
      <w:r w:rsidRPr="001A1124">
        <w:rPr>
          <w:rFonts w:eastAsia="Calibri" w:cs="Arial"/>
          <w:color w:val="000000"/>
          <w:szCs w:val="22"/>
        </w:rPr>
        <w:t>;</w:t>
      </w:r>
      <w:r w:rsidRPr="001A1124">
        <w:rPr>
          <w:rFonts w:eastAsia="Calibri" w:cs="Arial"/>
          <w:b/>
          <w:bCs/>
          <w:color w:val="000000"/>
          <w:szCs w:val="22"/>
        </w:rPr>
        <w:t xml:space="preserve"> </w:t>
      </w:r>
      <w:r w:rsidRPr="001A1124">
        <w:rPr>
          <w:rFonts w:eastAsia="Calibri" w:cs="Arial"/>
          <w:color w:val="000000"/>
          <w:szCs w:val="22"/>
        </w:rPr>
        <w:t>MB</w:t>
      </w:r>
    </w:p>
    <w:p w14:paraId="7504BD17"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Otulfi</w:t>
      </w:r>
      <w:proofErr w:type="spellEnd"/>
      <w:r w:rsidRPr="001A1124">
        <w:rPr>
          <w:rFonts w:eastAsia="Calibri" w:cs="Arial"/>
          <w:color w:val="000000"/>
          <w:szCs w:val="22"/>
        </w:rPr>
        <w:t xml:space="preserve"> (ustekinumab-</w:t>
      </w:r>
      <w:proofErr w:type="spellStart"/>
      <w:r w:rsidRPr="001A1124">
        <w:rPr>
          <w:rFonts w:eastAsia="Calibri" w:cs="Arial"/>
          <w:color w:val="000000"/>
          <w:szCs w:val="22"/>
        </w:rPr>
        <w:t>aauz</w:t>
      </w:r>
      <w:proofErr w:type="spellEnd"/>
      <w:r w:rsidRPr="001A1124">
        <w:rPr>
          <w:rFonts w:eastAsia="Calibri" w:cs="Arial"/>
          <w:color w:val="000000"/>
          <w:szCs w:val="22"/>
        </w:rPr>
        <w:t xml:space="preserve"> 45 mg/0.5 mL vial) – </w:t>
      </w:r>
      <w:r w:rsidRPr="001A1124">
        <w:rPr>
          <w:rFonts w:eastAsia="Calibri" w:cs="Arial"/>
          <w:b/>
          <w:bCs/>
          <w:color w:val="000000"/>
          <w:szCs w:val="22"/>
        </w:rPr>
        <w:t>PA</w:t>
      </w:r>
    </w:p>
    <w:p w14:paraId="51D7006F" w14:textId="77777777" w:rsidR="001A1124" w:rsidRPr="001A1124" w:rsidRDefault="001A1124" w:rsidP="001A1124">
      <w:pPr>
        <w:numPr>
          <w:ilvl w:val="1"/>
          <w:numId w:val="43"/>
        </w:numPr>
        <w:autoSpaceDE w:val="0"/>
        <w:autoSpaceDN w:val="0"/>
        <w:adjustRightInd w:val="0"/>
        <w:ind w:left="720"/>
        <w:rPr>
          <w:rFonts w:eastAsia="Calibri" w:cs="Arial"/>
          <w:color w:val="000000"/>
          <w:szCs w:val="22"/>
        </w:rPr>
      </w:pPr>
      <w:r w:rsidRPr="001A1124">
        <w:rPr>
          <w:rFonts w:eastAsia="Calibri" w:cs="Arial"/>
          <w:color w:val="000000"/>
          <w:szCs w:val="22"/>
        </w:rPr>
        <w:t xml:space="preserve">topiramate 50 mg sprinkle capsule – </w:t>
      </w:r>
      <w:r w:rsidRPr="001A1124">
        <w:rPr>
          <w:rFonts w:eastAsia="Calibri" w:cs="Arial"/>
          <w:b/>
          <w:bCs/>
          <w:color w:val="000000"/>
          <w:szCs w:val="22"/>
        </w:rPr>
        <w:t>PA</w:t>
      </w:r>
      <w:r w:rsidRPr="001A1124">
        <w:rPr>
          <w:rFonts w:eastAsia="Calibri" w:cs="Arial"/>
          <w:color w:val="000000"/>
          <w:szCs w:val="22"/>
        </w:rPr>
        <w:t>; A90</w:t>
      </w:r>
    </w:p>
    <w:p w14:paraId="40387D83" w14:textId="77777777" w:rsidR="001A1124" w:rsidRPr="001A1124" w:rsidRDefault="001A1124" w:rsidP="001A1124">
      <w:pPr>
        <w:numPr>
          <w:ilvl w:val="1"/>
          <w:numId w:val="43"/>
        </w:numPr>
        <w:autoSpaceDE w:val="0"/>
        <w:autoSpaceDN w:val="0"/>
        <w:adjustRightInd w:val="0"/>
        <w:ind w:left="720"/>
        <w:rPr>
          <w:rFonts w:eastAsia="Calibri" w:cs="Arial"/>
          <w:color w:val="000000"/>
          <w:szCs w:val="22"/>
        </w:rPr>
      </w:pPr>
      <w:proofErr w:type="spellStart"/>
      <w:r w:rsidRPr="001A1124">
        <w:rPr>
          <w:rFonts w:eastAsia="Calibri" w:cs="Arial"/>
          <w:color w:val="000000"/>
          <w:szCs w:val="22"/>
        </w:rPr>
        <w:t>Tryptyr</w:t>
      </w:r>
      <w:proofErr w:type="spellEnd"/>
      <w:r w:rsidRPr="001A1124">
        <w:rPr>
          <w:rFonts w:eastAsia="Calibri" w:cs="Arial"/>
          <w:color w:val="000000"/>
          <w:szCs w:val="22"/>
        </w:rPr>
        <w:t xml:space="preserve"> (</w:t>
      </w:r>
      <w:proofErr w:type="spellStart"/>
      <w:r w:rsidRPr="001A1124">
        <w:rPr>
          <w:rFonts w:eastAsia="Calibri" w:cs="Arial"/>
          <w:color w:val="000000"/>
          <w:szCs w:val="22"/>
        </w:rPr>
        <w:t>acoltremon</w:t>
      </w:r>
      <w:proofErr w:type="spellEnd"/>
      <w:r w:rsidRPr="001A1124">
        <w:rPr>
          <w:rFonts w:eastAsia="Calibri" w:cs="Arial"/>
          <w:color w:val="000000"/>
          <w:szCs w:val="22"/>
        </w:rPr>
        <w:t xml:space="preserve">) – </w:t>
      </w:r>
      <w:r w:rsidRPr="001A1124">
        <w:rPr>
          <w:rFonts w:eastAsia="Calibri" w:cs="Arial"/>
          <w:b/>
          <w:bCs/>
          <w:color w:val="000000"/>
          <w:szCs w:val="22"/>
        </w:rPr>
        <w:t>PA</w:t>
      </w:r>
    </w:p>
    <w:p w14:paraId="5233E69A" w14:textId="77777777" w:rsidR="001A1124" w:rsidRPr="001A1124" w:rsidRDefault="001A1124" w:rsidP="001A1124">
      <w:pPr>
        <w:numPr>
          <w:ilvl w:val="1"/>
          <w:numId w:val="43"/>
        </w:numPr>
        <w:autoSpaceDE w:val="0"/>
        <w:autoSpaceDN w:val="0"/>
        <w:adjustRightInd w:val="0"/>
        <w:ind w:left="720"/>
        <w:rPr>
          <w:rFonts w:eastAsia="Calibri" w:cs="Arial"/>
          <w:color w:val="000000"/>
          <w:szCs w:val="22"/>
        </w:rPr>
      </w:pPr>
      <w:proofErr w:type="spellStart"/>
      <w:r w:rsidRPr="001A1124">
        <w:rPr>
          <w:rFonts w:eastAsia="Calibri" w:cs="Arial"/>
          <w:color w:val="000000"/>
          <w:szCs w:val="22"/>
        </w:rPr>
        <w:t>Tyzavan</w:t>
      </w:r>
      <w:proofErr w:type="spellEnd"/>
      <w:r w:rsidRPr="001A1124">
        <w:rPr>
          <w:rFonts w:eastAsia="Calibri" w:cs="Arial"/>
          <w:color w:val="000000"/>
          <w:szCs w:val="22"/>
        </w:rPr>
        <w:t xml:space="preserve"> (vancomycin injection)</w:t>
      </w:r>
    </w:p>
    <w:p w14:paraId="2C227DE2" w14:textId="77777777" w:rsidR="001A1124" w:rsidRPr="001A1124" w:rsidRDefault="001A1124" w:rsidP="001A1124">
      <w:pPr>
        <w:numPr>
          <w:ilvl w:val="1"/>
          <w:numId w:val="43"/>
        </w:numPr>
        <w:autoSpaceDE w:val="0"/>
        <w:autoSpaceDN w:val="0"/>
        <w:adjustRightInd w:val="0"/>
        <w:ind w:left="720"/>
        <w:rPr>
          <w:rFonts w:eastAsia="Calibri" w:cs="Arial"/>
          <w:color w:val="000000"/>
          <w:szCs w:val="22"/>
        </w:rPr>
      </w:pPr>
      <w:proofErr w:type="spellStart"/>
      <w:r w:rsidRPr="001A1124">
        <w:rPr>
          <w:rFonts w:eastAsia="Calibri" w:cs="Arial"/>
          <w:color w:val="000000"/>
          <w:szCs w:val="22"/>
        </w:rPr>
        <w:t>Vykat</w:t>
      </w:r>
      <w:proofErr w:type="spellEnd"/>
      <w:r w:rsidRPr="001A1124">
        <w:rPr>
          <w:rFonts w:eastAsia="Calibri" w:cs="Arial"/>
          <w:color w:val="000000"/>
          <w:szCs w:val="22"/>
        </w:rPr>
        <w:t xml:space="preserve"> XR (diazoxide tablet) – </w:t>
      </w:r>
      <w:r w:rsidRPr="001A1124">
        <w:rPr>
          <w:rFonts w:eastAsia="Calibri" w:cs="Arial"/>
          <w:b/>
          <w:bCs/>
          <w:color w:val="000000"/>
          <w:szCs w:val="22"/>
        </w:rPr>
        <w:t>PA</w:t>
      </w:r>
    </w:p>
    <w:p w14:paraId="42441C12" w14:textId="77777777" w:rsidR="001A1124" w:rsidRPr="001A1124" w:rsidRDefault="001A1124" w:rsidP="001A1124">
      <w:pPr>
        <w:numPr>
          <w:ilvl w:val="0"/>
          <w:numId w:val="42"/>
        </w:numPr>
        <w:autoSpaceDE w:val="0"/>
        <w:autoSpaceDN w:val="0"/>
        <w:adjustRightInd w:val="0"/>
        <w:rPr>
          <w:rFonts w:eastAsia="Calibri" w:cs="Arial"/>
          <w:b/>
          <w:bCs/>
          <w:color w:val="000000"/>
          <w:szCs w:val="22"/>
        </w:rPr>
      </w:pPr>
      <w:proofErr w:type="spellStart"/>
      <w:r w:rsidRPr="001A1124">
        <w:rPr>
          <w:rFonts w:eastAsia="Calibri" w:cs="Arial"/>
          <w:color w:val="000000"/>
          <w:szCs w:val="22"/>
        </w:rPr>
        <w:t>Yutrepia</w:t>
      </w:r>
      <w:proofErr w:type="spellEnd"/>
      <w:r w:rsidRPr="001A1124">
        <w:rPr>
          <w:rFonts w:eastAsia="Calibri" w:cs="Arial"/>
          <w:color w:val="000000"/>
          <w:szCs w:val="22"/>
        </w:rPr>
        <w:t xml:space="preserve"> (</w:t>
      </w:r>
      <w:proofErr w:type="spellStart"/>
      <w:r w:rsidRPr="001A1124">
        <w:rPr>
          <w:rFonts w:eastAsia="Calibri" w:cs="Arial"/>
          <w:color w:val="000000"/>
          <w:szCs w:val="22"/>
        </w:rPr>
        <w:t>treprostinil</w:t>
      </w:r>
      <w:proofErr w:type="spellEnd"/>
      <w:r w:rsidRPr="001A1124">
        <w:rPr>
          <w:rFonts w:eastAsia="Calibri" w:cs="Arial"/>
          <w:color w:val="000000"/>
          <w:szCs w:val="22"/>
        </w:rPr>
        <w:t xml:space="preserve"> inhalation powder) –</w:t>
      </w:r>
      <w:r w:rsidRPr="001A1124">
        <w:rPr>
          <w:rFonts w:eastAsia="Calibri" w:cs="Arial"/>
          <w:b/>
          <w:bCs/>
          <w:color w:val="000000"/>
          <w:szCs w:val="22"/>
        </w:rPr>
        <w:t xml:space="preserve"> PA</w:t>
      </w:r>
    </w:p>
    <w:p w14:paraId="49F5B7A1" w14:textId="77777777" w:rsidR="001A1124" w:rsidRPr="001A1124" w:rsidRDefault="001A1124" w:rsidP="001A1124">
      <w:pPr>
        <w:numPr>
          <w:ilvl w:val="0"/>
          <w:numId w:val="42"/>
        </w:numPr>
        <w:autoSpaceDE w:val="0"/>
        <w:autoSpaceDN w:val="0"/>
        <w:adjustRightInd w:val="0"/>
        <w:rPr>
          <w:rFonts w:eastAsia="Calibri" w:cs="Arial"/>
          <w:color w:val="000000"/>
          <w:szCs w:val="22"/>
        </w:rPr>
      </w:pPr>
      <w:proofErr w:type="spellStart"/>
      <w:r w:rsidRPr="001A1124">
        <w:rPr>
          <w:rFonts w:eastAsia="Calibri" w:cs="Arial"/>
          <w:color w:val="000000"/>
          <w:szCs w:val="22"/>
        </w:rPr>
        <w:t>Zusduri</w:t>
      </w:r>
      <w:proofErr w:type="spellEnd"/>
      <w:r w:rsidRPr="001A1124">
        <w:rPr>
          <w:rFonts w:eastAsia="Calibri" w:cs="Arial"/>
          <w:color w:val="000000"/>
          <w:szCs w:val="22"/>
        </w:rPr>
        <w:t xml:space="preserve"> (mitomycin intravesical solution) – </w:t>
      </w:r>
      <w:r w:rsidRPr="001A1124">
        <w:rPr>
          <w:rFonts w:eastAsia="Calibri" w:cs="Arial"/>
          <w:b/>
          <w:bCs/>
          <w:color w:val="000000"/>
          <w:szCs w:val="22"/>
        </w:rPr>
        <w:t>PA</w:t>
      </w:r>
      <w:r w:rsidRPr="001A1124">
        <w:rPr>
          <w:rFonts w:eastAsia="Calibri" w:cs="Arial"/>
          <w:color w:val="000000"/>
          <w:szCs w:val="22"/>
        </w:rPr>
        <w:t>; MB</w:t>
      </w:r>
    </w:p>
    <w:p w14:paraId="78DC0857" w14:textId="77777777" w:rsidR="00E24E22" w:rsidRPr="00E24E22" w:rsidRDefault="00E24E22" w:rsidP="00E24E22">
      <w:pPr>
        <w:pStyle w:val="Heading2"/>
      </w:pPr>
      <w:r>
        <w:t>Change in Prior Authorization Status</w:t>
      </w:r>
    </w:p>
    <w:p w14:paraId="05C98273" w14:textId="77777777" w:rsidR="00B877BA" w:rsidRPr="00B877BA" w:rsidRDefault="00B877BA" w:rsidP="00B877BA">
      <w:pPr>
        <w:numPr>
          <w:ilvl w:val="0"/>
          <w:numId w:val="4"/>
        </w:numPr>
        <w:spacing w:after="160" w:line="259" w:lineRule="auto"/>
        <w:ind w:left="720"/>
        <w:contextualSpacing/>
        <w:rPr>
          <w:rFonts w:eastAsia="Calibri" w:cs="Arial"/>
          <w:szCs w:val="22"/>
        </w:rPr>
      </w:pPr>
      <w:bookmarkStart w:id="0" w:name="_Hlk98931753"/>
      <w:bookmarkStart w:id="1" w:name="_Hlk30086979"/>
      <w:bookmarkStart w:id="2" w:name="_Hlk527542045"/>
      <w:r w:rsidRPr="00B877BA">
        <w:rPr>
          <w:rFonts w:eastAsia="Calibri" w:cs="Arial"/>
          <w:szCs w:val="22"/>
        </w:rPr>
        <w:t xml:space="preserve">Effective January 5, 2026, the following anticonvulsant will require PA. </w:t>
      </w:r>
    </w:p>
    <w:p w14:paraId="1E9E1E64"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 xml:space="preserve">topiramate extended-release sprinkle capsule – </w:t>
      </w:r>
      <w:r w:rsidRPr="00B877BA">
        <w:rPr>
          <w:rFonts w:eastAsia="Calibri" w:cs="Arial"/>
          <w:b/>
          <w:bCs/>
          <w:szCs w:val="22"/>
        </w:rPr>
        <w:t>PA</w:t>
      </w:r>
      <w:r w:rsidRPr="00B877BA">
        <w:rPr>
          <w:rFonts w:eastAsia="Calibri" w:cs="Arial"/>
          <w:szCs w:val="22"/>
        </w:rPr>
        <w:t>; A90</w:t>
      </w:r>
    </w:p>
    <w:p w14:paraId="3300A70A"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 xml:space="preserve">Effective January 5, 2026, the following lipid lowering agents will require PA. </w:t>
      </w:r>
    </w:p>
    <w:p w14:paraId="3B14F3C3"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 xml:space="preserve">fenofibrate 130 mg capsule – </w:t>
      </w:r>
      <w:r w:rsidRPr="00B877BA">
        <w:rPr>
          <w:rFonts w:eastAsia="Calibri" w:cs="Arial"/>
          <w:b/>
          <w:bCs/>
          <w:szCs w:val="22"/>
        </w:rPr>
        <w:t>PA</w:t>
      </w:r>
      <w:r w:rsidRPr="00B877BA">
        <w:rPr>
          <w:rFonts w:eastAsia="Calibri" w:cs="Arial"/>
          <w:szCs w:val="22"/>
        </w:rPr>
        <w:t>; M90</w:t>
      </w:r>
    </w:p>
    <w:p w14:paraId="2DD86478"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fenofibric</w:t>
      </w:r>
      <w:proofErr w:type="spellEnd"/>
      <w:r w:rsidRPr="00B877BA">
        <w:rPr>
          <w:rFonts w:eastAsia="Calibri" w:cs="Arial"/>
          <w:szCs w:val="22"/>
        </w:rPr>
        <w:t xml:space="preserve"> acid tablet – </w:t>
      </w:r>
      <w:r w:rsidRPr="00B877BA">
        <w:rPr>
          <w:rFonts w:eastAsia="Calibri" w:cs="Arial"/>
          <w:b/>
          <w:szCs w:val="22"/>
        </w:rPr>
        <w:t>PA</w:t>
      </w:r>
      <w:r w:rsidRPr="00B877BA">
        <w:rPr>
          <w:rFonts w:eastAsia="Calibri" w:cs="Arial"/>
          <w:szCs w:val="22"/>
        </w:rPr>
        <w:t>; M90</w:t>
      </w:r>
    </w:p>
    <w:p w14:paraId="61932742"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Lipofen</w:t>
      </w:r>
      <w:proofErr w:type="spellEnd"/>
      <w:r w:rsidRPr="00B877BA">
        <w:rPr>
          <w:rFonts w:eastAsia="Calibri" w:cs="Arial"/>
          <w:szCs w:val="22"/>
        </w:rPr>
        <w:t xml:space="preserve"> (fenofibrate 50 mg, 150 mg capsule) – </w:t>
      </w:r>
      <w:r w:rsidRPr="00B877BA">
        <w:rPr>
          <w:rFonts w:eastAsia="Calibri" w:cs="Arial"/>
          <w:b/>
          <w:bCs/>
          <w:szCs w:val="22"/>
        </w:rPr>
        <w:t>PA</w:t>
      </w:r>
      <w:r w:rsidRPr="00B877BA">
        <w:rPr>
          <w:rFonts w:eastAsia="Calibri" w:cs="Arial"/>
          <w:szCs w:val="22"/>
        </w:rPr>
        <w:t>; M90</w:t>
      </w:r>
    </w:p>
    <w:p w14:paraId="6555FCBF"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 xml:space="preserve">Effective January 5, 2026, the following gastrointestinal agents will require PA when exceeding quantity limits. </w:t>
      </w:r>
    </w:p>
    <w:p w14:paraId="2ECE0933"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 xml:space="preserve">omeprazole/sodium bicarbonate capsule – </w:t>
      </w:r>
      <w:r w:rsidRPr="00B877BA">
        <w:rPr>
          <w:rFonts w:eastAsia="Calibri" w:cs="Arial"/>
          <w:b/>
          <w:bCs/>
          <w:szCs w:val="22"/>
        </w:rPr>
        <w:t>PA &gt; 1 unit/day</w:t>
      </w:r>
      <w:r w:rsidRPr="00B877BA">
        <w:rPr>
          <w:rFonts w:eastAsia="Calibri" w:cs="Arial"/>
          <w:szCs w:val="22"/>
        </w:rPr>
        <w:t>; M90</w:t>
      </w:r>
    </w:p>
    <w:p w14:paraId="3143ACE4"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lastRenderedPageBreak/>
        <w:t>Prevacid</w:t>
      </w:r>
      <w:proofErr w:type="spellEnd"/>
      <w:r w:rsidRPr="00B877BA">
        <w:rPr>
          <w:rFonts w:eastAsia="Calibri" w:cs="Arial"/>
          <w:szCs w:val="22"/>
        </w:rPr>
        <w:t xml:space="preserve"> </w:t>
      </w:r>
      <w:proofErr w:type="spellStart"/>
      <w:r w:rsidRPr="00B877BA">
        <w:rPr>
          <w:rFonts w:eastAsia="Calibri" w:cs="Arial"/>
          <w:szCs w:val="22"/>
        </w:rPr>
        <w:t>Solutab</w:t>
      </w:r>
      <w:proofErr w:type="spellEnd"/>
      <w:r w:rsidRPr="00B877BA">
        <w:rPr>
          <w:rFonts w:eastAsia="Calibri" w:cs="Arial"/>
          <w:szCs w:val="22"/>
        </w:rPr>
        <w:t xml:space="preserve"> (lansoprazole orally disintegrating tablet) – </w:t>
      </w:r>
      <w:r w:rsidRPr="00B877BA">
        <w:rPr>
          <w:rFonts w:eastAsia="Calibri" w:cs="Arial"/>
          <w:b/>
          <w:bCs/>
          <w:szCs w:val="22"/>
        </w:rPr>
        <w:t>PA &gt; 1 unit/day</w:t>
      </w:r>
      <w:r w:rsidRPr="00B877BA">
        <w:rPr>
          <w:rFonts w:eastAsia="Calibri" w:cs="Arial"/>
          <w:szCs w:val="22"/>
        </w:rPr>
        <w:t>; BP, M90</w:t>
      </w:r>
    </w:p>
    <w:p w14:paraId="0C4C659F"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 xml:space="preserve">Effective January 5, 2026, the following antimalarial agent will no longer require PA. </w:t>
      </w:r>
    </w:p>
    <w:p w14:paraId="69E3407A"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 xml:space="preserve">artesunate; MB </w:t>
      </w:r>
    </w:p>
    <w:bookmarkEnd w:id="0"/>
    <w:bookmarkEnd w:id="1"/>
    <w:p w14:paraId="4E2D7F9B"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chemotherapy agent will require PA.</w:t>
      </w:r>
    </w:p>
    <w:p w14:paraId="42853DBE"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 xml:space="preserve">Velcade (bortezomib) – </w:t>
      </w:r>
      <w:r w:rsidRPr="00B877BA">
        <w:rPr>
          <w:rFonts w:eastAsia="Calibri" w:cs="Arial"/>
          <w:b/>
          <w:bCs/>
          <w:szCs w:val="22"/>
        </w:rPr>
        <w:t>PA</w:t>
      </w:r>
      <w:r w:rsidRPr="00B877BA">
        <w:rPr>
          <w:rFonts w:eastAsia="Calibri" w:cs="Arial"/>
          <w:szCs w:val="22"/>
        </w:rPr>
        <w:t>, MB</w:t>
      </w:r>
    </w:p>
    <w:p w14:paraId="0C9E7319"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chemotherapy agents will no longer require PA.</w:t>
      </w:r>
    </w:p>
    <w:p w14:paraId="35B24E17"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Afinitor</w:t>
      </w:r>
      <w:proofErr w:type="spellEnd"/>
      <w:r w:rsidRPr="00B877BA">
        <w:rPr>
          <w:rFonts w:eastAsia="Calibri" w:cs="Arial"/>
          <w:szCs w:val="22"/>
        </w:rPr>
        <w:t xml:space="preserve"> (everolimus 2.5 mg, 5 mg, 7.5 mg, 10 mg); #, A90</w:t>
      </w:r>
    </w:p>
    <w:p w14:paraId="146A9130"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Afinitor</w:t>
      </w:r>
      <w:proofErr w:type="spellEnd"/>
      <w:r w:rsidRPr="00B877BA">
        <w:rPr>
          <w:rFonts w:eastAsia="Calibri" w:cs="Arial"/>
          <w:szCs w:val="22"/>
        </w:rPr>
        <w:t xml:space="preserve"> </w:t>
      </w:r>
      <w:proofErr w:type="spellStart"/>
      <w:r w:rsidRPr="00B877BA">
        <w:rPr>
          <w:rFonts w:eastAsia="Calibri" w:cs="Arial"/>
          <w:szCs w:val="22"/>
        </w:rPr>
        <w:t>Disperz</w:t>
      </w:r>
      <w:proofErr w:type="spellEnd"/>
      <w:r w:rsidRPr="00B877BA">
        <w:rPr>
          <w:rFonts w:eastAsia="Calibri" w:cs="Arial"/>
          <w:szCs w:val="22"/>
        </w:rPr>
        <w:t xml:space="preserve"> (everolimus tablets for oral suspension); BP, A90</w:t>
      </w:r>
    </w:p>
    <w:p w14:paraId="5750A731"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Arranon</w:t>
      </w:r>
      <w:proofErr w:type="spellEnd"/>
      <w:r w:rsidRPr="00B877BA">
        <w:rPr>
          <w:rFonts w:eastAsia="Calibri" w:cs="Arial"/>
          <w:szCs w:val="22"/>
        </w:rPr>
        <w:t xml:space="preserve"> (nelarabine); MB</w:t>
      </w:r>
    </w:p>
    <w:p w14:paraId="4C2AEAF3"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Etopophos</w:t>
      </w:r>
      <w:proofErr w:type="spellEnd"/>
      <w:r w:rsidRPr="00B877BA">
        <w:rPr>
          <w:rFonts w:eastAsia="Calibri" w:cs="Arial"/>
          <w:szCs w:val="22"/>
        </w:rPr>
        <w:t xml:space="preserve"> (etoposide phosphate); MB</w:t>
      </w:r>
    </w:p>
    <w:p w14:paraId="2584588D"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Faslodex</w:t>
      </w:r>
      <w:proofErr w:type="spellEnd"/>
      <w:r w:rsidRPr="00B877BA">
        <w:rPr>
          <w:rFonts w:eastAsia="Calibri" w:cs="Arial"/>
          <w:szCs w:val="22"/>
        </w:rPr>
        <w:t xml:space="preserve"> (fulvestrant); MB</w:t>
      </w:r>
    </w:p>
    <w:p w14:paraId="6145DEC1"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vaccine will no longer require PA within updated age limits.</w:t>
      </w:r>
    </w:p>
    <w:p w14:paraId="507F8188" w14:textId="77777777" w:rsidR="00B877BA" w:rsidRPr="00B877BA" w:rsidRDefault="00B877BA" w:rsidP="00B877BA">
      <w:pPr>
        <w:numPr>
          <w:ilvl w:val="1"/>
          <w:numId w:val="4"/>
        </w:numPr>
        <w:spacing w:after="160" w:line="259" w:lineRule="auto"/>
        <w:ind w:left="1080"/>
        <w:contextualSpacing/>
        <w:rPr>
          <w:rFonts w:eastAsia="Calibri" w:cs="Arial"/>
          <w:b/>
          <w:bCs/>
          <w:szCs w:val="22"/>
        </w:rPr>
      </w:pPr>
      <w:proofErr w:type="spellStart"/>
      <w:r w:rsidRPr="00B877BA">
        <w:rPr>
          <w:rFonts w:eastAsia="Calibri" w:cs="Arial"/>
          <w:szCs w:val="22"/>
        </w:rPr>
        <w:t>Mresvia</w:t>
      </w:r>
      <w:proofErr w:type="spellEnd"/>
      <w:r w:rsidRPr="00B877BA">
        <w:rPr>
          <w:rFonts w:eastAsia="Calibri" w:cs="Arial"/>
          <w:szCs w:val="22"/>
        </w:rPr>
        <w:t xml:space="preserve"> (respiratory syncytial virus vaccine suspension) – </w:t>
      </w:r>
      <w:r w:rsidRPr="00B877BA">
        <w:rPr>
          <w:rFonts w:eastAsia="Calibri" w:cs="Arial"/>
          <w:b/>
          <w:bCs/>
          <w:szCs w:val="22"/>
        </w:rPr>
        <w:t>PA &lt; 18 years</w:t>
      </w:r>
    </w:p>
    <w:p w14:paraId="46991C11"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antiretroviral agents will require PA.</w:t>
      </w:r>
    </w:p>
    <w:p w14:paraId="7AD693F6"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Complera</w:t>
      </w:r>
      <w:proofErr w:type="spellEnd"/>
      <w:r w:rsidRPr="00B877BA">
        <w:rPr>
          <w:rFonts w:eastAsia="Calibri" w:cs="Arial"/>
          <w:szCs w:val="22"/>
        </w:rPr>
        <w:t xml:space="preserve"> (emtricitabine/rilpivirine/ tenofovir disoproxil fumarate) – </w:t>
      </w:r>
      <w:r w:rsidRPr="00B877BA">
        <w:rPr>
          <w:rFonts w:eastAsia="Calibri" w:cs="Arial"/>
          <w:b/>
          <w:bCs/>
          <w:szCs w:val="22"/>
        </w:rPr>
        <w:t>PA</w:t>
      </w:r>
      <w:r w:rsidRPr="00B877BA">
        <w:rPr>
          <w:rFonts w:eastAsia="Calibri" w:cs="Arial"/>
          <w:szCs w:val="22"/>
        </w:rPr>
        <w:t>; BP</w:t>
      </w:r>
    </w:p>
    <w:p w14:paraId="14F731C4" w14:textId="77777777" w:rsidR="00B877BA" w:rsidRPr="00B877BA" w:rsidRDefault="00B877BA" w:rsidP="00B877BA">
      <w:pPr>
        <w:numPr>
          <w:ilvl w:val="1"/>
          <w:numId w:val="4"/>
        </w:numPr>
        <w:spacing w:after="160" w:line="259" w:lineRule="auto"/>
        <w:ind w:left="1080"/>
        <w:contextualSpacing/>
        <w:rPr>
          <w:rFonts w:eastAsia="Calibri" w:cs="Arial"/>
          <w:szCs w:val="22"/>
        </w:rPr>
      </w:pPr>
      <w:r w:rsidRPr="00B877BA">
        <w:rPr>
          <w:rFonts w:eastAsia="Calibri" w:cs="Arial"/>
          <w:szCs w:val="22"/>
        </w:rPr>
        <w:t>Genvoya (elvitegravir/ cobicistat/emtricitabine/ tenofovir alafenamide) –</w:t>
      </w:r>
      <w:r w:rsidRPr="00B877BA">
        <w:rPr>
          <w:rFonts w:eastAsia="Calibri" w:cs="Arial"/>
          <w:b/>
          <w:bCs/>
          <w:szCs w:val="22"/>
        </w:rPr>
        <w:t xml:space="preserve"> PA</w:t>
      </w:r>
    </w:p>
    <w:p w14:paraId="6A3CE72B"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Odefsey</w:t>
      </w:r>
      <w:proofErr w:type="spellEnd"/>
      <w:r w:rsidRPr="00B877BA">
        <w:rPr>
          <w:rFonts w:eastAsia="Calibri" w:cs="Arial"/>
          <w:szCs w:val="22"/>
        </w:rPr>
        <w:t xml:space="preserve"> (emtricitabine/rilpivirine/ tenofovir alafenamide) – </w:t>
      </w:r>
      <w:r w:rsidRPr="00B877BA">
        <w:rPr>
          <w:rFonts w:eastAsia="Calibri" w:cs="Arial"/>
          <w:b/>
          <w:bCs/>
          <w:szCs w:val="22"/>
        </w:rPr>
        <w:t xml:space="preserve">PA </w:t>
      </w:r>
    </w:p>
    <w:p w14:paraId="3D7D5AF3"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Stribild</w:t>
      </w:r>
      <w:proofErr w:type="spellEnd"/>
      <w:r w:rsidRPr="00B877BA">
        <w:rPr>
          <w:rFonts w:eastAsia="Calibri" w:cs="Arial"/>
          <w:szCs w:val="22"/>
        </w:rPr>
        <w:t xml:space="preserve"> (elvitegravir/cobicistat/ emtricitabine/tenofovir disoproxil fumarate) –</w:t>
      </w:r>
      <w:r w:rsidRPr="00B877BA">
        <w:rPr>
          <w:rFonts w:eastAsia="Calibri" w:cs="Arial"/>
          <w:b/>
          <w:bCs/>
          <w:szCs w:val="22"/>
        </w:rPr>
        <w:t xml:space="preserve"> PA</w:t>
      </w:r>
    </w:p>
    <w:p w14:paraId="0D16FF90"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erythropoiesis stimulating agent will no longer require PA.</w:t>
      </w:r>
    </w:p>
    <w:p w14:paraId="4656DE46"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Retacrit</w:t>
      </w:r>
      <w:proofErr w:type="spellEnd"/>
      <w:r w:rsidRPr="00B877BA">
        <w:rPr>
          <w:rFonts w:eastAsia="Calibri" w:cs="Arial"/>
          <w:szCs w:val="22"/>
        </w:rPr>
        <w:t xml:space="preserve"> (epoetin alfa-</w:t>
      </w:r>
      <w:proofErr w:type="spellStart"/>
      <w:r w:rsidRPr="00B877BA">
        <w:rPr>
          <w:rFonts w:eastAsia="Calibri" w:cs="Arial"/>
          <w:szCs w:val="22"/>
        </w:rPr>
        <w:t>epbx</w:t>
      </w:r>
      <w:proofErr w:type="spellEnd"/>
      <w:r w:rsidRPr="00B877BA">
        <w:rPr>
          <w:rFonts w:eastAsia="Calibri" w:cs="Arial"/>
          <w:szCs w:val="22"/>
        </w:rPr>
        <w:t>)</w:t>
      </w:r>
    </w:p>
    <w:p w14:paraId="0D9A0EA8"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immunomodulating agent will no longer require PA.</w:t>
      </w:r>
    </w:p>
    <w:p w14:paraId="6A30F3BB"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Nulojix</w:t>
      </w:r>
      <w:proofErr w:type="spellEnd"/>
      <w:r w:rsidRPr="00B877BA">
        <w:rPr>
          <w:rFonts w:eastAsia="Calibri" w:cs="Arial"/>
          <w:szCs w:val="22"/>
        </w:rPr>
        <w:t xml:space="preserve"> (</w:t>
      </w:r>
      <w:proofErr w:type="spellStart"/>
      <w:r w:rsidRPr="00B877BA">
        <w:rPr>
          <w:rFonts w:eastAsia="Calibri" w:cs="Arial"/>
          <w:szCs w:val="22"/>
        </w:rPr>
        <w:t>belatacept</w:t>
      </w:r>
      <w:proofErr w:type="spellEnd"/>
      <w:r w:rsidRPr="00B877BA">
        <w:rPr>
          <w:rFonts w:eastAsia="Calibri" w:cs="Arial"/>
          <w:szCs w:val="22"/>
        </w:rPr>
        <w:t>)</w:t>
      </w:r>
    </w:p>
    <w:p w14:paraId="73034FAE" w14:textId="77777777" w:rsidR="00B877BA" w:rsidRPr="00B877BA" w:rsidRDefault="00B877BA" w:rsidP="00B877BA">
      <w:pPr>
        <w:numPr>
          <w:ilvl w:val="0"/>
          <w:numId w:val="4"/>
        </w:numPr>
        <w:spacing w:after="160" w:line="259" w:lineRule="auto"/>
        <w:ind w:left="720"/>
        <w:contextualSpacing/>
        <w:rPr>
          <w:rFonts w:eastAsia="Calibri" w:cs="Arial"/>
          <w:szCs w:val="22"/>
        </w:rPr>
      </w:pPr>
      <w:r w:rsidRPr="00B877BA">
        <w:rPr>
          <w:rFonts w:eastAsia="Calibri" w:cs="Arial"/>
          <w:szCs w:val="22"/>
        </w:rPr>
        <w:t>Effective January 5, 2026, the following antidiabetic agent will no longer require PA.</w:t>
      </w:r>
    </w:p>
    <w:p w14:paraId="6114C4FD" w14:textId="77777777" w:rsidR="00B877BA" w:rsidRPr="00B877BA" w:rsidRDefault="00B877BA" w:rsidP="00B877BA">
      <w:pPr>
        <w:numPr>
          <w:ilvl w:val="1"/>
          <w:numId w:val="4"/>
        </w:numPr>
        <w:spacing w:after="160" w:line="259" w:lineRule="auto"/>
        <w:ind w:left="1080"/>
        <w:contextualSpacing/>
        <w:rPr>
          <w:rFonts w:eastAsia="Calibri" w:cs="Arial"/>
          <w:szCs w:val="22"/>
        </w:rPr>
      </w:pPr>
      <w:proofErr w:type="spellStart"/>
      <w:r w:rsidRPr="00B877BA">
        <w:rPr>
          <w:rFonts w:eastAsia="Calibri" w:cs="Arial"/>
          <w:szCs w:val="22"/>
        </w:rPr>
        <w:t>Glyxambi</w:t>
      </w:r>
      <w:proofErr w:type="spellEnd"/>
      <w:r w:rsidRPr="00B877BA">
        <w:rPr>
          <w:rFonts w:eastAsia="Calibri" w:cs="Arial"/>
          <w:szCs w:val="22"/>
        </w:rPr>
        <w:t xml:space="preserve"> (empagliflozin/linagliptin) </w:t>
      </w:r>
      <w:r w:rsidRPr="00B877BA">
        <w:rPr>
          <w:rFonts w:eastAsia="Calibri" w:cs="Arial"/>
          <w:szCs w:val="22"/>
          <w:vertAlign w:val="superscript"/>
        </w:rPr>
        <w:t>PD</w:t>
      </w:r>
    </w:p>
    <w:p w14:paraId="2F678278" w14:textId="683444DD" w:rsidR="00E24E22" w:rsidRPr="00E24E22" w:rsidRDefault="00E24E22" w:rsidP="00E24E22">
      <w:pPr>
        <w:pStyle w:val="Heading2"/>
      </w:pPr>
      <w:r w:rsidRPr="00E24E22">
        <w:t>Updated MassHealth Brand Name Preferred Over Generic Drug List</w:t>
      </w:r>
    </w:p>
    <w:bookmarkEnd w:id="2"/>
    <w:p w14:paraId="3105013C" w14:textId="77777777" w:rsidR="00E24E22" w:rsidRPr="00C140B6" w:rsidRDefault="00E24E22" w:rsidP="00E24E22">
      <w:pPr>
        <w:keepNext/>
        <w:keepLines/>
        <w:outlineLvl w:val="0"/>
        <w:rPr>
          <w:rFonts w:eastAsia="Calibri" w:cs="Arial"/>
          <w:color w:val="000000"/>
          <w:szCs w:val="21"/>
        </w:rPr>
      </w:pPr>
      <w:r w:rsidRPr="00C140B6">
        <w:rPr>
          <w:rFonts w:eastAsia="Calibri" w:cs="Arial"/>
          <w:color w:val="000000"/>
          <w:szCs w:val="21"/>
        </w:rPr>
        <w:t>The MassHealth Brand Name Preferred Over Generic Drug List has been updated to reflect recent changes to the MassHealth Drug List.</w:t>
      </w:r>
    </w:p>
    <w:p w14:paraId="36B3A8FF" w14:textId="77777777" w:rsidR="00382BED" w:rsidRPr="00F75780" w:rsidRDefault="00382BED" w:rsidP="00382BED">
      <w:pPr>
        <w:pStyle w:val="Default"/>
        <w:numPr>
          <w:ilvl w:val="0"/>
          <w:numId w:val="40"/>
        </w:numPr>
        <w:spacing w:line="276" w:lineRule="auto"/>
        <w:rPr>
          <w:rFonts w:ascii="Arial" w:hAnsi="Arial" w:cs="Arial"/>
          <w:sz w:val="22"/>
          <w:szCs w:val="21"/>
        </w:rPr>
      </w:pPr>
      <w:r w:rsidRPr="00F75780">
        <w:rPr>
          <w:rFonts w:ascii="Arial" w:hAnsi="Arial" w:cs="Arial"/>
          <w:sz w:val="22"/>
          <w:szCs w:val="21"/>
        </w:rPr>
        <w:t xml:space="preserve">Effective </w:t>
      </w:r>
      <w:r w:rsidRPr="00F75780">
        <w:rPr>
          <w:rFonts w:ascii="Arial" w:hAnsi="Arial" w:cs="Arial"/>
          <w:color w:val="auto"/>
          <w:sz w:val="22"/>
          <w:szCs w:val="22"/>
        </w:rPr>
        <w:t>January 5, 2026</w:t>
      </w:r>
      <w:r w:rsidRPr="00F75780">
        <w:rPr>
          <w:rFonts w:ascii="Arial" w:hAnsi="Arial" w:cs="Arial"/>
          <w:sz w:val="22"/>
          <w:szCs w:val="22"/>
        </w:rPr>
        <w:t xml:space="preserve">, </w:t>
      </w:r>
      <w:r w:rsidRPr="00F75780">
        <w:rPr>
          <w:rFonts w:ascii="Arial" w:hAnsi="Arial" w:cs="Arial"/>
          <w:sz w:val="22"/>
          <w:szCs w:val="21"/>
        </w:rPr>
        <w:t xml:space="preserve">the following agents will be added to the MassHealth Brand Name Preferred Over Generic Drug List. </w:t>
      </w:r>
    </w:p>
    <w:p w14:paraId="25670213" w14:textId="77777777" w:rsidR="00382BED" w:rsidRPr="00F75780" w:rsidRDefault="00382BED" w:rsidP="00382BED">
      <w:pPr>
        <w:pStyle w:val="Default"/>
        <w:numPr>
          <w:ilvl w:val="0"/>
          <w:numId w:val="6"/>
        </w:numPr>
        <w:spacing w:line="276" w:lineRule="auto"/>
        <w:rPr>
          <w:rFonts w:ascii="Arial" w:hAnsi="Arial" w:cs="Arial"/>
          <w:sz w:val="22"/>
          <w:szCs w:val="22"/>
        </w:rPr>
      </w:pPr>
      <w:bookmarkStart w:id="3" w:name="_Hlk11399419"/>
      <w:bookmarkStart w:id="4" w:name="_Hlk527542710"/>
      <w:r w:rsidRPr="00F75780">
        <w:rPr>
          <w:rFonts w:ascii="Arial" w:hAnsi="Arial" w:cs="Arial"/>
          <w:sz w:val="22"/>
          <w:szCs w:val="22"/>
        </w:rPr>
        <w:t>Colestid (colestipol tablet); BP, M90</w:t>
      </w:r>
    </w:p>
    <w:p w14:paraId="7BC758A8" w14:textId="77777777" w:rsidR="00382BED" w:rsidRPr="00E568D2" w:rsidRDefault="00382BED" w:rsidP="00382BED">
      <w:pPr>
        <w:pStyle w:val="Default"/>
        <w:numPr>
          <w:ilvl w:val="0"/>
          <w:numId w:val="6"/>
        </w:numPr>
        <w:spacing w:line="276" w:lineRule="auto"/>
        <w:rPr>
          <w:rFonts w:ascii="Arial" w:hAnsi="Arial" w:cs="Arial"/>
          <w:sz w:val="22"/>
          <w:szCs w:val="22"/>
        </w:rPr>
      </w:pPr>
      <w:bookmarkStart w:id="5" w:name="_Hlk14249184"/>
      <w:bookmarkEnd w:id="3"/>
      <w:bookmarkEnd w:id="4"/>
      <w:r w:rsidRPr="00E568D2">
        <w:rPr>
          <w:rFonts w:ascii="Arial" w:hAnsi="Arial" w:cs="Arial"/>
          <w:sz w:val="22"/>
          <w:szCs w:val="22"/>
        </w:rPr>
        <w:t>Eliquis (apixaban</w:t>
      </w:r>
      <w:r>
        <w:rPr>
          <w:rFonts w:ascii="Arial" w:hAnsi="Arial" w:cs="Arial"/>
          <w:sz w:val="22"/>
          <w:szCs w:val="22"/>
        </w:rPr>
        <w:t xml:space="preserve"> </w:t>
      </w:r>
      <w:proofErr w:type="gramStart"/>
      <w:r>
        <w:rPr>
          <w:rFonts w:ascii="Arial" w:hAnsi="Arial" w:cs="Arial"/>
          <w:sz w:val="22"/>
          <w:szCs w:val="22"/>
        </w:rPr>
        <w:t>tablet</w:t>
      </w:r>
      <w:r w:rsidRPr="00E568D2">
        <w:rPr>
          <w:rFonts w:ascii="Arial" w:hAnsi="Arial" w:cs="Arial"/>
          <w:sz w:val="22"/>
          <w:szCs w:val="22"/>
        </w:rPr>
        <w:t>)</w:t>
      </w:r>
      <w:r w:rsidRPr="00BF234A">
        <w:rPr>
          <w:rFonts w:ascii="Arial" w:hAnsi="Arial" w:cs="Arial"/>
          <w:sz w:val="22"/>
          <w:szCs w:val="22"/>
          <w:vertAlign w:val="superscript"/>
        </w:rPr>
        <w:t>PD</w:t>
      </w:r>
      <w:proofErr w:type="gramEnd"/>
      <w:r w:rsidRPr="00E568D2">
        <w:rPr>
          <w:rFonts w:ascii="Arial" w:hAnsi="Arial" w:cs="Arial"/>
          <w:sz w:val="22"/>
          <w:szCs w:val="22"/>
        </w:rPr>
        <w:t>; BP</w:t>
      </w:r>
    </w:p>
    <w:p w14:paraId="29A1295B" w14:textId="77777777" w:rsidR="00382BED" w:rsidRPr="00F75780" w:rsidRDefault="00382BED" w:rsidP="00382BED">
      <w:pPr>
        <w:pStyle w:val="ListParagraph"/>
        <w:numPr>
          <w:ilvl w:val="0"/>
          <w:numId w:val="6"/>
        </w:numPr>
        <w:spacing w:line="259" w:lineRule="auto"/>
        <w:contextualSpacing/>
        <w:rPr>
          <w:rFonts w:cs="Arial"/>
          <w:color w:val="000000"/>
        </w:rPr>
      </w:pPr>
      <w:proofErr w:type="spellStart"/>
      <w:r w:rsidRPr="00F75780">
        <w:rPr>
          <w:rFonts w:cs="Arial"/>
          <w:color w:val="000000"/>
        </w:rPr>
        <w:t>Korlym</w:t>
      </w:r>
      <w:proofErr w:type="spellEnd"/>
      <w:r w:rsidRPr="00F75780">
        <w:rPr>
          <w:rFonts w:cs="Arial"/>
          <w:color w:val="000000"/>
        </w:rPr>
        <w:t xml:space="preserve"> (mifepristone 300 mg) – </w:t>
      </w:r>
      <w:r w:rsidRPr="00F75780">
        <w:rPr>
          <w:rFonts w:cs="Arial"/>
          <w:b/>
          <w:bCs/>
          <w:color w:val="000000"/>
        </w:rPr>
        <w:t>PA</w:t>
      </w:r>
      <w:r w:rsidRPr="00F75780">
        <w:rPr>
          <w:rFonts w:cs="Arial"/>
          <w:color w:val="000000"/>
        </w:rPr>
        <w:t>; BP, A90</w:t>
      </w:r>
    </w:p>
    <w:p w14:paraId="26BC5982" w14:textId="77777777" w:rsidR="00382BED" w:rsidRPr="00F75780" w:rsidRDefault="00382BED" w:rsidP="00382BED">
      <w:pPr>
        <w:pStyle w:val="ListParagraph"/>
        <w:numPr>
          <w:ilvl w:val="0"/>
          <w:numId w:val="6"/>
        </w:numPr>
        <w:spacing w:line="259" w:lineRule="auto"/>
        <w:contextualSpacing/>
        <w:rPr>
          <w:rFonts w:cs="Arial"/>
          <w:color w:val="000000"/>
        </w:rPr>
      </w:pPr>
      <w:r w:rsidRPr="00F75780">
        <w:rPr>
          <w:rFonts w:cs="Arial"/>
          <w:color w:val="000000"/>
        </w:rPr>
        <w:t>Savella (milnacipran); BP</w:t>
      </w:r>
    </w:p>
    <w:p w14:paraId="22C294B7" w14:textId="77777777" w:rsidR="00382BED" w:rsidRPr="00F75780" w:rsidRDefault="00382BED" w:rsidP="00382BED">
      <w:pPr>
        <w:pStyle w:val="Default"/>
        <w:numPr>
          <w:ilvl w:val="0"/>
          <w:numId w:val="40"/>
        </w:numPr>
        <w:spacing w:line="276" w:lineRule="auto"/>
        <w:rPr>
          <w:rFonts w:ascii="Arial" w:hAnsi="Arial" w:cs="Arial"/>
          <w:sz w:val="22"/>
          <w:szCs w:val="21"/>
        </w:rPr>
      </w:pPr>
      <w:r w:rsidRPr="00F75780">
        <w:rPr>
          <w:rFonts w:ascii="Arial" w:hAnsi="Arial" w:cs="Arial"/>
          <w:sz w:val="22"/>
          <w:szCs w:val="21"/>
        </w:rPr>
        <w:t xml:space="preserve">Effective </w:t>
      </w:r>
      <w:r w:rsidRPr="00F75780">
        <w:rPr>
          <w:rFonts w:ascii="Arial" w:hAnsi="Arial" w:cs="Arial"/>
          <w:color w:val="auto"/>
          <w:sz w:val="22"/>
          <w:szCs w:val="22"/>
        </w:rPr>
        <w:t>January 5, 2026</w:t>
      </w:r>
      <w:r w:rsidRPr="00F75780">
        <w:rPr>
          <w:rFonts w:ascii="Arial" w:hAnsi="Arial" w:cs="Arial"/>
          <w:sz w:val="22"/>
          <w:szCs w:val="22"/>
        </w:rPr>
        <w:t xml:space="preserve">, </w:t>
      </w:r>
      <w:r w:rsidRPr="00F75780">
        <w:rPr>
          <w:rFonts w:ascii="Arial" w:hAnsi="Arial" w:cs="Arial"/>
          <w:sz w:val="22"/>
          <w:szCs w:val="21"/>
        </w:rPr>
        <w:t xml:space="preserve">the following agents will be removed from the MassHealth Brand Name Preferred Over Generic Drug List. </w:t>
      </w:r>
    </w:p>
    <w:bookmarkEnd w:id="5"/>
    <w:p w14:paraId="1DCFE4B5" w14:textId="77777777" w:rsidR="00382BED" w:rsidRPr="00F75780" w:rsidRDefault="00382BED" w:rsidP="00382BED">
      <w:pPr>
        <w:pStyle w:val="ListParagraph"/>
        <w:numPr>
          <w:ilvl w:val="0"/>
          <w:numId w:val="16"/>
        </w:numPr>
        <w:spacing w:after="160" w:line="259" w:lineRule="auto"/>
        <w:contextualSpacing/>
        <w:rPr>
          <w:rFonts w:cs="Arial"/>
          <w:color w:val="000000"/>
        </w:rPr>
      </w:pPr>
      <w:r w:rsidRPr="00F75780">
        <w:rPr>
          <w:rFonts w:cs="Arial"/>
        </w:rPr>
        <w:t>Copaxone (glatiramer 40 mg)</w:t>
      </w:r>
      <w:r>
        <w:rPr>
          <w:rFonts w:cs="Arial"/>
        </w:rPr>
        <w:t>; #</w:t>
      </w:r>
    </w:p>
    <w:p w14:paraId="3EECD96B" w14:textId="77777777" w:rsidR="00360197" w:rsidRPr="005C3BE9" w:rsidRDefault="00382BED" w:rsidP="00382BED">
      <w:pPr>
        <w:pStyle w:val="ListParagraph"/>
        <w:numPr>
          <w:ilvl w:val="0"/>
          <w:numId w:val="16"/>
        </w:numPr>
        <w:spacing w:line="259" w:lineRule="auto"/>
        <w:contextualSpacing/>
        <w:rPr>
          <w:rFonts w:cs="Arial"/>
        </w:rPr>
      </w:pPr>
      <w:r w:rsidRPr="00F75780">
        <w:rPr>
          <w:rFonts w:cs="Arial"/>
          <w:bCs/>
        </w:rPr>
        <w:t>Humira (adalimumab)</w:t>
      </w:r>
      <w:r w:rsidRPr="00F75780">
        <w:rPr>
          <w:rFonts w:cs="Arial"/>
          <w:b/>
        </w:rPr>
        <w:t xml:space="preserve"> </w:t>
      </w:r>
      <w:r w:rsidRPr="00F75780">
        <w:rPr>
          <w:rFonts w:cs="Arial"/>
          <w:bCs/>
          <w:vertAlign w:val="superscript"/>
        </w:rPr>
        <w:t>PD</w:t>
      </w:r>
      <w:r w:rsidRPr="00F75780">
        <w:rPr>
          <w:rFonts w:cs="Arial"/>
          <w:bCs/>
        </w:rPr>
        <w:t xml:space="preserve"> – </w:t>
      </w:r>
      <w:r w:rsidRPr="00F75780">
        <w:rPr>
          <w:rFonts w:cs="Arial"/>
          <w:b/>
        </w:rPr>
        <w:t>PA</w:t>
      </w:r>
    </w:p>
    <w:p w14:paraId="34019747" w14:textId="77777777" w:rsidR="0027351B" w:rsidRPr="00E24E22" w:rsidRDefault="0027351B" w:rsidP="0027351B">
      <w:pPr>
        <w:pStyle w:val="Heading2"/>
      </w:pPr>
      <w:r w:rsidRPr="00E24E22">
        <w:t>Updated MassHealth 90-day Initiative</w:t>
      </w:r>
    </w:p>
    <w:p w14:paraId="3C156033" w14:textId="77777777" w:rsidR="0027351B" w:rsidRPr="006906FE" w:rsidRDefault="0027351B" w:rsidP="0027351B">
      <w:pPr>
        <w:rPr>
          <w:rFonts w:cs="Arial"/>
          <w:szCs w:val="21"/>
        </w:rPr>
      </w:pPr>
      <w:r w:rsidRPr="006906FE">
        <w:rPr>
          <w:rFonts w:cs="Arial"/>
          <w:szCs w:val="21"/>
        </w:rPr>
        <w:t xml:space="preserve">Effective </w:t>
      </w:r>
      <w:r w:rsidRPr="006906FE">
        <w:rPr>
          <w:rFonts w:cs="Arial"/>
        </w:rPr>
        <w:t>November 17, 2025, the following agents will no longer be allowed or mandated to be dispensed in up to a 90-day supply, as indicated below</w:t>
      </w:r>
      <w:r w:rsidRPr="006906FE">
        <w:rPr>
          <w:rFonts w:cs="Arial"/>
          <w:szCs w:val="21"/>
        </w:rPr>
        <w:t>.</w:t>
      </w:r>
    </w:p>
    <w:p w14:paraId="1B186377" w14:textId="77777777" w:rsidR="0027351B" w:rsidRPr="00515F71" w:rsidRDefault="0027351B" w:rsidP="0027351B">
      <w:pPr>
        <w:numPr>
          <w:ilvl w:val="0"/>
          <w:numId w:val="41"/>
        </w:numPr>
        <w:autoSpaceDE w:val="0"/>
        <w:autoSpaceDN w:val="0"/>
        <w:adjustRightInd w:val="0"/>
        <w:spacing w:line="259" w:lineRule="auto"/>
        <w:rPr>
          <w:rFonts w:eastAsia="Calibri" w:cs="Arial"/>
          <w:color w:val="000000"/>
          <w:szCs w:val="21"/>
        </w:rPr>
      </w:pPr>
      <w:r w:rsidRPr="00515F71">
        <w:rPr>
          <w:rFonts w:eastAsia="Calibri" w:cs="Arial"/>
          <w:color w:val="000000"/>
          <w:szCs w:val="21"/>
        </w:rPr>
        <w:t xml:space="preserve">Effective </w:t>
      </w:r>
      <w:r w:rsidRPr="00515F71">
        <w:rPr>
          <w:rFonts w:eastAsia="Calibri" w:cs="Arial"/>
          <w:szCs w:val="22"/>
        </w:rPr>
        <w:t>January 5, 2026</w:t>
      </w:r>
      <w:r w:rsidRPr="00515F71">
        <w:rPr>
          <w:rFonts w:eastAsia="Calibri" w:cs="Arial"/>
          <w:color w:val="000000"/>
          <w:szCs w:val="22"/>
        </w:rPr>
        <w:t>, the following agents may be allowed or mandated to be dispensed in up to a 90-day supply, as indicated below</w:t>
      </w:r>
      <w:r w:rsidRPr="00515F71">
        <w:rPr>
          <w:rFonts w:eastAsia="Calibri" w:cs="Arial"/>
          <w:color w:val="000000"/>
          <w:szCs w:val="21"/>
        </w:rPr>
        <w:t xml:space="preserve">. </w:t>
      </w:r>
    </w:p>
    <w:p w14:paraId="11AC8507" w14:textId="77777777" w:rsidR="0027351B" w:rsidRPr="00515F71" w:rsidRDefault="0027351B" w:rsidP="0027351B">
      <w:pPr>
        <w:numPr>
          <w:ilvl w:val="1"/>
          <w:numId w:val="41"/>
        </w:numPr>
        <w:autoSpaceDE w:val="0"/>
        <w:autoSpaceDN w:val="0"/>
        <w:adjustRightInd w:val="0"/>
        <w:spacing w:line="259" w:lineRule="auto"/>
        <w:rPr>
          <w:rFonts w:eastAsia="Calibri" w:cs="Arial"/>
          <w:color w:val="000000"/>
          <w:szCs w:val="21"/>
        </w:rPr>
      </w:pPr>
      <w:proofErr w:type="spellStart"/>
      <w:r w:rsidRPr="00515F71">
        <w:rPr>
          <w:rFonts w:eastAsia="Calibri" w:cs="Arial"/>
          <w:color w:val="000000"/>
          <w:szCs w:val="22"/>
        </w:rPr>
        <w:t>Briviact</w:t>
      </w:r>
      <w:proofErr w:type="spellEnd"/>
      <w:r w:rsidRPr="00515F71">
        <w:rPr>
          <w:rFonts w:eastAsia="Calibri" w:cs="Arial"/>
          <w:color w:val="000000"/>
          <w:szCs w:val="22"/>
        </w:rPr>
        <w:t xml:space="preserve"> (brivaracetam solution, tablet) – </w:t>
      </w:r>
      <w:r w:rsidRPr="00515F71">
        <w:rPr>
          <w:rFonts w:eastAsia="Calibri" w:cs="Arial"/>
          <w:b/>
          <w:bCs/>
          <w:color w:val="000000"/>
          <w:szCs w:val="22"/>
        </w:rPr>
        <w:t>PA</w:t>
      </w:r>
      <w:r w:rsidRPr="00515F71">
        <w:rPr>
          <w:rFonts w:eastAsia="Calibri" w:cs="Arial"/>
          <w:color w:val="000000"/>
          <w:szCs w:val="22"/>
        </w:rPr>
        <w:t>; A90</w:t>
      </w:r>
    </w:p>
    <w:p w14:paraId="22782B3F" w14:textId="77777777" w:rsidR="0027351B" w:rsidRPr="00515F71" w:rsidRDefault="0027351B" w:rsidP="0027351B">
      <w:pPr>
        <w:numPr>
          <w:ilvl w:val="1"/>
          <w:numId w:val="41"/>
        </w:numPr>
        <w:autoSpaceDE w:val="0"/>
        <w:autoSpaceDN w:val="0"/>
        <w:adjustRightInd w:val="0"/>
        <w:spacing w:line="259" w:lineRule="auto"/>
        <w:rPr>
          <w:rFonts w:eastAsia="Calibri" w:cs="Arial"/>
          <w:color w:val="000000"/>
          <w:szCs w:val="21"/>
        </w:rPr>
      </w:pPr>
      <w:proofErr w:type="spellStart"/>
      <w:r w:rsidRPr="00515F71">
        <w:rPr>
          <w:rFonts w:eastAsia="Calibri" w:cs="Arial"/>
          <w:color w:val="000000"/>
          <w:szCs w:val="22"/>
        </w:rPr>
        <w:t>Farxiga</w:t>
      </w:r>
      <w:proofErr w:type="spellEnd"/>
      <w:r w:rsidRPr="00515F71">
        <w:rPr>
          <w:rFonts w:eastAsia="Calibri" w:cs="Arial"/>
          <w:color w:val="000000"/>
          <w:szCs w:val="22"/>
        </w:rPr>
        <w:t xml:space="preserve"> (dapagliflozin); BP, A90</w:t>
      </w:r>
    </w:p>
    <w:p w14:paraId="771FD139" w14:textId="77777777" w:rsidR="0027351B" w:rsidRPr="00515F71" w:rsidRDefault="0027351B" w:rsidP="0027351B">
      <w:pPr>
        <w:numPr>
          <w:ilvl w:val="1"/>
          <w:numId w:val="41"/>
        </w:numPr>
        <w:autoSpaceDE w:val="0"/>
        <w:autoSpaceDN w:val="0"/>
        <w:adjustRightInd w:val="0"/>
        <w:spacing w:line="259" w:lineRule="auto"/>
        <w:rPr>
          <w:rFonts w:eastAsia="Calibri" w:cs="Arial"/>
          <w:color w:val="000000"/>
          <w:szCs w:val="21"/>
        </w:rPr>
      </w:pPr>
      <w:r w:rsidRPr="00515F71">
        <w:rPr>
          <w:rFonts w:eastAsia="Calibri" w:cs="Arial"/>
          <w:color w:val="000000"/>
          <w:szCs w:val="21"/>
        </w:rPr>
        <w:t>Premarin (estrogens, conjugated); #, A90</w:t>
      </w:r>
    </w:p>
    <w:p w14:paraId="20B4481A" w14:textId="7758F8BF" w:rsidR="0027351B" w:rsidRPr="0027351B" w:rsidRDefault="0027351B" w:rsidP="005C3BE9">
      <w:pPr>
        <w:numPr>
          <w:ilvl w:val="1"/>
          <w:numId w:val="41"/>
        </w:numPr>
        <w:autoSpaceDE w:val="0"/>
        <w:autoSpaceDN w:val="0"/>
        <w:adjustRightInd w:val="0"/>
        <w:spacing w:line="259" w:lineRule="auto"/>
        <w:rPr>
          <w:rFonts w:eastAsia="Calibri" w:cs="Arial"/>
          <w:color w:val="000000"/>
          <w:szCs w:val="21"/>
        </w:rPr>
      </w:pPr>
      <w:proofErr w:type="spellStart"/>
      <w:r w:rsidRPr="00515F71">
        <w:rPr>
          <w:rFonts w:eastAsia="Calibri" w:cs="Arial"/>
          <w:color w:val="000000"/>
          <w:szCs w:val="21"/>
        </w:rPr>
        <w:t>Rytary</w:t>
      </w:r>
      <w:proofErr w:type="spellEnd"/>
      <w:r w:rsidRPr="00515F71">
        <w:rPr>
          <w:rFonts w:eastAsia="Calibri" w:cs="Arial"/>
          <w:color w:val="000000"/>
          <w:szCs w:val="21"/>
        </w:rPr>
        <w:t xml:space="preserve"> (carbidopa/levodopa extended-release capsule) – </w:t>
      </w:r>
      <w:r w:rsidRPr="00515F71">
        <w:rPr>
          <w:rFonts w:eastAsia="Calibri" w:cs="Arial"/>
          <w:b/>
          <w:bCs/>
          <w:color w:val="000000"/>
          <w:szCs w:val="21"/>
        </w:rPr>
        <w:t>PA</w:t>
      </w:r>
      <w:r w:rsidRPr="00515F71">
        <w:rPr>
          <w:rFonts w:eastAsia="Calibri" w:cs="Arial"/>
          <w:color w:val="000000"/>
          <w:szCs w:val="21"/>
        </w:rPr>
        <w:t>; BP, A90</w:t>
      </w:r>
    </w:p>
    <w:p w14:paraId="10B06064" w14:textId="3011335F" w:rsidR="0027351B" w:rsidRPr="005C3BE9" w:rsidRDefault="0027351B" w:rsidP="005C3BE9">
      <w:pPr>
        <w:spacing w:line="259" w:lineRule="auto"/>
        <w:contextualSpacing/>
        <w:rPr>
          <w:rFonts w:cs="Arial"/>
        </w:rPr>
        <w:sectPr w:rsidR="0027351B" w:rsidRPr="005C3BE9" w:rsidSect="00A946BB">
          <w:headerReference w:type="default" r:id="rId13"/>
          <w:footerReference w:type="default" r:id="rId14"/>
          <w:type w:val="continuous"/>
          <w:pgSz w:w="12240" w:h="15840" w:code="1"/>
          <w:pgMar w:top="360" w:right="907" w:bottom="446" w:left="907" w:header="0" w:footer="576" w:gutter="0"/>
          <w:cols w:space="720"/>
          <w:docGrid w:linePitch="360"/>
        </w:sectPr>
      </w:pPr>
    </w:p>
    <w:p w14:paraId="094EA4C8" w14:textId="77777777" w:rsidR="00515F71" w:rsidRPr="00515F71" w:rsidRDefault="00515F71" w:rsidP="00FD119B">
      <w:pPr>
        <w:numPr>
          <w:ilvl w:val="0"/>
          <w:numId w:val="41"/>
        </w:numPr>
        <w:autoSpaceDE w:val="0"/>
        <w:autoSpaceDN w:val="0"/>
        <w:adjustRightInd w:val="0"/>
        <w:spacing w:line="259" w:lineRule="auto"/>
        <w:rPr>
          <w:rFonts w:eastAsia="Calibri" w:cs="Arial"/>
          <w:color w:val="000000"/>
          <w:szCs w:val="21"/>
        </w:rPr>
      </w:pPr>
      <w:r w:rsidRPr="00515F71">
        <w:rPr>
          <w:rFonts w:eastAsia="Calibri" w:cs="Arial"/>
          <w:color w:val="000000"/>
          <w:szCs w:val="21"/>
        </w:rPr>
        <w:lastRenderedPageBreak/>
        <w:t xml:space="preserve">Effective </w:t>
      </w:r>
      <w:r w:rsidRPr="00515F71">
        <w:rPr>
          <w:rFonts w:eastAsia="Calibri" w:cs="Arial"/>
          <w:szCs w:val="22"/>
        </w:rPr>
        <w:t>January 5, 2026,</w:t>
      </w:r>
      <w:r w:rsidRPr="00515F71">
        <w:rPr>
          <w:rFonts w:eastAsia="Calibri" w:cs="Arial"/>
          <w:color w:val="000000"/>
          <w:szCs w:val="22"/>
        </w:rPr>
        <w:t xml:space="preserve"> the following agents will no longer be allowed or mandated to be dispensed in up to a 90-day supply, as indicated below</w:t>
      </w:r>
      <w:r w:rsidRPr="00515F71">
        <w:rPr>
          <w:rFonts w:eastAsia="Calibri" w:cs="Arial"/>
          <w:color w:val="000000"/>
          <w:szCs w:val="21"/>
        </w:rPr>
        <w:t>.</w:t>
      </w:r>
    </w:p>
    <w:p w14:paraId="34468FC2" w14:textId="77777777" w:rsidR="00E64440" w:rsidRDefault="00515F71" w:rsidP="00FD119B">
      <w:pPr>
        <w:numPr>
          <w:ilvl w:val="1"/>
          <w:numId w:val="41"/>
        </w:numPr>
        <w:autoSpaceDE w:val="0"/>
        <w:autoSpaceDN w:val="0"/>
        <w:adjustRightInd w:val="0"/>
        <w:spacing w:line="259" w:lineRule="auto"/>
        <w:rPr>
          <w:rFonts w:eastAsia="Calibri" w:cs="Arial"/>
          <w:color w:val="000000"/>
          <w:szCs w:val="21"/>
        </w:rPr>
      </w:pPr>
      <w:r w:rsidRPr="00515F71">
        <w:rPr>
          <w:rFonts w:eastAsia="Calibri" w:cs="Arial"/>
          <w:color w:val="000000"/>
          <w:szCs w:val="21"/>
        </w:rPr>
        <w:t>Cleocin (clindamycin vaginal cream); #</w:t>
      </w:r>
    </w:p>
    <w:p w14:paraId="02A62285" w14:textId="77777777" w:rsidR="00E64440" w:rsidRPr="002F02A8" w:rsidRDefault="00515F71" w:rsidP="00FD119B">
      <w:pPr>
        <w:numPr>
          <w:ilvl w:val="1"/>
          <w:numId w:val="41"/>
        </w:numPr>
        <w:autoSpaceDE w:val="0"/>
        <w:autoSpaceDN w:val="0"/>
        <w:adjustRightInd w:val="0"/>
        <w:spacing w:after="120" w:line="259" w:lineRule="auto"/>
        <w:rPr>
          <w:rFonts w:eastAsia="Calibri" w:cs="Arial"/>
          <w:color w:val="000000"/>
          <w:szCs w:val="21"/>
        </w:rPr>
      </w:pPr>
      <w:r w:rsidRPr="00E64440">
        <w:rPr>
          <w:rFonts w:eastAsia="Calibri" w:cs="Arial"/>
          <w:szCs w:val="21"/>
        </w:rPr>
        <w:t>metronidazole 0.75% vaginal gel</w:t>
      </w:r>
    </w:p>
    <w:p w14:paraId="3775E7F9" w14:textId="77777777" w:rsidR="002F02A8" w:rsidRPr="002F02A8" w:rsidRDefault="002F02A8" w:rsidP="00FD119B">
      <w:pPr>
        <w:keepNext/>
        <w:keepLines/>
        <w:spacing w:after="120" w:line="240" w:lineRule="auto"/>
        <w:outlineLvl w:val="0"/>
        <w:rPr>
          <w:rFonts w:eastAsia="Yu Gothic Light"/>
          <w:b/>
          <w:sz w:val="24"/>
          <w:szCs w:val="32"/>
        </w:rPr>
      </w:pPr>
      <w:r w:rsidRPr="002F02A8">
        <w:rPr>
          <w:rFonts w:eastAsia="Yu Gothic Light"/>
          <w:b/>
          <w:sz w:val="24"/>
          <w:szCs w:val="32"/>
        </w:rPr>
        <w:t>HSN Formulary Page</w:t>
      </w:r>
    </w:p>
    <w:p w14:paraId="41510CD4" w14:textId="4F1F14B4" w:rsidR="002F02A8" w:rsidRPr="002F02A8" w:rsidRDefault="002F02A8" w:rsidP="002F02A8">
      <w:pPr>
        <w:numPr>
          <w:ilvl w:val="0"/>
          <w:numId w:val="45"/>
        </w:numPr>
        <w:spacing w:after="160" w:line="259" w:lineRule="auto"/>
        <w:contextualSpacing/>
        <w:rPr>
          <w:rFonts w:eastAsia="Calibri" w:cs="Arial"/>
          <w:szCs w:val="22"/>
        </w:rPr>
      </w:pPr>
      <w:r w:rsidRPr="002F02A8">
        <w:rPr>
          <w:rFonts w:eastAsia="Calibri" w:cs="Arial"/>
          <w:szCs w:val="22"/>
        </w:rPr>
        <w:t xml:space="preserve">The following Prior Authorization Request Form was added to the </w:t>
      </w:r>
      <w:r w:rsidR="00D93D19">
        <w:rPr>
          <w:rFonts w:eastAsia="Calibri" w:cs="Arial"/>
          <w:szCs w:val="22"/>
        </w:rPr>
        <w:t>Health Safety Net Formulary page</w:t>
      </w:r>
      <w:r w:rsidRPr="002F02A8">
        <w:rPr>
          <w:rFonts w:eastAsia="Calibri" w:cs="Arial"/>
          <w:szCs w:val="22"/>
        </w:rPr>
        <w:t xml:space="preserve"> on December 18, 2025.</w:t>
      </w:r>
    </w:p>
    <w:p w14:paraId="5D6604E5" w14:textId="77777777" w:rsidR="002F02A8" w:rsidRPr="002F02A8" w:rsidRDefault="002F02A8" w:rsidP="002F02A8">
      <w:pPr>
        <w:numPr>
          <w:ilvl w:val="1"/>
          <w:numId w:val="45"/>
        </w:numPr>
        <w:spacing w:after="160" w:line="259" w:lineRule="auto"/>
        <w:contextualSpacing/>
        <w:rPr>
          <w:rFonts w:eastAsia="Calibri" w:cs="Arial"/>
          <w:szCs w:val="22"/>
        </w:rPr>
      </w:pPr>
      <w:r w:rsidRPr="002F02A8">
        <w:rPr>
          <w:rFonts w:eastAsia="Calibri" w:cs="Arial"/>
          <w:szCs w:val="22"/>
        </w:rPr>
        <w:t>Health Safety Net Prior Authorization Request</w:t>
      </w:r>
    </w:p>
    <w:p w14:paraId="2DD6A3E7" w14:textId="03E9CB1B" w:rsidR="002F02A8" w:rsidRPr="002F02A8" w:rsidRDefault="002F02A8" w:rsidP="002F02A8">
      <w:pPr>
        <w:numPr>
          <w:ilvl w:val="0"/>
          <w:numId w:val="45"/>
        </w:numPr>
        <w:spacing w:after="160" w:line="259" w:lineRule="auto"/>
        <w:contextualSpacing/>
        <w:rPr>
          <w:rFonts w:eastAsia="Calibri" w:cs="Arial"/>
          <w:szCs w:val="22"/>
        </w:rPr>
      </w:pPr>
      <w:r w:rsidRPr="002F02A8">
        <w:rPr>
          <w:rFonts w:eastAsia="Calibri" w:cs="Arial"/>
          <w:szCs w:val="22"/>
        </w:rPr>
        <w:t xml:space="preserve">The Health Safety Net Formulary page will be updated </w:t>
      </w:r>
      <w:r w:rsidR="00AD579A">
        <w:rPr>
          <w:rFonts w:eastAsia="Calibri" w:cs="Arial"/>
          <w:szCs w:val="22"/>
        </w:rPr>
        <w:t xml:space="preserve">on January 5, </w:t>
      </w:r>
      <w:proofErr w:type="gramStart"/>
      <w:r w:rsidR="00AD579A">
        <w:rPr>
          <w:rFonts w:eastAsia="Calibri" w:cs="Arial"/>
          <w:szCs w:val="22"/>
        </w:rPr>
        <w:t>2026</w:t>
      </w:r>
      <w:proofErr w:type="gramEnd"/>
      <w:r w:rsidR="00AD579A">
        <w:rPr>
          <w:rFonts w:eastAsia="Calibri" w:cs="Arial"/>
          <w:szCs w:val="22"/>
        </w:rPr>
        <w:t xml:space="preserve"> </w:t>
      </w:r>
      <w:r w:rsidRPr="002F02A8">
        <w:rPr>
          <w:rFonts w:eastAsia="Calibri" w:cs="Arial"/>
          <w:szCs w:val="22"/>
        </w:rPr>
        <w:t>to reflect changes effective January 12, 2026.</w:t>
      </w:r>
    </w:p>
    <w:p w14:paraId="1E5A9F2D" w14:textId="77777777" w:rsidR="002F02A8" w:rsidRPr="002F02A8" w:rsidRDefault="002F02A8" w:rsidP="002F02A8">
      <w:pPr>
        <w:numPr>
          <w:ilvl w:val="0"/>
          <w:numId w:val="44"/>
        </w:numPr>
        <w:spacing w:after="160" w:line="259" w:lineRule="auto"/>
        <w:ind w:left="1080"/>
        <w:contextualSpacing/>
        <w:rPr>
          <w:rFonts w:eastAsia="Calibri" w:cs="Arial"/>
          <w:szCs w:val="22"/>
        </w:rPr>
      </w:pPr>
      <w:r w:rsidRPr="002F02A8">
        <w:rPr>
          <w:rFonts w:eastAsia="Calibri" w:cs="Arial"/>
          <w:szCs w:val="22"/>
        </w:rPr>
        <w:t>Health Safety Net Formulary Changes</w:t>
      </w:r>
    </w:p>
    <w:p w14:paraId="1599350D" w14:textId="77777777" w:rsidR="002F02A8" w:rsidRPr="002F02A8" w:rsidRDefault="002F02A8" w:rsidP="002F02A8">
      <w:pPr>
        <w:numPr>
          <w:ilvl w:val="0"/>
          <w:numId w:val="44"/>
        </w:numPr>
        <w:spacing w:after="160" w:line="259" w:lineRule="auto"/>
        <w:ind w:left="1080"/>
        <w:contextualSpacing/>
        <w:rPr>
          <w:rFonts w:eastAsia="Calibri" w:cs="Arial"/>
          <w:szCs w:val="22"/>
        </w:rPr>
      </w:pPr>
      <w:r w:rsidRPr="002F02A8">
        <w:rPr>
          <w:rFonts w:eastAsia="Calibri" w:cs="Arial"/>
          <w:szCs w:val="22"/>
        </w:rPr>
        <w:t>Patient Assistance Program Resource</w:t>
      </w:r>
    </w:p>
    <w:p w14:paraId="3194F3F0" w14:textId="77777777" w:rsidR="002F02A8" w:rsidRPr="002F02A8" w:rsidRDefault="002F02A8" w:rsidP="005C3BE9">
      <w:pPr>
        <w:numPr>
          <w:ilvl w:val="0"/>
          <w:numId w:val="44"/>
        </w:numPr>
        <w:spacing w:after="240" w:line="259" w:lineRule="auto"/>
        <w:ind w:left="1080"/>
        <w:contextualSpacing/>
        <w:rPr>
          <w:rFonts w:eastAsia="Calibri" w:cs="Arial"/>
          <w:szCs w:val="22"/>
        </w:rPr>
      </w:pPr>
      <w:r w:rsidRPr="002F02A8">
        <w:rPr>
          <w:rFonts w:eastAsia="Calibri" w:cs="Arial"/>
          <w:szCs w:val="22"/>
        </w:rPr>
        <w:t>Agents Reimbursable without PA for Highly Utilized Therapeutic Classes</w:t>
      </w:r>
    </w:p>
    <w:p w14:paraId="43451928" w14:textId="3A870456" w:rsidR="00E24E22" w:rsidRPr="005C3BE9" w:rsidRDefault="00E24E22" w:rsidP="005C3BE9">
      <w:pPr>
        <w:pStyle w:val="Heading2"/>
      </w:pPr>
      <w:r w:rsidRPr="00E64440">
        <w:t xml:space="preserve">Abbreviations, Acronyms, and Symbols </w:t>
      </w:r>
    </w:p>
    <w:p w14:paraId="6077A1E5" w14:textId="6E5AD72A" w:rsidR="00E24E22" w:rsidRPr="006D72AD" w:rsidRDefault="00E24E22" w:rsidP="00BB1FDB">
      <w:pPr>
        <w:shd w:val="clear" w:color="auto" w:fill="FFFFFF"/>
        <w:tabs>
          <w:tab w:val="left" w:pos="180"/>
          <w:tab w:val="left" w:pos="360"/>
        </w:tabs>
        <w:spacing w:after="160" w:line="240" w:lineRule="auto"/>
        <w:ind w:left="274" w:hanging="360"/>
        <w:rPr>
          <w:sz w:val="18"/>
          <w:szCs w:val="18"/>
        </w:rPr>
      </w:pPr>
      <w:r w:rsidRPr="006D72AD">
        <w:rPr>
          <w:sz w:val="18"/>
          <w:szCs w:val="18"/>
        </w:rPr>
        <w:t># Designates a brand-name drug with FDA “A”-rated generic equivalents. Prior authorization is required for the brand, unless</w:t>
      </w:r>
      <w:r w:rsidR="007B76EB" w:rsidRPr="006D72AD">
        <w:rPr>
          <w:sz w:val="18"/>
          <w:szCs w:val="18"/>
        </w:rPr>
        <w:t xml:space="preserve"> </w:t>
      </w:r>
      <w:r w:rsidRPr="006D72AD">
        <w:rPr>
          <w:sz w:val="18"/>
          <w:szCs w:val="18"/>
        </w:rPr>
        <w:t>a</w:t>
      </w:r>
      <w:r w:rsidR="007B76EB" w:rsidRPr="006D72AD">
        <w:rPr>
          <w:sz w:val="18"/>
          <w:szCs w:val="18"/>
        </w:rPr>
        <w:t xml:space="preserve"> </w:t>
      </w:r>
      <w:r w:rsidRPr="006D72AD">
        <w:rPr>
          <w:sz w:val="18"/>
          <w:szCs w:val="18"/>
        </w:rPr>
        <w:t xml:space="preserve">particular form of that drug (for example, tablet, capsule, or liquid) does not have an FDA “A”-rated generic equivalent. </w:t>
      </w:r>
    </w:p>
    <w:p w14:paraId="75A11300" w14:textId="5B90FEDB"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 xml:space="preserve">CO Carve-Out. This agent is listed on the Acute Hospital Carve-Out Drugs List and is subject to additional monitoring and </w:t>
      </w:r>
      <w:proofErr w:type="gramStart"/>
      <w:r w:rsidRPr="006D72AD">
        <w:rPr>
          <w:sz w:val="18"/>
          <w:szCs w:val="18"/>
        </w:rPr>
        <w:t>billing</w:t>
      </w:r>
      <w:r w:rsidR="00F955CA" w:rsidRPr="006D72AD">
        <w:rPr>
          <w:sz w:val="18"/>
          <w:szCs w:val="18"/>
        </w:rPr>
        <w:t xml:space="preserve">  </w:t>
      </w:r>
      <w:r w:rsidRPr="006D72AD">
        <w:rPr>
          <w:sz w:val="18"/>
          <w:szCs w:val="18"/>
        </w:rPr>
        <w:t>requirements</w:t>
      </w:r>
      <w:proofErr w:type="gramEnd"/>
      <w:r w:rsidRPr="006D72AD">
        <w:rPr>
          <w:sz w:val="18"/>
          <w:szCs w:val="18"/>
        </w:rPr>
        <w:t>. All requests for one-time cell and gene therapies (as listed on the Acute Hospital Carve-Out Drug List), including for members enrolled in an Accountable Care Partnership Plan (ACPP) or Managed Care Organization (MCO), will be reviewed by the MassHealth Drug Utilization Review (DUR) Program.</w:t>
      </w:r>
    </w:p>
    <w:p w14:paraId="3F62E2B5" w14:textId="77777777"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4A7B8722"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w:t>
      </w:r>
      <w:proofErr w:type="gramStart"/>
      <w:r w:rsidRPr="006D72AD">
        <w:rPr>
          <w:sz w:val="18"/>
          <w:szCs w:val="18"/>
        </w:rPr>
        <w:t>in order for</w:t>
      </w:r>
      <w:proofErr w:type="gramEnd"/>
      <w:r w:rsidRPr="006D72AD">
        <w:rPr>
          <w:sz w:val="18"/>
          <w:szCs w:val="18"/>
        </w:rPr>
        <w:t xml:space="preserve"> the provider to receive reimbursement. Note: PA applies to both the brand-name and the FDA “A”-rated generic equivalent of listed product. </w:t>
      </w:r>
    </w:p>
    <w:p w14:paraId="7FFBFD56"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w:t>
      </w:r>
      <w:proofErr w:type="gramStart"/>
      <w:r w:rsidRPr="006D72AD">
        <w:rPr>
          <w:sz w:val="18"/>
          <w:szCs w:val="18"/>
        </w:rPr>
        <w:t>Dispensing in</w:t>
      </w:r>
      <w:proofErr w:type="gramEnd"/>
      <w:r w:rsidRPr="006D72AD">
        <w:rPr>
          <w:sz w:val="18"/>
          <w:szCs w:val="18"/>
        </w:rPr>
        <w:t xml:space="preserve"> up to a 90-day supply is allowed. May not include all strengths or formulations. Quantity limits and other restrictions may apply. </w:t>
      </w:r>
    </w:p>
    <w:p w14:paraId="0132D238"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15B75921"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bookmarkStart w:id="6"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73C1CB63" w14:textId="77777777" w:rsidR="0027351B" w:rsidRDefault="00E24E22" w:rsidP="00F82CB3">
      <w:pPr>
        <w:spacing w:after="120" w:line="240" w:lineRule="auto"/>
        <w:ind w:left="270" w:hanging="360"/>
        <w:rPr>
          <w:sz w:val="18"/>
          <w:szCs w:val="18"/>
        </w:rPr>
      </w:pPr>
      <w:proofErr w:type="gramStart"/>
      <w:r w:rsidRPr="006D72AD">
        <w:rPr>
          <w:rFonts w:eastAsia="Calibri" w:cs="Arial"/>
          <w:bCs/>
          <w:sz w:val="18"/>
          <w:szCs w:val="18"/>
        </w:rPr>
        <w:t>PD</w:t>
      </w:r>
      <w:proofErr w:type="gramEnd"/>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6"/>
    </w:p>
    <w:p w14:paraId="2A6481CC" w14:textId="6CA49038" w:rsidR="006A269D" w:rsidRDefault="00A52375" w:rsidP="00F82CB3">
      <w:pPr>
        <w:spacing w:after="120" w:line="240" w:lineRule="auto"/>
        <w:ind w:left="270" w:hanging="360"/>
        <w:rPr>
          <w:rFonts w:eastAsia="Calibri" w:cs="Arial"/>
          <w:bCs/>
          <w:sz w:val="18"/>
          <w:szCs w:val="18"/>
        </w:rPr>
        <w:sectPr w:rsidR="006A269D" w:rsidSect="00360197">
          <w:footerReference w:type="default" r:id="rId15"/>
          <w:pgSz w:w="12240" w:h="15840" w:code="1"/>
          <w:pgMar w:top="360" w:right="907" w:bottom="446" w:left="907" w:header="0" w:footer="576" w:gutter="0"/>
          <w:cols w:space="720"/>
          <w:docGrid w:linePitch="360"/>
        </w:sectPr>
      </w:pPr>
      <w:r w:rsidRPr="00A52375">
        <w:rPr>
          <w:rFonts w:eastAsia="Calibri" w:cs="Arial"/>
          <w:bCs/>
          <w:sz w:val="18"/>
          <w:szCs w:val="18"/>
        </w:rPr>
        <w:t xml:space="preserve">1 </w:t>
      </w:r>
      <w:r>
        <w:rPr>
          <w:rFonts w:eastAsia="Calibri" w:cs="Arial"/>
          <w:bCs/>
          <w:sz w:val="18"/>
          <w:szCs w:val="18"/>
        </w:rPr>
        <w:tab/>
      </w:r>
      <w:r w:rsidRPr="00A52375">
        <w:rPr>
          <w:rFonts w:eastAsia="Calibri" w:cs="Arial"/>
          <w:bCs/>
          <w:sz w:val="18"/>
          <w:szCs w:val="18"/>
        </w:rPr>
        <w:t>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Department of Public Health without PA (130 CMR 406.413(C)). In cases where free vaccines are available to providers for specific populations (e.g. children, high risk, etc.), MassHealth will reimburse the provider only for individuals not eligible for the free vaccines. Notwithstanding the above, MassHealth will pay pharmacies for seasonal flu vaccine serum without PA, if the vaccine is administered in the pharmacy.</w:t>
      </w:r>
    </w:p>
    <w:p w14:paraId="5FA4356C" w14:textId="7B170304" w:rsidR="00A52375" w:rsidRPr="00A52375" w:rsidRDefault="00A52375" w:rsidP="00F82CB3">
      <w:pPr>
        <w:spacing w:after="120" w:line="240" w:lineRule="auto"/>
        <w:ind w:left="270" w:hanging="360"/>
        <w:rPr>
          <w:rFonts w:eastAsia="Calibri" w:cs="Arial"/>
          <w:bCs/>
          <w:sz w:val="18"/>
          <w:szCs w:val="18"/>
        </w:rPr>
      </w:pPr>
    </w:p>
    <w:sectPr w:rsidR="00A52375" w:rsidRPr="00A52375" w:rsidSect="00EC7147">
      <w:type w:val="continuous"/>
      <w:pgSz w:w="12240" w:h="15840" w:code="1"/>
      <w:pgMar w:top="360" w:right="907" w:bottom="446" w:left="907"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3551" w14:textId="77777777" w:rsidR="003B669C" w:rsidRDefault="003B669C" w:rsidP="00492602">
      <w:r>
        <w:separator/>
      </w:r>
    </w:p>
  </w:endnote>
  <w:endnote w:type="continuationSeparator" w:id="0">
    <w:p w14:paraId="3A1F56CA" w14:textId="77777777" w:rsidR="003B669C" w:rsidRDefault="003B669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2940" w14:textId="44121CE3" w:rsidR="00A946BB" w:rsidRPr="00D11DC6" w:rsidRDefault="00FE5811" w:rsidP="00B507AA">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1623" w14:textId="77777777" w:rsidR="00DD377D" w:rsidRPr="00D11DC6" w:rsidRDefault="00DD377D"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51922EC1" w14:textId="77777777" w:rsidR="00DD377D" w:rsidRPr="00D11DC6" w:rsidRDefault="00DD377D"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51F9" w14:textId="77777777" w:rsidR="003B669C" w:rsidRDefault="003B669C" w:rsidP="00492602">
      <w:r>
        <w:separator/>
      </w:r>
    </w:p>
  </w:footnote>
  <w:footnote w:type="continuationSeparator" w:id="0">
    <w:p w14:paraId="670BA15A" w14:textId="77777777" w:rsidR="003B669C" w:rsidRDefault="003B669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7BAB0102" w:rsidR="00492602" w:rsidRDefault="00492602" w:rsidP="00BB1FDB">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9437DF" w:rsidRPr="009437DF">
      <w:rPr>
        <w:color w:val="auto"/>
        <w:sz w:val="18"/>
        <w:szCs w:val="18"/>
      </w:rPr>
      <w:t>2</w:t>
    </w:r>
    <w:r w:rsidR="00FD119B">
      <w:rPr>
        <w:color w:val="auto"/>
        <w:sz w:val="18"/>
        <w:szCs w:val="18"/>
      </w:rPr>
      <w:t>68</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1A56DC">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F4C"/>
    <w:multiLevelType w:val="hybridMultilevel"/>
    <w:tmpl w:val="3B302AA8"/>
    <w:lvl w:ilvl="0" w:tplc="6D74651E">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B1A5EAF"/>
    <w:multiLevelType w:val="hybridMultilevel"/>
    <w:tmpl w:val="3D86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B62A8"/>
    <w:multiLevelType w:val="hybridMultilevel"/>
    <w:tmpl w:val="3A2AB1D2"/>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FF7A42"/>
    <w:multiLevelType w:val="hybridMultilevel"/>
    <w:tmpl w:val="C746601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ECA279E"/>
    <w:multiLevelType w:val="hybridMultilevel"/>
    <w:tmpl w:val="ED6E2414"/>
    <w:lvl w:ilvl="0" w:tplc="04090019">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01D2D"/>
    <w:multiLevelType w:val="hybridMultilevel"/>
    <w:tmpl w:val="458A4820"/>
    <w:lvl w:ilvl="0" w:tplc="6FF2F14A">
      <w:start w:val="1"/>
      <w:numFmt w:val="lowerLetter"/>
      <w:lvlText w:val="%1."/>
      <w:lvlJc w:val="left"/>
      <w:pPr>
        <w:ind w:left="720" w:hanging="360"/>
      </w:pPr>
      <w:rPr>
        <w:rFonts w:ascii="Arial" w:eastAsiaTheme="minorHAnsi" w:hAnsi="Arial" w:cs="Arial"/>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8055241"/>
    <w:multiLevelType w:val="hybridMultilevel"/>
    <w:tmpl w:val="85CA3A9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5A50E45"/>
    <w:multiLevelType w:val="hybridMultilevel"/>
    <w:tmpl w:val="F5B6CC02"/>
    <w:lvl w:ilvl="0" w:tplc="0952DC44">
      <w:start w:val="1"/>
      <w:numFmt w:val="bullet"/>
      <w:lvlText w:val=""/>
      <w:lvlJc w:val="left"/>
      <w:pPr>
        <w:ind w:left="1080" w:hanging="360"/>
      </w:pPr>
      <w:rPr>
        <w:rFonts w:ascii="Symbol" w:hAnsi="Symbol" w:hint="default"/>
        <w:sz w:val="22"/>
        <w:szCs w:val="22"/>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56482787">
    <w:abstractNumId w:val="18"/>
  </w:num>
  <w:num w:numId="2" w16cid:durableId="678387703">
    <w:abstractNumId w:val="24"/>
  </w:num>
  <w:num w:numId="3" w16cid:durableId="171258805">
    <w:abstractNumId w:val="29"/>
  </w:num>
  <w:num w:numId="4" w16cid:durableId="933971704">
    <w:abstractNumId w:val="12"/>
  </w:num>
  <w:num w:numId="5" w16cid:durableId="1146894553">
    <w:abstractNumId w:val="17"/>
  </w:num>
  <w:num w:numId="6" w16cid:durableId="1099835229">
    <w:abstractNumId w:val="23"/>
  </w:num>
  <w:num w:numId="7" w16cid:durableId="1091773746">
    <w:abstractNumId w:val="30"/>
  </w:num>
  <w:num w:numId="8" w16cid:durableId="775977178">
    <w:abstractNumId w:val="3"/>
  </w:num>
  <w:num w:numId="9" w16cid:durableId="1192911353">
    <w:abstractNumId w:val="0"/>
  </w:num>
  <w:num w:numId="10" w16cid:durableId="1998994280">
    <w:abstractNumId w:val="27"/>
  </w:num>
  <w:num w:numId="11" w16cid:durableId="77529562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7"/>
  </w:num>
  <w:num w:numId="13" w16cid:durableId="489909912">
    <w:abstractNumId w:val="29"/>
  </w:num>
  <w:num w:numId="14" w16cid:durableId="12777144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23"/>
  </w:num>
  <w:num w:numId="16" w16cid:durableId="1632830456">
    <w:abstractNumId w:val="25"/>
  </w:num>
  <w:num w:numId="17" w16cid:durableId="1271858877">
    <w:abstractNumId w:val="2"/>
  </w:num>
  <w:num w:numId="18" w16cid:durableId="1285695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8"/>
  </w:num>
  <w:num w:numId="20" w16cid:durableId="155609916">
    <w:abstractNumId w:val="4"/>
  </w:num>
  <w:num w:numId="21" w16cid:durableId="749011242">
    <w:abstractNumId w:val="15"/>
  </w:num>
  <w:num w:numId="22" w16cid:durableId="2135520725">
    <w:abstractNumId w:val="31"/>
  </w:num>
  <w:num w:numId="23" w16cid:durableId="1269894124">
    <w:abstractNumId w:val="34"/>
  </w:num>
  <w:num w:numId="24" w16cid:durableId="1534229008">
    <w:abstractNumId w:val="22"/>
  </w:num>
  <w:num w:numId="25" w16cid:durableId="480999597">
    <w:abstractNumId w:val="28"/>
  </w:num>
  <w:num w:numId="26" w16cid:durableId="1484080441">
    <w:abstractNumId w:val="12"/>
    <w:lvlOverride w:ilvl="0">
      <w:startOverride w:val="1"/>
    </w:lvlOverride>
  </w:num>
  <w:num w:numId="27" w16cid:durableId="339738625">
    <w:abstractNumId w:val="12"/>
  </w:num>
  <w:num w:numId="28" w16cid:durableId="1054817669">
    <w:abstractNumId w:val="9"/>
  </w:num>
  <w:num w:numId="29" w16cid:durableId="1907379004">
    <w:abstractNumId w:val="33"/>
  </w:num>
  <w:num w:numId="30" w16cid:durableId="2355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31076">
    <w:abstractNumId w:val="32"/>
  </w:num>
  <w:num w:numId="32" w16cid:durableId="66678507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0663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386787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670849">
    <w:abstractNumId w:val="5"/>
  </w:num>
  <w:num w:numId="36" w16cid:durableId="178122067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274678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6627342">
    <w:abstractNumId w:val="35"/>
  </w:num>
  <w:num w:numId="39" w16cid:durableId="337193572">
    <w:abstractNumId w:val="13"/>
  </w:num>
  <w:num w:numId="40" w16cid:durableId="552739578">
    <w:abstractNumId w:val="1"/>
  </w:num>
  <w:num w:numId="41" w16cid:durableId="373234596">
    <w:abstractNumId w:val="21"/>
  </w:num>
  <w:num w:numId="42" w16cid:durableId="1900893491">
    <w:abstractNumId w:val="24"/>
  </w:num>
  <w:num w:numId="43" w16cid:durableId="2645078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4453134">
    <w:abstractNumId w:val="6"/>
  </w:num>
  <w:num w:numId="45" w16cid:durableId="547691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24699"/>
    <w:rsid w:val="00054839"/>
    <w:rsid w:val="00061F50"/>
    <w:rsid w:val="000658A5"/>
    <w:rsid w:val="000713D3"/>
    <w:rsid w:val="00074014"/>
    <w:rsid w:val="00074716"/>
    <w:rsid w:val="00081E8E"/>
    <w:rsid w:val="000A622F"/>
    <w:rsid w:val="000A6318"/>
    <w:rsid w:val="000D1502"/>
    <w:rsid w:val="000F544B"/>
    <w:rsid w:val="00102EDF"/>
    <w:rsid w:val="00123D58"/>
    <w:rsid w:val="00124EAA"/>
    <w:rsid w:val="0012682D"/>
    <w:rsid w:val="001378CB"/>
    <w:rsid w:val="00137D3D"/>
    <w:rsid w:val="00140D08"/>
    <w:rsid w:val="00147437"/>
    <w:rsid w:val="00157A49"/>
    <w:rsid w:val="00171445"/>
    <w:rsid w:val="001721D8"/>
    <w:rsid w:val="0018357E"/>
    <w:rsid w:val="001864A9"/>
    <w:rsid w:val="00186F28"/>
    <w:rsid w:val="001A1124"/>
    <w:rsid w:val="001A125B"/>
    <w:rsid w:val="001A56DC"/>
    <w:rsid w:val="001C1481"/>
    <w:rsid w:val="001D3436"/>
    <w:rsid w:val="001E779F"/>
    <w:rsid w:val="001F6F0B"/>
    <w:rsid w:val="002005A5"/>
    <w:rsid w:val="002110E4"/>
    <w:rsid w:val="0021214A"/>
    <w:rsid w:val="00212477"/>
    <w:rsid w:val="00212622"/>
    <w:rsid w:val="002275AE"/>
    <w:rsid w:val="002509E9"/>
    <w:rsid w:val="00267FBD"/>
    <w:rsid w:val="0027351B"/>
    <w:rsid w:val="00274F3E"/>
    <w:rsid w:val="00276F3A"/>
    <w:rsid w:val="002862CE"/>
    <w:rsid w:val="00286CBE"/>
    <w:rsid w:val="00290C8D"/>
    <w:rsid w:val="00291397"/>
    <w:rsid w:val="002C7C67"/>
    <w:rsid w:val="002D390F"/>
    <w:rsid w:val="002D738C"/>
    <w:rsid w:val="002E2F9E"/>
    <w:rsid w:val="002F02A8"/>
    <w:rsid w:val="002F459B"/>
    <w:rsid w:val="00307084"/>
    <w:rsid w:val="003152DA"/>
    <w:rsid w:val="003240F1"/>
    <w:rsid w:val="0033053B"/>
    <w:rsid w:val="00347A86"/>
    <w:rsid w:val="00351497"/>
    <w:rsid w:val="00360067"/>
    <w:rsid w:val="00360197"/>
    <w:rsid w:val="00361733"/>
    <w:rsid w:val="0036343A"/>
    <w:rsid w:val="00372195"/>
    <w:rsid w:val="0037373E"/>
    <w:rsid w:val="00375713"/>
    <w:rsid w:val="00380F7C"/>
    <w:rsid w:val="00382054"/>
    <w:rsid w:val="00382BED"/>
    <w:rsid w:val="003911FC"/>
    <w:rsid w:val="00393814"/>
    <w:rsid w:val="003B669C"/>
    <w:rsid w:val="003B6839"/>
    <w:rsid w:val="003C45A1"/>
    <w:rsid w:val="003D3B27"/>
    <w:rsid w:val="003F533B"/>
    <w:rsid w:val="00403944"/>
    <w:rsid w:val="004233B0"/>
    <w:rsid w:val="00447A5F"/>
    <w:rsid w:val="004555D9"/>
    <w:rsid w:val="00456B5A"/>
    <w:rsid w:val="00457528"/>
    <w:rsid w:val="004664D3"/>
    <w:rsid w:val="00482DDE"/>
    <w:rsid w:val="00492602"/>
    <w:rsid w:val="0049423D"/>
    <w:rsid w:val="00494D38"/>
    <w:rsid w:val="004A3BAA"/>
    <w:rsid w:val="004A6C4D"/>
    <w:rsid w:val="004A7395"/>
    <w:rsid w:val="004C1DAD"/>
    <w:rsid w:val="004D1BC7"/>
    <w:rsid w:val="004D20D7"/>
    <w:rsid w:val="004D6D49"/>
    <w:rsid w:val="004D79B2"/>
    <w:rsid w:val="004F249B"/>
    <w:rsid w:val="004F5506"/>
    <w:rsid w:val="004F5612"/>
    <w:rsid w:val="005052D9"/>
    <w:rsid w:val="00515F71"/>
    <w:rsid w:val="00516394"/>
    <w:rsid w:val="0052118E"/>
    <w:rsid w:val="00527F95"/>
    <w:rsid w:val="005314A6"/>
    <w:rsid w:val="005502E1"/>
    <w:rsid w:val="0055514F"/>
    <w:rsid w:val="0056481B"/>
    <w:rsid w:val="0057156C"/>
    <w:rsid w:val="00571898"/>
    <w:rsid w:val="00574ECE"/>
    <w:rsid w:val="00574F07"/>
    <w:rsid w:val="0057528C"/>
    <w:rsid w:val="00577AD7"/>
    <w:rsid w:val="00581E50"/>
    <w:rsid w:val="005835F0"/>
    <w:rsid w:val="005842A0"/>
    <w:rsid w:val="005958DD"/>
    <w:rsid w:val="005A2859"/>
    <w:rsid w:val="005A57BA"/>
    <w:rsid w:val="005B15B3"/>
    <w:rsid w:val="005C1528"/>
    <w:rsid w:val="005C347E"/>
    <w:rsid w:val="005C3BE9"/>
    <w:rsid w:val="005D723D"/>
    <w:rsid w:val="005E3688"/>
    <w:rsid w:val="005E48BC"/>
    <w:rsid w:val="005F2371"/>
    <w:rsid w:val="005F40D5"/>
    <w:rsid w:val="00623469"/>
    <w:rsid w:val="00634C49"/>
    <w:rsid w:val="00637A67"/>
    <w:rsid w:val="006425F0"/>
    <w:rsid w:val="00644AAF"/>
    <w:rsid w:val="00650095"/>
    <w:rsid w:val="00651CA7"/>
    <w:rsid w:val="00656A01"/>
    <w:rsid w:val="00657D21"/>
    <w:rsid w:val="006615EC"/>
    <w:rsid w:val="00673F96"/>
    <w:rsid w:val="00674418"/>
    <w:rsid w:val="00674428"/>
    <w:rsid w:val="006753A6"/>
    <w:rsid w:val="00677EE7"/>
    <w:rsid w:val="00686C26"/>
    <w:rsid w:val="00690023"/>
    <w:rsid w:val="0069267F"/>
    <w:rsid w:val="00696F48"/>
    <w:rsid w:val="0069772F"/>
    <w:rsid w:val="006A1AD3"/>
    <w:rsid w:val="006A269D"/>
    <w:rsid w:val="006A767B"/>
    <w:rsid w:val="006A7D28"/>
    <w:rsid w:val="006D3B5F"/>
    <w:rsid w:val="006D72AD"/>
    <w:rsid w:val="006E0C20"/>
    <w:rsid w:val="006E22A3"/>
    <w:rsid w:val="006F35F9"/>
    <w:rsid w:val="007319D7"/>
    <w:rsid w:val="00731FAF"/>
    <w:rsid w:val="00736BFB"/>
    <w:rsid w:val="007426BF"/>
    <w:rsid w:val="00756348"/>
    <w:rsid w:val="00760FDF"/>
    <w:rsid w:val="00763358"/>
    <w:rsid w:val="007757E7"/>
    <w:rsid w:val="00781D3B"/>
    <w:rsid w:val="007A038A"/>
    <w:rsid w:val="007A41F5"/>
    <w:rsid w:val="007B2D5C"/>
    <w:rsid w:val="007B2F2D"/>
    <w:rsid w:val="007B33B4"/>
    <w:rsid w:val="007B4429"/>
    <w:rsid w:val="007B7425"/>
    <w:rsid w:val="007B76EB"/>
    <w:rsid w:val="007C1B74"/>
    <w:rsid w:val="007F5417"/>
    <w:rsid w:val="00804116"/>
    <w:rsid w:val="00812480"/>
    <w:rsid w:val="00816C8D"/>
    <w:rsid w:val="00816CE2"/>
    <w:rsid w:val="00821937"/>
    <w:rsid w:val="008340D0"/>
    <w:rsid w:val="008403CA"/>
    <w:rsid w:val="008474A5"/>
    <w:rsid w:val="0085395A"/>
    <w:rsid w:val="00853F8E"/>
    <w:rsid w:val="0086142C"/>
    <w:rsid w:val="00863B44"/>
    <w:rsid w:val="00870F52"/>
    <w:rsid w:val="00872E7F"/>
    <w:rsid w:val="00880FA9"/>
    <w:rsid w:val="008930F1"/>
    <w:rsid w:val="00893F45"/>
    <w:rsid w:val="008A650C"/>
    <w:rsid w:val="008B3C1B"/>
    <w:rsid w:val="008C1341"/>
    <w:rsid w:val="008C5414"/>
    <w:rsid w:val="008C66D8"/>
    <w:rsid w:val="008D4CC3"/>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437DF"/>
    <w:rsid w:val="00956812"/>
    <w:rsid w:val="0095770E"/>
    <w:rsid w:val="009725E5"/>
    <w:rsid w:val="00974CFD"/>
    <w:rsid w:val="0097559E"/>
    <w:rsid w:val="00977BC2"/>
    <w:rsid w:val="00981567"/>
    <w:rsid w:val="00982F9F"/>
    <w:rsid w:val="009C0B43"/>
    <w:rsid w:val="009C3981"/>
    <w:rsid w:val="009D1341"/>
    <w:rsid w:val="009D1846"/>
    <w:rsid w:val="009D6D73"/>
    <w:rsid w:val="009D79C6"/>
    <w:rsid w:val="009F0440"/>
    <w:rsid w:val="009F0526"/>
    <w:rsid w:val="009F3823"/>
    <w:rsid w:val="00A01DE3"/>
    <w:rsid w:val="00A06542"/>
    <w:rsid w:val="00A11371"/>
    <w:rsid w:val="00A120E1"/>
    <w:rsid w:val="00A2577C"/>
    <w:rsid w:val="00A31FAA"/>
    <w:rsid w:val="00A343A9"/>
    <w:rsid w:val="00A52375"/>
    <w:rsid w:val="00A5239C"/>
    <w:rsid w:val="00A571F6"/>
    <w:rsid w:val="00A650DC"/>
    <w:rsid w:val="00A6764A"/>
    <w:rsid w:val="00A84255"/>
    <w:rsid w:val="00A853D9"/>
    <w:rsid w:val="00A946BB"/>
    <w:rsid w:val="00AB08DB"/>
    <w:rsid w:val="00AC1AC7"/>
    <w:rsid w:val="00AC2D0D"/>
    <w:rsid w:val="00AD01FF"/>
    <w:rsid w:val="00AD18B8"/>
    <w:rsid w:val="00AD33D5"/>
    <w:rsid w:val="00AD4AD1"/>
    <w:rsid w:val="00AD52F5"/>
    <w:rsid w:val="00AD579A"/>
    <w:rsid w:val="00AE21FC"/>
    <w:rsid w:val="00AF40D2"/>
    <w:rsid w:val="00B01BAA"/>
    <w:rsid w:val="00B032A8"/>
    <w:rsid w:val="00B05470"/>
    <w:rsid w:val="00B07BD7"/>
    <w:rsid w:val="00B10600"/>
    <w:rsid w:val="00B13AA5"/>
    <w:rsid w:val="00B3099B"/>
    <w:rsid w:val="00B40A71"/>
    <w:rsid w:val="00B45236"/>
    <w:rsid w:val="00B503C7"/>
    <w:rsid w:val="00B507AA"/>
    <w:rsid w:val="00B54AB5"/>
    <w:rsid w:val="00B6176E"/>
    <w:rsid w:val="00B645C9"/>
    <w:rsid w:val="00B86F04"/>
    <w:rsid w:val="00B877BA"/>
    <w:rsid w:val="00B92C96"/>
    <w:rsid w:val="00BA64D7"/>
    <w:rsid w:val="00BA68F0"/>
    <w:rsid w:val="00BB1FDB"/>
    <w:rsid w:val="00BD08CA"/>
    <w:rsid w:val="00BE0808"/>
    <w:rsid w:val="00BF0DF4"/>
    <w:rsid w:val="00BF1867"/>
    <w:rsid w:val="00C00CF2"/>
    <w:rsid w:val="00C07C16"/>
    <w:rsid w:val="00C15672"/>
    <w:rsid w:val="00C21680"/>
    <w:rsid w:val="00C24879"/>
    <w:rsid w:val="00C24EF5"/>
    <w:rsid w:val="00C304E6"/>
    <w:rsid w:val="00C31421"/>
    <w:rsid w:val="00C33753"/>
    <w:rsid w:val="00C35B94"/>
    <w:rsid w:val="00C559C9"/>
    <w:rsid w:val="00C82FA4"/>
    <w:rsid w:val="00CA0669"/>
    <w:rsid w:val="00CA1E7C"/>
    <w:rsid w:val="00CA6DE2"/>
    <w:rsid w:val="00CB0030"/>
    <w:rsid w:val="00CB7521"/>
    <w:rsid w:val="00CC3DC3"/>
    <w:rsid w:val="00CC57AC"/>
    <w:rsid w:val="00CC776C"/>
    <w:rsid w:val="00CD2047"/>
    <w:rsid w:val="00CD6D68"/>
    <w:rsid w:val="00CF2057"/>
    <w:rsid w:val="00D0584B"/>
    <w:rsid w:val="00D16BAA"/>
    <w:rsid w:val="00D2695E"/>
    <w:rsid w:val="00D450C8"/>
    <w:rsid w:val="00D521FA"/>
    <w:rsid w:val="00D56B8E"/>
    <w:rsid w:val="00D66801"/>
    <w:rsid w:val="00D764EB"/>
    <w:rsid w:val="00D779F2"/>
    <w:rsid w:val="00D81121"/>
    <w:rsid w:val="00D939D0"/>
    <w:rsid w:val="00D93D19"/>
    <w:rsid w:val="00DA0D31"/>
    <w:rsid w:val="00DA6071"/>
    <w:rsid w:val="00DA6A55"/>
    <w:rsid w:val="00DB423E"/>
    <w:rsid w:val="00DD377D"/>
    <w:rsid w:val="00DF73DB"/>
    <w:rsid w:val="00E06F7D"/>
    <w:rsid w:val="00E071AB"/>
    <w:rsid w:val="00E15923"/>
    <w:rsid w:val="00E24139"/>
    <w:rsid w:val="00E24E22"/>
    <w:rsid w:val="00E3616D"/>
    <w:rsid w:val="00E4643C"/>
    <w:rsid w:val="00E50862"/>
    <w:rsid w:val="00E60ABB"/>
    <w:rsid w:val="00E62D91"/>
    <w:rsid w:val="00E64440"/>
    <w:rsid w:val="00E67611"/>
    <w:rsid w:val="00E67713"/>
    <w:rsid w:val="00E71270"/>
    <w:rsid w:val="00E72DFF"/>
    <w:rsid w:val="00E92E47"/>
    <w:rsid w:val="00E9576D"/>
    <w:rsid w:val="00EA235F"/>
    <w:rsid w:val="00EC08AC"/>
    <w:rsid w:val="00EC1948"/>
    <w:rsid w:val="00EC7147"/>
    <w:rsid w:val="00ED4639"/>
    <w:rsid w:val="00EE2A85"/>
    <w:rsid w:val="00EE54D2"/>
    <w:rsid w:val="00EF3468"/>
    <w:rsid w:val="00EF7C8A"/>
    <w:rsid w:val="00F2514F"/>
    <w:rsid w:val="00F25E7F"/>
    <w:rsid w:val="00F274DE"/>
    <w:rsid w:val="00F6038A"/>
    <w:rsid w:val="00F643E6"/>
    <w:rsid w:val="00F73811"/>
    <w:rsid w:val="00F76D69"/>
    <w:rsid w:val="00F82CB3"/>
    <w:rsid w:val="00F9012C"/>
    <w:rsid w:val="00F9097E"/>
    <w:rsid w:val="00F93C6C"/>
    <w:rsid w:val="00F955CA"/>
    <w:rsid w:val="00FA5147"/>
    <w:rsid w:val="00FB063D"/>
    <w:rsid w:val="00FB0C11"/>
    <w:rsid w:val="00FB5301"/>
    <w:rsid w:val="00FD119B"/>
    <w:rsid w:val="00FD4894"/>
    <w:rsid w:val="00FD7351"/>
    <w:rsid w:val="00FE5811"/>
    <w:rsid w:val="00FE6B9E"/>
    <w:rsid w:val="00FF0433"/>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BE9DE696-ECC8-4E64-9E80-454DADC2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Title">
    <w:name w:val="Title"/>
    <w:basedOn w:val="Heading1"/>
    <w:next w:val="Normal"/>
    <w:link w:val="TitleChar"/>
    <w:qFormat/>
    <w:rsid w:val="00E24E22"/>
    <w:pPr>
      <w:keepNext w:val="0"/>
      <w:keepLines w:val="0"/>
      <w:tabs>
        <w:tab w:val="clear" w:pos="4680"/>
        <w:tab w:val="clear" w:pos="9360"/>
      </w:tabs>
      <w:autoSpaceDE w:val="0"/>
      <w:autoSpaceDN w:val="0"/>
      <w:adjustRightInd w:val="0"/>
      <w:spacing w:before="0" w:after="80" w:line="288" w:lineRule="auto"/>
      <w:textAlignment w:val="baseline"/>
    </w:pPr>
    <w:rPr>
      <w:rFonts w:eastAsia="Times New Roman" w:cs="Arial"/>
      <w:b/>
      <w:bCs/>
      <w:szCs w:val="28"/>
    </w:rPr>
  </w:style>
  <w:style w:type="character" w:customStyle="1" w:styleId="TitleChar">
    <w:name w:val="Title Char"/>
    <w:basedOn w:val="DefaultParagraphFont"/>
    <w:link w:val="Title"/>
    <w:rsid w:val="00E24E22"/>
    <w:rPr>
      <w:rFonts w:ascii="Arial Black" w:hAnsi="Arial Black" w:cs="Arial"/>
      <w:b/>
      <w:bCs/>
      <w:sz w:val="28"/>
      <w:szCs w:val="28"/>
    </w:rPr>
  </w:style>
  <w:style w:type="character" w:styleId="UnresolvedMention">
    <w:name w:val="Unresolved Mention"/>
    <w:basedOn w:val="DefaultParagraphFont"/>
    <w:uiPriority w:val="99"/>
    <w:semiHidden/>
    <w:unhideWhenUsed/>
    <w:rsid w:val="00E24E22"/>
    <w:rPr>
      <w:color w:val="605E5C"/>
      <w:shd w:val="clear" w:color="auto" w:fill="E1DFDD"/>
    </w:rPr>
  </w:style>
  <w:style w:type="paragraph" w:styleId="Revision">
    <w:name w:val="Revision"/>
    <w:hidden/>
    <w:uiPriority w:val="99"/>
    <w:semiHidden/>
    <w:rsid w:val="00E24E22"/>
    <w:rPr>
      <w:rFonts w:ascii="Arial" w:hAnsi="Arial"/>
      <w:sz w:val="22"/>
      <w:szCs w:val="24"/>
    </w:rPr>
  </w:style>
  <w:style w:type="character" w:styleId="CommentReference">
    <w:name w:val="annotation reference"/>
    <w:basedOn w:val="DefaultParagraphFont"/>
    <w:semiHidden/>
    <w:unhideWhenUsed/>
    <w:rsid w:val="00E24E22"/>
    <w:rPr>
      <w:sz w:val="16"/>
      <w:szCs w:val="16"/>
    </w:rPr>
  </w:style>
  <w:style w:type="paragraph" w:styleId="CommentText">
    <w:name w:val="annotation text"/>
    <w:basedOn w:val="Normal"/>
    <w:link w:val="CommentTextChar"/>
    <w:unhideWhenUsed/>
    <w:rsid w:val="00E24E22"/>
    <w:pPr>
      <w:spacing w:line="240" w:lineRule="auto"/>
    </w:pPr>
    <w:rPr>
      <w:sz w:val="20"/>
      <w:szCs w:val="20"/>
    </w:rPr>
  </w:style>
  <w:style w:type="character" w:customStyle="1" w:styleId="CommentTextChar">
    <w:name w:val="Comment Text Char"/>
    <w:basedOn w:val="DefaultParagraphFont"/>
    <w:link w:val="CommentText"/>
    <w:rsid w:val="00E24E22"/>
    <w:rPr>
      <w:rFonts w:ascii="Arial" w:hAnsi="Arial"/>
    </w:rPr>
  </w:style>
  <w:style w:type="paragraph" w:styleId="CommentSubject">
    <w:name w:val="annotation subject"/>
    <w:basedOn w:val="CommentText"/>
    <w:next w:val="CommentText"/>
    <w:link w:val="CommentSubjectChar"/>
    <w:semiHidden/>
    <w:unhideWhenUsed/>
    <w:rsid w:val="00E24E22"/>
    <w:rPr>
      <w:b/>
      <w:bCs/>
    </w:rPr>
  </w:style>
  <w:style w:type="character" w:customStyle="1" w:styleId="CommentSubjectChar">
    <w:name w:val="Comment Subject Char"/>
    <w:basedOn w:val="CommentTextChar"/>
    <w:link w:val="CommentSubject"/>
    <w:semiHidden/>
    <w:rsid w:val="00E24E22"/>
    <w:rPr>
      <w:rFonts w:ascii="Arial" w:hAnsi="Arial"/>
      <w:b/>
      <w:bCs/>
    </w:rPr>
  </w:style>
  <w:style w:type="character" w:styleId="FollowedHyperlink">
    <w:name w:val="FollowedHyperlink"/>
    <w:basedOn w:val="DefaultParagraphFont"/>
    <w:semiHidden/>
    <w:unhideWhenUsed/>
    <w:rsid w:val="005F40D5"/>
    <w:rPr>
      <w:color w:val="800080" w:themeColor="followedHyperlink"/>
      <w:u w:val="single"/>
    </w:rPr>
  </w:style>
  <w:style w:type="paragraph" w:styleId="NoSpacing">
    <w:name w:val="No Spacing"/>
    <w:link w:val="NoSpacingChar"/>
    <w:uiPriority w:val="1"/>
    <w:qFormat/>
    <w:rsid w:val="00A523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A523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pubdruglist.do?category=MassHealth+Drug+List+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1174</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11</cp:revision>
  <dcterms:created xsi:type="dcterms:W3CDTF">2025-12-24T16:03:00Z</dcterms:created>
  <dcterms:modified xsi:type="dcterms:W3CDTF">2025-12-24T16:35:00Z</dcterms:modified>
</cp:coreProperties>
</file>