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C92D3" w14:textId="7C18688E" w:rsidR="00074716" w:rsidRDefault="000A622F" w:rsidP="00C559C9">
      <w:pPr>
        <w:pStyle w:val="Noparagraphstyle"/>
        <w:rPr>
          <w:rFonts w:ascii="Arial Narrow" w:hAnsi="Arial Narrow"/>
          <w:b/>
          <w:color w:val="FF0000"/>
          <w:sz w:val="20"/>
          <w:szCs w:val="20"/>
        </w:rPr>
      </w:pPr>
      <w:r>
        <w:rPr>
          <w:rFonts w:ascii="Arial" w:hAnsi="Arial" w:cs="Arial"/>
          <w:noProof/>
          <w:sz w:val="21"/>
          <w:szCs w:val="21"/>
        </w:rPr>
        <w:drawing>
          <wp:anchor distT="0" distB="0" distL="114300" distR="114300" simplePos="0" relativeHeight="251658240" behindDoc="1" locked="0" layoutInCell="1" allowOverlap="1" wp14:anchorId="4ED2292F" wp14:editId="7FB11672">
            <wp:simplePos x="0" y="0"/>
            <wp:positionH relativeFrom="column">
              <wp:posOffset>-80645</wp:posOffset>
            </wp:positionH>
            <wp:positionV relativeFrom="paragraph">
              <wp:posOffset>-1270</wp:posOffset>
            </wp:positionV>
            <wp:extent cx="6830568" cy="1901952"/>
            <wp:effectExtent l="0" t="0" r="8890" b="3175"/>
            <wp:wrapNone/>
            <wp:docPr id="145245031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450310"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30568" cy="1901952"/>
                    </a:xfrm>
                    <a:prstGeom prst="rect">
                      <a:avLst/>
                    </a:prstGeom>
                  </pic:spPr>
                </pic:pic>
              </a:graphicData>
            </a:graphic>
            <wp14:sizeRelH relativeFrom="margin">
              <wp14:pctWidth>0</wp14:pctWidth>
            </wp14:sizeRelH>
            <wp14:sizeRelV relativeFrom="margin">
              <wp14:pctHeight>0</wp14:pctHeight>
            </wp14:sizeRelV>
          </wp:anchor>
        </w:drawing>
      </w:r>
      <w:r w:rsidR="00C559C9">
        <w:rPr>
          <w:rFonts w:ascii="Arial Narrow" w:hAnsi="Arial Narrow"/>
          <w:b/>
          <w:sz w:val="20"/>
          <w:szCs w:val="20"/>
        </w:rPr>
        <w:t xml:space="preserve">Number </w:t>
      </w:r>
      <w:r w:rsidR="001924D3" w:rsidRPr="001924D3">
        <w:rPr>
          <w:rFonts w:ascii="Arial Narrow" w:hAnsi="Arial Narrow"/>
          <w:b/>
          <w:color w:val="auto"/>
          <w:sz w:val="20"/>
          <w:szCs w:val="20"/>
        </w:rPr>
        <w:t>272, April 10, 2026</w:t>
      </w:r>
    </w:p>
    <w:p w14:paraId="32BF3DE7" w14:textId="77777777" w:rsidR="00074716" w:rsidRDefault="00074716" w:rsidP="00C559C9">
      <w:pPr>
        <w:pStyle w:val="Noparagraphstyle"/>
        <w:rPr>
          <w:rFonts w:ascii="Arial Narrow" w:hAnsi="Arial Narrow"/>
          <w:b/>
          <w:color w:val="FF0000"/>
          <w:sz w:val="20"/>
          <w:szCs w:val="20"/>
        </w:rPr>
      </w:pPr>
    </w:p>
    <w:p w14:paraId="0858B47B" w14:textId="77777777" w:rsidR="00074716" w:rsidRDefault="00074716" w:rsidP="00C559C9">
      <w:pPr>
        <w:pStyle w:val="Noparagraphstyle"/>
        <w:rPr>
          <w:rFonts w:ascii="Arial Narrow" w:hAnsi="Arial Narrow"/>
          <w:b/>
          <w:color w:val="FF0000"/>
          <w:sz w:val="20"/>
          <w:szCs w:val="20"/>
        </w:rPr>
      </w:pPr>
    </w:p>
    <w:p w14:paraId="6A5C6B8C" w14:textId="77777777" w:rsidR="00074716" w:rsidRDefault="00074716" w:rsidP="00C559C9">
      <w:pPr>
        <w:pStyle w:val="Noparagraphstyle"/>
        <w:rPr>
          <w:rFonts w:ascii="Arial Narrow" w:hAnsi="Arial Narrow"/>
          <w:b/>
          <w:color w:val="FF0000"/>
          <w:sz w:val="20"/>
          <w:szCs w:val="20"/>
        </w:rPr>
      </w:pPr>
    </w:p>
    <w:p w14:paraId="1301F774" w14:textId="77777777" w:rsidR="00074716" w:rsidRDefault="00074716" w:rsidP="00C559C9">
      <w:pPr>
        <w:pStyle w:val="Noparagraphstyle"/>
        <w:rPr>
          <w:rFonts w:ascii="Arial Narrow" w:hAnsi="Arial Narrow"/>
          <w:b/>
          <w:color w:val="FF0000"/>
          <w:sz w:val="20"/>
          <w:szCs w:val="20"/>
        </w:rPr>
      </w:pPr>
    </w:p>
    <w:p w14:paraId="187FE7C2" w14:textId="77777777" w:rsidR="00074716" w:rsidRDefault="00074716" w:rsidP="00C559C9">
      <w:pPr>
        <w:pStyle w:val="Noparagraphstyle"/>
        <w:rPr>
          <w:rFonts w:ascii="Arial Narrow" w:hAnsi="Arial Narrow"/>
          <w:b/>
          <w:color w:val="FF0000"/>
          <w:sz w:val="20"/>
          <w:szCs w:val="20"/>
        </w:rPr>
      </w:pPr>
    </w:p>
    <w:p w14:paraId="317BFC54" w14:textId="77777777" w:rsidR="00074716" w:rsidRDefault="00074716" w:rsidP="00C559C9">
      <w:pPr>
        <w:pStyle w:val="Noparagraphstyle"/>
        <w:rPr>
          <w:rFonts w:ascii="Arial Narrow" w:hAnsi="Arial Narrow"/>
          <w:b/>
          <w:color w:val="FF0000"/>
          <w:sz w:val="20"/>
          <w:szCs w:val="20"/>
        </w:rPr>
      </w:pPr>
    </w:p>
    <w:p w14:paraId="1FCA92D7" w14:textId="77777777" w:rsidR="00074716" w:rsidRDefault="00074716" w:rsidP="00C559C9">
      <w:pPr>
        <w:pStyle w:val="Noparagraphstyle"/>
        <w:rPr>
          <w:rFonts w:ascii="Arial Narrow" w:hAnsi="Arial Narrow"/>
          <w:b/>
          <w:color w:val="FF0000"/>
          <w:sz w:val="20"/>
          <w:szCs w:val="20"/>
        </w:rPr>
      </w:pPr>
    </w:p>
    <w:p w14:paraId="175B24BC" w14:textId="77777777" w:rsidR="00074716" w:rsidRDefault="00074716" w:rsidP="00C559C9">
      <w:pPr>
        <w:pStyle w:val="Noparagraphstyle"/>
        <w:rPr>
          <w:rFonts w:ascii="Arial Narrow" w:hAnsi="Arial Narrow"/>
          <w:b/>
          <w:color w:val="FF0000"/>
          <w:sz w:val="20"/>
          <w:szCs w:val="20"/>
        </w:rPr>
      </w:pPr>
    </w:p>
    <w:p w14:paraId="07CD72C2" w14:textId="77777777" w:rsidR="00074716" w:rsidRDefault="00074716" w:rsidP="00C559C9">
      <w:pPr>
        <w:pStyle w:val="Noparagraphstyle"/>
        <w:rPr>
          <w:rFonts w:ascii="Arial Narrow" w:hAnsi="Arial Narrow"/>
          <w:b/>
          <w:color w:val="FF0000"/>
          <w:sz w:val="20"/>
          <w:szCs w:val="20"/>
        </w:rPr>
      </w:pPr>
    </w:p>
    <w:p w14:paraId="0905EA74" w14:textId="77777777" w:rsidR="00074716" w:rsidRDefault="00074716" w:rsidP="00C559C9">
      <w:pPr>
        <w:pStyle w:val="Noparagraphstyle"/>
        <w:rPr>
          <w:rFonts w:ascii="Arial Narrow" w:hAnsi="Arial Narrow"/>
          <w:b/>
          <w:color w:val="FF0000"/>
          <w:sz w:val="20"/>
          <w:szCs w:val="20"/>
        </w:rPr>
      </w:pPr>
    </w:p>
    <w:p w14:paraId="7568DC23" w14:textId="77777777" w:rsidR="00074716" w:rsidRDefault="00074716" w:rsidP="00C559C9">
      <w:pPr>
        <w:pStyle w:val="Noparagraphstyle"/>
        <w:rPr>
          <w:rFonts w:ascii="Arial Narrow" w:hAnsi="Arial Narrow"/>
          <w:b/>
          <w:color w:val="FF0000"/>
          <w:sz w:val="20"/>
          <w:szCs w:val="20"/>
        </w:rPr>
      </w:pPr>
    </w:p>
    <w:p w14:paraId="539B08B0" w14:textId="11024760" w:rsidR="00074716" w:rsidRDefault="00074716" w:rsidP="00074716">
      <w:pPr>
        <w:pStyle w:val="NormalWeb"/>
        <w:shd w:val="clear" w:color="auto" w:fill="FFFFFF"/>
        <w:spacing w:before="0" w:beforeAutospacing="0" w:after="225" w:afterAutospacing="0"/>
        <w:jc w:val="both"/>
        <w:rPr>
          <w:rFonts w:cs="Arial"/>
          <w:color w:val="000000"/>
          <w:sz w:val="21"/>
          <w:szCs w:val="21"/>
        </w:rPr>
        <w:sectPr w:rsidR="00074716" w:rsidSect="001721D8">
          <w:headerReference w:type="default" r:id="rId9"/>
          <w:footerReference w:type="default" r:id="rId10"/>
          <w:footerReference w:type="first" r:id="rId11"/>
          <w:pgSz w:w="12240" w:h="15840" w:code="1"/>
          <w:pgMar w:top="360" w:right="907" w:bottom="446" w:left="907" w:header="0" w:footer="288" w:gutter="0"/>
          <w:cols w:space="720"/>
          <w:docGrid w:linePitch="360"/>
        </w:sectPr>
      </w:pPr>
    </w:p>
    <w:p w14:paraId="6667059F" w14:textId="77777777" w:rsidR="00B11497" w:rsidRPr="00B11497" w:rsidRDefault="00B11497" w:rsidP="00B11497">
      <w:pPr>
        <w:rPr>
          <w:rFonts w:ascii="Arial Black" w:eastAsiaTheme="majorEastAsia" w:hAnsi="Arial Black" w:cstheme="majorBidi"/>
          <w:sz w:val="28"/>
          <w:szCs w:val="28"/>
        </w:rPr>
      </w:pPr>
      <w:r w:rsidRPr="00B11497">
        <w:rPr>
          <w:rFonts w:ascii="Arial Black" w:eastAsiaTheme="majorEastAsia" w:hAnsi="Arial Black" w:cstheme="majorBidi"/>
          <w:sz w:val="28"/>
          <w:szCs w:val="28"/>
        </w:rPr>
        <w:t>MassHealth Drug List Update</w:t>
      </w:r>
    </w:p>
    <w:p w14:paraId="638D3332" w14:textId="11961210" w:rsidR="00705200" w:rsidRDefault="00705200" w:rsidP="00705200">
      <w:pPr>
        <w:rPr>
          <w:rFonts w:cs="Arial"/>
          <w:szCs w:val="22"/>
        </w:rPr>
      </w:pPr>
      <w:r w:rsidRPr="00E37E21">
        <w:rPr>
          <w:rFonts w:cs="Arial"/>
          <w:szCs w:val="22"/>
        </w:rPr>
        <w:t xml:space="preserve">Below are updates to the </w:t>
      </w:r>
      <w:hyperlink r:id="rId12" w:history="1">
        <w:r w:rsidRPr="005F40D5">
          <w:rPr>
            <w:rStyle w:val="Hyperlink"/>
            <w:rFonts w:cs="Arial"/>
            <w:szCs w:val="22"/>
          </w:rPr>
          <w:t>MassHealth Drug List</w:t>
        </w:r>
      </w:hyperlink>
      <w:r w:rsidRPr="00E37E21">
        <w:rPr>
          <w:rFonts w:cs="Arial"/>
          <w:szCs w:val="22"/>
        </w:rPr>
        <w:t xml:space="preserve"> (MHDL). See the </w:t>
      </w:r>
      <w:r w:rsidRPr="00CD2047">
        <w:rPr>
          <w:rFonts w:cs="Arial"/>
          <w:szCs w:val="22"/>
        </w:rPr>
        <w:t>MHDL</w:t>
      </w:r>
      <w:r>
        <w:rPr>
          <w:rFonts w:cs="Arial"/>
          <w:szCs w:val="22"/>
        </w:rPr>
        <w:t xml:space="preserve"> </w:t>
      </w:r>
      <w:r w:rsidRPr="00E37E21">
        <w:rPr>
          <w:rFonts w:cs="Arial"/>
          <w:szCs w:val="22"/>
        </w:rPr>
        <w:t>for a complete listing of updates</w:t>
      </w:r>
      <w:r w:rsidR="004E2B38">
        <w:rPr>
          <w:rFonts w:cs="Arial"/>
          <w:szCs w:val="22"/>
        </w:rPr>
        <w:t>.</w:t>
      </w:r>
    </w:p>
    <w:p w14:paraId="1DD5CAC6" w14:textId="77777777" w:rsidR="003D7A5F" w:rsidRPr="00E24E22" w:rsidRDefault="003D7A5F" w:rsidP="003D7A5F">
      <w:pPr>
        <w:pStyle w:val="Heading2"/>
      </w:pPr>
      <w:r w:rsidRPr="00E24E22">
        <w:t>Additions</w:t>
      </w:r>
    </w:p>
    <w:p w14:paraId="2DD0C8E6" w14:textId="77777777" w:rsidR="003D7A5F" w:rsidRPr="00C7138D" w:rsidRDefault="003D7A5F" w:rsidP="003D7A5F">
      <w:pPr>
        <w:pStyle w:val="Default"/>
        <w:rPr>
          <w:rFonts w:ascii="Arial" w:hAnsi="Arial" w:cs="Arial"/>
          <w:sz w:val="22"/>
          <w:szCs w:val="21"/>
        </w:rPr>
      </w:pPr>
      <w:r w:rsidRPr="00C7138D">
        <w:rPr>
          <w:rFonts w:ascii="Arial" w:hAnsi="Arial" w:cs="Arial"/>
          <w:sz w:val="22"/>
          <w:szCs w:val="22"/>
        </w:rPr>
        <w:t>Effective April</w:t>
      </w:r>
      <w:r w:rsidRPr="00C7138D">
        <w:rPr>
          <w:rFonts w:ascii="Arial" w:hAnsi="Arial" w:cs="Arial"/>
          <w:color w:val="auto"/>
          <w:sz w:val="22"/>
          <w:szCs w:val="22"/>
        </w:rPr>
        <w:t xml:space="preserve"> </w:t>
      </w:r>
      <w:r w:rsidRPr="00C7138D">
        <w:rPr>
          <w:rFonts w:ascii="Arial" w:hAnsi="Arial" w:cs="Arial"/>
          <w:sz w:val="22"/>
          <w:szCs w:val="22"/>
        </w:rPr>
        <w:t>1</w:t>
      </w:r>
      <w:r w:rsidRPr="00C7138D">
        <w:rPr>
          <w:rFonts w:ascii="Arial" w:hAnsi="Arial" w:cs="Arial"/>
          <w:color w:val="auto"/>
          <w:sz w:val="22"/>
          <w:szCs w:val="22"/>
        </w:rPr>
        <w:t xml:space="preserve">, </w:t>
      </w:r>
      <w:r w:rsidRPr="00C7138D">
        <w:rPr>
          <w:rFonts w:ascii="Arial" w:hAnsi="Arial" w:cs="Arial"/>
          <w:sz w:val="22"/>
          <w:szCs w:val="22"/>
        </w:rPr>
        <w:t>2026</w:t>
      </w:r>
      <w:r w:rsidRPr="00C7138D">
        <w:rPr>
          <w:rFonts w:ascii="Arial" w:hAnsi="Arial" w:cs="Arial"/>
          <w:color w:val="auto"/>
          <w:sz w:val="22"/>
          <w:szCs w:val="22"/>
        </w:rPr>
        <w:t>,</w:t>
      </w:r>
      <w:r w:rsidRPr="00C7138D">
        <w:rPr>
          <w:rFonts w:ascii="Arial" w:hAnsi="Arial" w:cs="Arial"/>
          <w:sz w:val="22"/>
          <w:szCs w:val="22"/>
        </w:rPr>
        <w:t xml:space="preserve"> the fol</w:t>
      </w:r>
      <w:r w:rsidRPr="00C7138D">
        <w:rPr>
          <w:rFonts w:ascii="Arial" w:hAnsi="Arial" w:cs="Arial"/>
          <w:sz w:val="22"/>
          <w:szCs w:val="21"/>
        </w:rPr>
        <w:t xml:space="preserve">lowing newly marketed drugs have been added to the MassHealth Drug List. </w:t>
      </w:r>
    </w:p>
    <w:p w14:paraId="3DB7F785" w14:textId="77777777" w:rsidR="003D7A5F" w:rsidRPr="00C7138D" w:rsidRDefault="003D7A5F" w:rsidP="003D7A5F">
      <w:pPr>
        <w:pStyle w:val="Default"/>
        <w:numPr>
          <w:ilvl w:val="0"/>
          <w:numId w:val="2"/>
        </w:numPr>
        <w:spacing w:line="276" w:lineRule="auto"/>
        <w:ind w:left="1080"/>
        <w:rPr>
          <w:rFonts w:ascii="Arial" w:hAnsi="Arial" w:cs="Arial"/>
          <w:sz w:val="22"/>
          <w:szCs w:val="22"/>
        </w:rPr>
      </w:pPr>
      <w:bookmarkStart w:id="0" w:name="_Hlk86933353"/>
      <w:r w:rsidRPr="00C7138D">
        <w:rPr>
          <w:rFonts w:ascii="Arial" w:hAnsi="Arial" w:cs="Arial"/>
          <w:sz w:val="22"/>
          <w:szCs w:val="22"/>
        </w:rPr>
        <w:t xml:space="preserve">Andembry (garadacimab-gxii) – </w:t>
      </w:r>
      <w:r w:rsidRPr="00C7138D">
        <w:rPr>
          <w:rFonts w:ascii="Arial" w:hAnsi="Arial" w:cs="Arial"/>
          <w:b/>
          <w:bCs/>
          <w:sz w:val="22"/>
          <w:szCs w:val="22"/>
        </w:rPr>
        <w:t>PA</w:t>
      </w:r>
    </w:p>
    <w:p w14:paraId="559F8C98" w14:textId="77777777" w:rsidR="003D7A5F" w:rsidRPr="00C7138D" w:rsidRDefault="003D7A5F" w:rsidP="003D7A5F">
      <w:pPr>
        <w:pStyle w:val="Default"/>
        <w:numPr>
          <w:ilvl w:val="0"/>
          <w:numId w:val="2"/>
        </w:numPr>
        <w:spacing w:line="276" w:lineRule="auto"/>
        <w:ind w:left="1080"/>
        <w:rPr>
          <w:rFonts w:ascii="Arial" w:hAnsi="Arial" w:cs="Arial"/>
          <w:sz w:val="22"/>
          <w:szCs w:val="22"/>
        </w:rPr>
      </w:pPr>
      <w:r w:rsidRPr="00C7138D">
        <w:rPr>
          <w:rFonts w:ascii="Arial" w:hAnsi="Arial" w:cs="Arial"/>
          <w:sz w:val="22"/>
          <w:szCs w:val="22"/>
        </w:rPr>
        <w:t xml:space="preserve">Blujepa (gepotidacin) – </w:t>
      </w:r>
      <w:r w:rsidRPr="00C7138D">
        <w:rPr>
          <w:rFonts w:ascii="Arial" w:hAnsi="Arial" w:cs="Arial"/>
          <w:b/>
          <w:bCs/>
          <w:sz w:val="22"/>
          <w:szCs w:val="22"/>
        </w:rPr>
        <w:t>PA</w:t>
      </w:r>
    </w:p>
    <w:p w14:paraId="64E196E8" w14:textId="77777777" w:rsidR="003D7A5F" w:rsidRPr="00C7138D" w:rsidRDefault="003D7A5F" w:rsidP="003D7A5F">
      <w:pPr>
        <w:pStyle w:val="Default"/>
        <w:numPr>
          <w:ilvl w:val="0"/>
          <w:numId w:val="2"/>
        </w:numPr>
        <w:spacing w:line="276" w:lineRule="auto"/>
        <w:ind w:left="1080"/>
        <w:rPr>
          <w:rFonts w:ascii="Arial" w:hAnsi="Arial" w:cs="Arial"/>
          <w:sz w:val="22"/>
          <w:szCs w:val="22"/>
        </w:rPr>
      </w:pPr>
      <w:r w:rsidRPr="00C7138D">
        <w:rPr>
          <w:rFonts w:ascii="Arial" w:hAnsi="Arial" w:cs="Arial"/>
          <w:sz w:val="22"/>
          <w:szCs w:val="22"/>
        </w:rPr>
        <w:t xml:space="preserve">Brinsupri (brensocatib) – </w:t>
      </w:r>
      <w:r w:rsidRPr="00C7138D">
        <w:rPr>
          <w:rFonts w:ascii="Arial" w:hAnsi="Arial" w:cs="Arial"/>
          <w:b/>
          <w:bCs/>
          <w:sz w:val="22"/>
          <w:szCs w:val="22"/>
        </w:rPr>
        <w:t>PA</w:t>
      </w:r>
    </w:p>
    <w:p w14:paraId="3D672D81" w14:textId="77777777" w:rsidR="003D7A5F" w:rsidRPr="00C7138D" w:rsidRDefault="003D7A5F" w:rsidP="003D7A5F">
      <w:pPr>
        <w:pStyle w:val="Default"/>
        <w:numPr>
          <w:ilvl w:val="0"/>
          <w:numId w:val="2"/>
        </w:numPr>
        <w:spacing w:line="276" w:lineRule="auto"/>
        <w:ind w:left="1080"/>
        <w:rPr>
          <w:rFonts w:ascii="Arial" w:hAnsi="Arial" w:cs="Arial"/>
          <w:sz w:val="22"/>
          <w:szCs w:val="22"/>
        </w:rPr>
      </w:pPr>
      <w:r w:rsidRPr="00C7138D">
        <w:rPr>
          <w:rFonts w:ascii="Arial" w:hAnsi="Arial" w:cs="Arial"/>
          <w:sz w:val="22"/>
          <w:szCs w:val="22"/>
        </w:rPr>
        <w:t xml:space="preserve">Dawnzera (donidalorsen) – </w:t>
      </w:r>
      <w:r w:rsidRPr="00C7138D">
        <w:rPr>
          <w:rFonts w:ascii="Arial" w:hAnsi="Arial" w:cs="Arial"/>
          <w:b/>
          <w:bCs/>
          <w:sz w:val="22"/>
          <w:szCs w:val="22"/>
        </w:rPr>
        <w:t>PA</w:t>
      </w:r>
    </w:p>
    <w:p w14:paraId="3A4984EE" w14:textId="77777777" w:rsidR="003D7A5F" w:rsidRPr="00C7138D" w:rsidRDefault="003D7A5F" w:rsidP="003D7A5F">
      <w:pPr>
        <w:pStyle w:val="Default"/>
        <w:numPr>
          <w:ilvl w:val="0"/>
          <w:numId w:val="2"/>
        </w:numPr>
        <w:spacing w:line="276" w:lineRule="auto"/>
        <w:ind w:left="1080"/>
        <w:rPr>
          <w:rFonts w:ascii="Arial" w:hAnsi="Arial" w:cs="Arial"/>
          <w:sz w:val="22"/>
          <w:szCs w:val="22"/>
        </w:rPr>
      </w:pPr>
      <w:r w:rsidRPr="00C7138D">
        <w:rPr>
          <w:rFonts w:ascii="Arial" w:hAnsi="Arial" w:cs="Arial"/>
          <w:sz w:val="22"/>
          <w:szCs w:val="22"/>
        </w:rPr>
        <w:t xml:space="preserve">Ekterly (sebetralstat) – </w:t>
      </w:r>
      <w:r w:rsidRPr="00C7138D">
        <w:rPr>
          <w:rFonts w:ascii="Arial" w:hAnsi="Arial" w:cs="Arial"/>
          <w:b/>
          <w:bCs/>
          <w:sz w:val="22"/>
          <w:szCs w:val="22"/>
        </w:rPr>
        <w:t>PA</w:t>
      </w:r>
    </w:p>
    <w:p w14:paraId="317D7AD9" w14:textId="77777777" w:rsidR="003D7A5F" w:rsidRPr="004B29D8" w:rsidRDefault="003D7A5F" w:rsidP="003D7A5F">
      <w:pPr>
        <w:pStyle w:val="Default"/>
        <w:numPr>
          <w:ilvl w:val="0"/>
          <w:numId w:val="2"/>
        </w:numPr>
        <w:spacing w:line="276" w:lineRule="auto"/>
        <w:ind w:left="1080"/>
        <w:rPr>
          <w:rFonts w:ascii="Arial" w:hAnsi="Arial" w:cs="Arial"/>
          <w:sz w:val="22"/>
          <w:szCs w:val="22"/>
        </w:rPr>
      </w:pPr>
      <w:r w:rsidRPr="004B29D8">
        <w:rPr>
          <w:rFonts w:ascii="Arial" w:hAnsi="Arial" w:cs="Arial"/>
          <w:sz w:val="22"/>
          <w:szCs w:val="22"/>
        </w:rPr>
        <w:t xml:space="preserve">Ensacove (ensartinib) – </w:t>
      </w:r>
      <w:r w:rsidRPr="004B29D8">
        <w:rPr>
          <w:rFonts w:ascii="Arial" w:hAnsi="Arial" w:cs="Arial"/>
          <w:b/>
          <w:bCs/>
          <w:sz w:val="22"/>
          <w:szCs w:val="22"/>
        </w:rPr>
        <w:t>PA</w:t>
      </w:r>
      <w:r w:rsidRPr="004B29D8">
        <w:rPr>
          <w:rFonts w:ascii="Arial" w:hAnsi="Arial" w:cs="Arial"/>
          <w:sz w:val="22"/>
          <w:szCs w:val="22"/>
        </w:rPr>
        <w:t xml:space="preserve"> </w:t>
      </w:r>
    </w:p>
    <w:p w14:paraId="35DEAF40" w14:textId="77777777" w:rsidR="003D7A5F" w:rsidRPr="00C7138D" w:rsidRDefault="003D7A5F" w:rsidP="003D7A5F">
      <w:pPr>
        <w:pStyle w:val="Default"/>
        <w:numPr>
          <w:ilvl w:val="0"/>
          <w:numId w:val="2"/>
        </w:numPr>
        <w:spacing w:line="276" w:lineRule="auto"/>
        <w:ind w:left="1080"/>
        <w:rPr>
          <w:rFonts w:ascii="Arial" w:hAnsi="Arial" w:cs="Arial"/>
          <w:sz w:val="22"/>
          <w:szCs w:val="22"/>
        </w:rPr>
      </w:pPr>
      <w:r w:rsidRPr="00C7138D">
        <w:rPr>
          <w:rFonts w:ascii="Arial" w:hAnsi="Arial" w:cs="Arial"/>
          <w:sz w:val="22"/>
          <w:szCs w:val="22"/>
        </w:rPr>
        <w:t xml:space="preserve">Leqembi Iqlik (lecanemab-irmb) – </w:t>
      </w:r>
      <w:r w:rsidRPr="00C7138D">
        <w:rPr>
          <w:rFonts w:ascii="Arial" w:hAnsi="Arial" w:cs="Arial"/>
          <w:b/>
          <w:bCs/>
          <w:sz w:val="22"/>
          <w:szCs w:val="22"/>
        </w:rPr>
        <w:t>PA</w:t>
      </w:r>
    </w:p>
    <w:p w14:paraId="3AF5EA9D" w14:textId="77777777" w:rsidR="003D7A5F" w:rsidRPr="00C7138D" w:rsidRDefault="003D7A5F" w:rsidP="003D7A5F">
      <w:pPr>
        <w:pStyle w:val="Default"/>
        <w:numPr>
          <w:ilvl w:val="0"/>
          <w:numId w:val="2"/>
        </w:numPr>
        <w:spacing w:line="276" w:lineRule="auto"/>
        <w:ind w:left="1080"/>
        <w:rPr>
          <w:rFonts w:ascii="Arial" w:hAnsi="Arial" w:cs="Arial"/>
          <w:sz w:val="22"/>
          <w:szCs w:val="22"/>
        </w:rPr>
      </w:pPr>
      <w:r w:rsidRPr="00C7138D">
        <w:rPr>
          <w:rFonts w:ascii="Arial" w:hAnsi="Arial" w:cs="Arial"/>
          <w:sz w:val="22"/>
          <w:szCs w:val="22"/>
        </w:rPr>
        <w:t xml:space="preserve">Lynkuet (elinzanetant) – </w:t>
      </w:r>
      <w:r w:rsidRPr="00C7138D">
        <w:rPr>
          <w:rFonts w:ascii="Arial" w:hAnsi="Arial" w:cs="Arial"/>
          <w:b/>
          <w:bCs/>
          <w:sz w:val="22"/>
          <w:szCs w:val="22"/>
        </w:rPr>
        <w:t>PA</w:t>
      </w:r>
    </w:p>
    <w:p w14:paraId="07366400" w14:textId="77777777" w:rsidR="003D7A5F" w:rsidRPr="00C7138D" w:rsidRDefault="003D7A5F" w:rsidP="003D7A5F">
      <w:pPr>
        <w:pStyle w:val="Default"/>
        <w:numPr>
          <w:ilvl w:val="0"/>
          <w:numId w:val="2"/>
        </w:numPr>
        <w:spacing w:line="276" w:lineRule="auto"/>
        <w:ind w:left="1080"/>
        <w:rPr>
          <w:rFonts w:ascii="Arial" w:hAnsi="Arial" w:cs="Arial"/>
          <w:sz w:val="22"/>
          <w:szCs w:val="22"/>
        </w:rPr>
      </w:pPr>
      <w:r w:rsidRPr="00C7138D">
        <w:rPr>
          <w:rFonts w:ascii="Arial" w:hAnsi="Arial" w:cs="Arial"/>
          <w:sz w:val="22"/>
          <w:szCs w:val="22"/>
        </w:rPr>
        <w:t xml:space="preserve">Modeyso (dordaviprone) – </w:t>
      </w:r>
      <w:r w:rsidRPr="00C7138D">
        <w:rPr>
          <w:rFonts w:ascii="Arial" w:hAnsi="Arial" w:cs="Arial"/>
          <w:b/>
          <w:bCs/>
          <w:sz w:val="22"/>
          <w:szCs w:val="22"/>
        </w:rPr>
        <w:t>PA</w:t>
      </w:r>
    </w:p>
    <w:p w14:paraId="4CA71B1B" w14:textId="77777777" w:rsidR="003D7A5F" w:rsidRPr="00C7138D" w:rsidRDefault="003D7A5F" w:rsidP="003D7A5F">
      <w:pPr>
        <w:pStyle w:val="Default"/>
        <w:numPr>
          <w:ilvl w:val="0"/>
          <w:numId w:val="2"/>
        </w:numPr>
        <w:spacing w:line="276" w:lineRule="auto"/>
        <w:ind w:left="1080"/>
        <w:rPr>
          <w:rFonts w:ascii="Arial" w:hAnsi="Arial" w:cs="Arial"/>
          <w:sz w:val="22"/>
          <w:szCs w:val="22"/>
        </w:rPr>
      </w:pPr>
      <w:r w:rsidRPr="00C7138D">
        <w:rPr>
          <w:rFonts w:ascii="Arial" w:hAnsi="Arial" w:cs="Arial"/>
          <w:sz w:val="22"/>
          <w:szCs w:val="22"/>
        </w:rPr>
        <w:t>Orlynvah (sulopenem etzadroxil/probenecid) –</w:t>
      </w:r>
      <w:r w:rsidRPr="00C7138D">
        <w:rPr>
          <w:rFonts w:ascii="Arial" w:hAnsi="Arial" w:cs="Arial"/>
          <w:b/>
          <w:bCs/>
          <w:sz w:val="22"/>
          <w:szCs w:val="22"/>
        </w:rPr>
        <w:t xml:space="preserve"> PA</w:t>
      </w:r>
    </w:p>
    <w:p w14:paraId="41C7C31C" w14:textId="77777777" w:rsidR="003D7A5F" w:rsidRPr="00C7138D" w:rsidRDefault="003D7A5F" w:rsidP="003D7A5F">
      <w:pPr>
        <w:pStyle w:val="Default"/>
        <w:numPr>
          <w:ilvl w:val="0"/>
          <w:numId w:val="2"/>
        </w:numPr>
        <w:spacing w:line="276" w:lineRule="auto"/>
        <w:ind w:left="1080"/>
        <w:rPr>
          <w:rFonts w:ascii="Arial" w:hAnsi="Arial" w:cs="Arial"/>
          <w:sz w:val="22"/>
          <w:szCs w:val="22"/>
        </w:rPr>
      </w:pPr>
      <w:r w:rsidRPr="00C7138D">
        <w:rPr>
          <w:rFonts w:ascii="Arial" w:hAnsi="Arial" w:cs="Arial"/>
          <w:sz w:val="22"/>
          <w:szCs w:val="22"/>
        </w:rPr>
        <w:t>Papzimeos (zopapogene imadenovec-drba) –</w:t>
      </w:r>
      <w:r w:rsidRPr="00C7138D">
        <w:rPr>
          <w:rFonts w:ascii="Arial" w:hAnsi="Arial" w:cs="Arial"/>
          <w:b/>
          <w:bCs/>
          <w:sz w:val="22"/>
          <w:szCs w:val="22"/>
        </w:rPr>
        <w:t xml:space="preserve"> PA</w:t>
      </w:r>
      <w:r w:rsidRPr="00C7138D">
        <w:rPr>
          <w:rFonts w:ascii="Arial" w:hAnsi="Arial" w:cs="Arial"/>
          <w:sz w:val="22"/>
          <w:szCs w:val="22"/>
        </w:rPr>
        <w:t>; MB</w:t>
      </w:r>
    </w:p>
    <w:p w14:paraId="2794DD05" w14:textId="77777777" w:rsidR="003D7A5F" w:rsidRPr="00C7138D" w:rsidRDefault="003D7A5F" w:rsidP="003D7A5F">
      <w:pPr>
        <w:pStyle w:val="Default"/>
        <w:numPr>
          <w:ilvl w:val="0"/>
          <w:numId w:val="2"/>
        </w:numPr>
        <w:spacing w:line="276" w:lineRule="auto"/>
        <w:ind w:left="1080"/>
        <w:rPr>
          <w:rFonts w:ascii="Arial" w:hAnsi="Arial" w:cs="Arial"/>
          <w:sz w:val="22"/>
          <w:szCs w:val="22"/>
        </w:rPr>
      </w:pPr>
      <w:r w:rsidRPr="00C7138D">
        <w:rPr>
          <w:rFonts w:ascii="Arial" w:hAnsi="Arial" w:cs="Arial"/>
          <w:sz w:val="22"/>
          <w:szCs w:val="22"/>
        </w:rPr>
        <w:t xml:space="preserve">Rhapsido (remibrutinib) – </w:t>
      </w:r>
      <w:r w:rsidRPr="00C7138D">
        <w:rPr>
          <w:rFonts w:ascii="Arial" w:hAnsi="Arial" w:cs="Arial"/>
          <w:b/>
          <w:bCs/>
          <w:sz w:val="22"/>
          <w:szCs w:val="22"/>
        </w:rPr>
        <w:t>PA</w:t>
      </w:r>
      <w:r w:rsidRPr="00C7138D">
        <w:rPr>
          <w:rFonts w:asciiTheme="minorHAnsi" w:hAnsiTheme="minorHAnsi" w:cs="Arial"/>
          <w:color w:val="EE0000"/>
          <w:sz w:val="22"/>
          <w:szCs w:val="22"/>
        </w:rPr>
        <w:t xml:space="preserve"> </w:t>
      </w:r>
    </w:p>
    <w:p w14:paraId="14EFC61C" w14:textId="77777777" w:rsidR="003D7A5F" w:rsidRPr="00E334E3" w:rsidRDefault="003D7A5F" w:rsidP="003D7A5F">
      <w:pPr>
        <w:pStyle w:val="Default"/>
        <w:numPr>
          <w:ilvl w:val="1"/>
          <w:numId w:val="28"/>
        </w:numPr>
        <w:spacing w:line="276" w:lineRule="auto"/>
        <w:rPr>
          <w:rFonts w:ascii="Arial" w:hAnsi="Arial" w:cs="Arial"/>
          <w:sz w:val="22"/>
          <w:szCs w:val="22"/>
        </w:rPr>
      </w:pPr>
      <w:r w:rsidRPr="00C7138D">
        <w:rPr>
          <w:rFonts w:ascii="Arial" w:hAnsi="Arial" w:cs="Arial"/>
          <w:sz w:val="22"/>
          <w:szCs w:val="22"/>
        </w:rPr>
        <w:t xml:space="preserve">tramadol 75 mg – </w:t>
      </w:r>
      <w:r w:rsidRPr="00C7138D">
        <w:rPr>
          <w:rFonts w:ascii="Arial" w:hAnsi="Arial" w:cs="Arial"/>
          <w:b/>
          <w:bCs/>
          <w:sz w:val="22"/>
          <w:szCs w:val="22"/>
        </w:rPr>
        <w:t>PA</w:t>
      </w:r>
      <w:r w:rsidRPr="00C7138D">
        <w:rPr>
          <w:rFonts w:asciiTheme="minorHAnsi" w:hAnsiTheme="minorHAnsi" w:cs="Arial"/>
          <w:color w:val="EE0000"/>
          <w:sz w:val="22"/>
          <w:szCs w:val="22"/>
        </w:rPr>
        <w:t xml:space="preserve"> </w:t>
      </w:r>
    </w:p>
    <w:p w14:paraId="4D8FE9FA" w14:textId="77777777" w:rsidR="003D7A5F" w:rsidRPr="00E334E3" w:rsidRDefault="003D7A5F" w:rsidP="003D7A5F">
      <w:pPr>
        <w:pStyle w:val="Default"/>
        <w:numPr>
          <w:ilvl w:val="1"/>
          <w:numId w:val="28"/>
        </w:numPr>
        <w:spacing w:line="276" w:lineRule="auto"/>
        <w:rPr>
          <w:rFonts w:ascii="Arial" w:hAnsi="Arial" w:cs="Arial"/>
          <w:color w:val="auto"/>
          <w:sz w:val="22"/>
          <w:szCs w:val="22"/>
        </w:rPr>
      </w:pPr>
      <w:r w:rsidRPr="00E334E3">
        <w:rPr>
          <w:rFonts w:ascii="Arial" w:hAnsi="Arial" w:cs="Arial"/>
          <w:color w:val="auto"/>
          <w:sz w:val="22"/>
          <w:szCs w:val="22"/>
        </w:rPr>
        <w:t xml:space="preserve">ustekinumab-ttwe, unbranded 45 mg/0.5 mL vial – </w:t>
      </w:r>
      <w:r w:rsidRPr="00E334E3">
        <w:rPr>
          <w:rFonts w:ascii="Arial" w:hAnsi="Arial" w:cs="Arial"/>
          <w:b/>
          <w:bCs/>
          <w:color w:val="auto"/>
          <w:sz w:val="22"/>
          <w:szCs w:val="22"/>
        </w:rPr>
        <w:t>PA</w:t>
      </w:r>
    </w:p>
    <w:p w14:paraId="250FF270" w14:textId="77777777" w:rsidR="003D7A5F" w:rsidRPr="00C7138D" w:rsidRDefault="003D7A5F" w:rsidP="003D7A5F">
      <w:pPr>
        <w:pStyle w:val="Default"/>
        <w:numPr>
          <w:ilvl w:val="1"/>
          <w:numId w:val="28"/>
        </w:numPr>
        <w:spacing w:line="276" w:lineRule="auto"/>
        <w:rPr>
          <w:rFonts w:ascii="Arial" w:hAnsi="Arial" w:cs="Arial"/>
          <w:b/>
          <w:bCs/>
          <w:sz w:val="22"/>
          <w:szCs w:val="22"/>
        </w:rPr>
      </w:pPr>
      <w:r w:rsidRPr="00C7138D">
        <w:rPr>
          <w:rFonts w:ascii="Arial" w:hAnsi="Arial" w:cs="Arial"/>
          <w:sz w:val="22"/>
          <w:szCs w:val="22"/>
        </w:rPr>
        <w:t xml:space="preserve">Vizz (aceclidine ophthalmic solution) – </w:t>
      </w:r>
      <w:r w:rsidRPr="00C7138D">
        <w:rPr>
          <w:rFonts w:ascii="Arial" w:hAnsi="Arial" w:cs="Arial"/>
          <w:b/>
          <w:bCs/>
          <w:sz w:val="22"/>
          <w:szCs w:val="22"/>
        </w:rPr>
        <w:t>PA</w:t>
      </w:r>
    </w:p>
    <w:bookmarkEnd w:id="0"/>
    <w:p w14:paraId="6FD48BA0" w14:textId="77777777" w:rsidR="003D7A5F" w:rsidRPr="00E24E22" w:rsidRDefault="003D7A5F" w:rsidP="003D7A5F">
      <w:pPr>
        <w:pStyle w:val="Heading2"/>
      </w:pPr>
      <w:r>
        <w:t>Change in Prior Authorization Status</w:t>
      </w:r>
    </w:p>
    <w:p w14:paraId="47FD6A44" w14:textId="4D31C61C" w:rsidR="003D7A5F" w:rsidRPr="00C7138D" w:rsidRDefault="003D7A5F" w:rsidP="003D7A5F">
      <w:pPr>
        <w:pStyle w:val="ListParagraph"/>
        <w:numPr>
          <w:ilvl w:val="0"/>
          <w:numId w:val="4"/>
        </w:numPr>
        <w:ind w:left="720"/>
        <w:contextualSpacing/>
        <w:rPr>
          <w:rFonts w:cs="Arial"/>
        </w:rPr>
      </w:pPr>
      <w:bookmarkStart w:id="1" w:name="_Hlk98931753"/>
      <w:bookmarkStart w:id="2" w:name="_Hlk30086979"/>
      <w:bookmarkStart w:id="3" w:name="_Hlk527542045"/>
      <w:r w:rsidRPr="00C7138D">
        <w:rPr>
          <w:rFonts w:cs="Arial"/>
        </w:rPr>
        <w:t xml:space="preserve">Effective April 1, 2026, the following acetylcholinesterase </w:t>
      </w:r>
      <w:r>
        <w:rPr>
          <w:rFonts w:cs="Arial"/>
        </w:rPr>
        <w:t>i</w:t>
      </w:r>
      <w:r w:rsidRPr="00C7138D">
        <w:rPr>
          <w:rFonts w:cs="Arial"/>
        </w:rPr>
        <w:t>nhibitor require</w:t>
      </w:r>
      <w:r w:rsidR="00F3158E">
        <w:rPr>
          <w:rFonts w:cs="Arial"/>
        </w:rPr>
        <w:t>s</w:t>
      </w:r>
      <w:r w:rsidRPr="00C7138D">
        <w:rPr>
          <w:rFonts w:cs="Arial"/>
        </w:rPr>
        <w:t xml:space="preserve"> PA. </w:t>
      </w:r>
    </w:p>
    <w:p w14:paraId="5FE29755" w14:textId="77777777" w:rsidR="003D7A5F" w:rsidRPr="00C7138D" w:rsidRDefault="003D7A5F" w:rsidP="003D7A5F">
      <w:pPr>
        <w:pStyle w:val="ListParagraph"/>
        <w:numPr>
          <w:ilvl w:val="1"/>
          <w:numId w:val="4"/>
        </w:numPr>
        <w:spacing w:after="160" w:line="259" w:lineRule="auto"/>
        <w:ind w:left="1080"/>
        <w:contextualSpacing/>
        <w:rPr>
          <w:rFonts w:cs="Arial"/>
        </w:rPr>
      </w:pPr>
      <w:r w:rsidRPr="00C7138D">
        <w:rPr>
          <w:rFonts w:cs="Arial"/>
        </w:rPr>
        <w:t xml:space="preserve">pyridostigmine bromide solution – </w:t>
      </w:r>
      <w:r w:rsidRPr="00C7138D">
        <w:rPr>
          <w:rFonts w:cs="Arial"/>
          <w:b/>
          <w:bCs/>
        </w:rPr>
        <w:t>PA</w:t>
      </w:r>
      <w:r w:rsidRPr="00C7138D">
        <w:rPr>
          <w:rFonts w:cs="Arial"/>
        </w:rPr>
        <w:t>; A90</w:t>
      </w:r>
    </w:p>
    <w:p w14:paraId="12D46F8C" w14:textId="0989FE36" w:rsidR="003D7A5F" w:rsidRPr="00C7138D" w:rsidRDefault="003D7A5F" w:rsidP="003D7A5F">
      <w:pPr>
        <w:pStyle w:val="ListParagraph"/>
        <w:numPr>
          <w:ilvl w:val="0"/>
          <w:numId w:val="4"/>
        </w:numPr>
        <w:ind w:left="720"/>
        <w:contextualSpacing/>
        <w:rPr>
          <w:rFonts w:cs="Arial"/>
        </w:rPr>
      </w:pPr>
      <w:r w:rsidRPr="00C7138D">
        <w:rPr>
          <w:rFonts w:cs="Arial"/>
        </w:rPr>
        <w:t xml:space="preserve">Effective April 1, 2026, the following </w:t>
      </w:r>
      <w:r w:rsidRPr="00C7138D">
        <w:rPr>
          <w:rFonts w:cs="Arial"/>
          <w:color w:val="000000"/>
        </w:rPr>
        <w:t xml:space="preserve">drug cessation </w:t>
      </w:r>
      <w:r w:rsidRPr="00C7138D">
        <w:rPr>
          <w:rFonts w:cs="Arial"/>
        </w:rPr>
        <w:t>agent no longer require</w:t>
      </w:r>
      <w:r w:rsidR="00F3158E">
        <w:rPr>
          <w:rFonts w:cs="Arial"/>
        </w:rPr>
        <w:t>s</w:t>
      </w:r>
      <w:r w:rsidRPr="00C7138D">
        <w:rPr>
          <w:rFonts w:cs="Arial"/>
        </w:rPr>
        <w:t xml:space="preserve"> PA within updated dose and duration limits. </w:t>
      </w:r>
    </w:p>
    <w:p w14:paraId="7AC81543" w14:textId="77777777" w:rsidR="003D7A5F" w:rsidRPr="00C7138D" w:rsidRDefault="003D7A5F" w:rsidP="003D7A5F">
      <w:pPr>
        <w:pStyle w:val="Default"/>
        <w:numPr>
          <w:ilvl w:val="1"/>
          <w:numId w:val="4"/>
        </w:numPr>
        <w:spacing w:line="276" w:lineRule="auto"/>
        <w:ind w:left="1080"/>
        <w:rPr>
          <w:rFonts w:cs="Arial"/>
        </w:rPr>
      </w:pPr>
      <w:r w:rsidRPr="00C7138D">
        <w:rPr>
          <w:rFonts w:ascii="Arial" w:hAnsi="Arial" w:cs="Arial"/>
          <w:sz w:val="22"/>
          <w:szCs w:val="22"/>
        </w:rPr>
        <w:t xml:space="preserve">buprenorphine sublingual tablet – </w:t>
      </w:r>
      <w:r w:rsidRPr="00C7138D">
        <w:rPr>
          <w:rFonts w:ascii="Arial" w:hAnsi="Arial" w:cs="Arial"/>
          <w:b/>
          <w:bCs/>
          <w:sz w:val="22"/>
          <w:szCs w:val="22"/>
        </w:rPr>
        <w:t>PA &gt;</w:t>
      </w:r>
      <w:r>
        <w:rPr>
          <w:rFonts w:ascii="Arial" w:hAnsi="Arial" w:cs="Arial"/>
          <w:b/>
          <w:bCs/>
          <w:sz w:val="22"/>
          <w:szCs w:val="22"/>
        </w:rPr>
        <w:t xml:space="preserve"> </w:t>
      </w:r>
      <w:r w:rsidRPr="00C7138D">
        <w:rPr>
          <w:rFonts w:ascii="Arial" w:hAnsi="Arial" w:cs="Arial"/>
          <w:b/>
          <w:bCs/>
          <w:sz w:val="22"/>
          <w:szCs w:val="22"/>
        </w:rPr>
        <w:t xml:space="preserve">5 days treatment/180 days and PA </w:t>
      </w:r>
      <w:r>
        <w:rPr>
          <w:rFonts w:ascii="Arial" w:hAnsi="Arial" w:cs="Arial"/>
          <w:b/>
          <w:bCs/>
          <w:sz w:val="22"/>
          <w:szCs w:val="22"/>
        </w:rPr>
        <w:t>&gt;</w:t>
      </w:r>
      <w:r w:rsidRPr="00C7138D">
        <w:rPr>
          <w:rFonts w:ascii="Arial" w:hAnsi="Arial" w:cs="Arial"/>
          <w:b/>
          <w:bCs/>
          <w:sz w:val="22"/>
          <w:szCs w:val="22"/>
        </w:rPr>
        <w:t xml:space="preserve"> 32 mg/day</w:t>
      </w:r>
    </w:p>
    <w:bookmarkEnd w:id="1"/>
    <w:bookmarkEnd w:id="2"/>
    <w:p w14:paraId="68E4AF83" w14:textId="0DEA0F86" w:rsidR="003D7A5F" w:rsidRPr="00C7138D" w:rsidRDefault="003D7A5F" w:rsidP="003D7A5F">
      <w:pPr>
        <w:pStyle w:val="ListParagraph"/>
        <w:numPr>
          <w:ilvl w:val="0"/>
          <w:numId w:val="4"/>
        </w:numPr>
        <w:ind w:left="720"/>
        <w:contextualSpacing/>
        <w:rPr>
          <w:rFonts w:cs="Arial"/>
        </w:rPr>
      </w:pPr>
      <w:r w:rsidRPr="00C7138D">
        <w:rPr>
          <w:rFonts w:cs="Arial"/>
        </w:rPr>
        <w:t>Effective April 1, 2026, the following hereditary angioedema agents no longer require</w:t>
      </w:r>
      <w:r w:rsidR="00F3158E">
        <w:rPr>
          <w:rFonts w:cs="Arial"/>
        </w:rPr>
        <w:t>s</w:t>
      </w:r>
      <w:r w:rsidRPr="00C7138D">
        <w:rPr>
          <w:rFonts w:cs="Arial"/>
        </w:rPr>
        <w:t xml:space="preserve"> PA within </w:t>
      </w:r>
      <w:r>
        <w:rPr>
          <w:rFonts w:cs="Arial"/>
        </w:rPr>
        <w:t xml:space="preserve">newly </w:t>
      </w:r>
      <w:r w:rsidRPr="00C7138D">
        <w:rPr>
          <w:rFonts w:cs="Arial"/>
        </w:rPr>
        <w:t xml:space="preserve">established quantity limits. </w:t>
      </w:r>
    </w:p>
    <w:p w14:paraId="282E1E51" w14:textId="77777777" w:rsidR="003D7A5F" w:rsidRPr="00C7138D" w:rsidRDefault="003D7A5F" w:rsidP="003D7A5F">
      <w:pPr>
        <w:pStyle w:val="ListParagraph"/>
        <w:numPr>
          <w:ilvl w:val="1"/>
          <w:numId w:val="4"/>
        </w:numPr>
        <w:spacing w:after="160"/>
        <w:ind w:left="1080"/>
        <w:contextualSpacing/>
        <w:rPr>
          <w:rFonts w:cs="Arial"/>
        </w:rPr>
      </w:pPr>
      <w:r w:rsidRPr="00C7138D">
        <w:rPr>
          <w:rFonts w:cs="Arial"/>
        </w:rPr>
        <w:t>Berinert (c1 esterase inhibitor, human)</w:t>
      </w:r>
      <w:r>
        <w:rPr>
          <w:rFonts w:cs="Arial"/>
        </w:rPr>
        <w:t xml:space="preserve"> </w:t>
      </w:r>
      <w:r w:rsidRPr="00C7138D">
        <w:rPr>
          <w:rFonts w:cs="Arial"/>
        </w:rPr>
        <w:t xml:space="preserve">– </w:t>
      </w:r>
      <w:r w:rsidRPr="00C7138D">
        <w:rPr>
          <w:rFonts w:cs="Arial"/>
          <w:b/>
          <w:bCs/>
        </w:rPr>
        <w:t>PA &gt; 14 injections/30 days</w:t>
      </w:r>
    </w:p>
    <w:p w14:paraId="0C4DC838" w14:textId="77777777" w:rsidR="003D7A5F" w:rsidRPr="00C7138D" w:rsidRDefault="003D7A5F" w:rsidP="003D7A5F">
      <w:pPr>
        <w:pStyle w:val="ListParagraph"/>
        <w:numPr>
          <w:ilvl w:val="1"/>
          <w:numId w:val="4"/>
        </w:numPr>
        <w:spacing w:after="160"/>
        <w:ind w:left="1080"/>
        <w:contextualSpacing/>
        <w:rPr>
          <w:rFonts w:cs="Arial"/>
        </w:rPr>
      </w:pPr>
      <w:r w:rsidRPr="00C7138D">
        <w:rPr>
          <w:rFonts w:cs="Arial"/>
        </w:rPr>
        <w:t>Firazyr (icatibant)</w:t>
      </w:r>
      <w:r>
        <w:rPr>
          <w:rFonts w:cs="Arial"/>
        </w:rPr>
        <w:t xml:space="preserve"> </w:t>
      </w:r>
      <w:r w:rsidRPr="00C7138D">
        <w:rPr>
          <w:rFonts w:cs="Arial"/>
        </w:rPr>
        <w:t xml:space="preserve">– </w:t>
      </w:r>
      <w:r w:rsidRPr="00C7138D">
        <w:rPr>
          <w:rFonts w:cs="Arial"/>
          <w:b/>
          <w:bCs/>
        </w:rPr>
        <w:t>PA &gt; 6 injections/30 days</w:t>
      </w:r>
      <w:r w:rsidRPr="00C7138D">
        <w:rPr>
          <w:rFonts w:cs="Arial"/>
        </w:rPr>
        <w:t>; #</w:t>
      </w:r>
    </w:p>
    <w:p w14:paraId="1F06C810" w14:textId="77777777" w:rsidR="003D7A5F" w:rsidRPr="00C7138D" w:rsidRDefault="003D7A5F" w:rsidP="003D7A5F">
      <w:pPr>
        <w:pStyle w:val="ListParagraph"/>
        <w:numPr>
          <w:ilvl w:val="1"/>
          <w:numId w:val="4"/>
        </w:numPr>
        <w:spacing w:after="160"/>
        <w:ind w:left="1080"/>
        <w:contextualSpacing/>
        <w:rPr>
          <w:rFonts w:cs="Arial"/>
        </w:rPr>
      </w:pPr>
      <w:r w:rsidRPr="00C7138D">
        <w:rPr>
          <w:rFonts w:cs="Arial"/>
        </w:rPr>
        <w:t>Kalbitor (ecallantide)</w:t>
      </w:r>
      <w:r>
        <w:rPr>
          <w:rFonts w:cs="Arial"/>
        </w:rPr>
        <w:t xml:space="preserve"> </w:t>
      </w:r>
      <w:r w:rsidRPr="00C7138D">
        <w:rPr>
          <w:rFonts w:cs="Arial"/>
        </w:rPr>
        <w:t xml:space="preserve">– </w:t>
      </w:r>
      <w:r w:rsidRPr="00C7138D">
        <w:rPr>
          <w:rFonts w:cs="Arial"/>
          <w:b/>
          <w:bCs/>
        </w:rPr>
        <w:t>PA &gt; 12 injections/30 days</w:t>
      </w:r>
      <w:r w:rsidRPr="00C7138D">
        <w:rPr>
          <w:rFonts w:cs="Arial"/>
        </w:rPr>
        <w:t>; MB</w:t>
      </w:r>
    </w:p>
    <w:p w14:paraId="6235DEBC" w14:textId="77777777" w:rsidR="003D7A5F" w:rsidRPr="00C7138D" w:rsidRDefault="003D7A5F" w:rsidP="003D7A5F">
      <w:pPr>
        <w:pStyle w:val="ListParagraph"/>
        <w:numPr>
          <w:ilvl w:val="1"/>
          <w:numId w:val="4"/>
        </w:numPr>
        <w:spacing w:after="160"/>
        <w:ind w:left="1080"/>
        <w:contextualSpacing/>
        <w:rPr>
          <w:rFonts w:cs="Arial"/>
        </w:rPr>
      </w:pPr>
      <w:r w:rsidRPr="00C7138D">
        <w:rPr>
          <w:rFonts w:cs="Arial"/>
        </w:rPr>
        <w:t>Ruconest (c1 esterase inhibitor, recombinant)</w:t>
      </w:r>
      <w:r>
        <w:rPr>
          <w:rFonts w:cs="Arial"/>
        </w:rPr>
        <w:t xml:space="preserve"> </w:t>
      </w:r>
      <w:r w:rsidRPr="00C7138D">
        <w:rPr>
          <w:rFonts w:cs="Arial"/>
        </w:rPr>
        <w:t xml:space="preserve">– </w:t>
      </w:r>
      <w:r w:rsidRPr="00C7138D">
        <w:rPr>
          <w:rFonts w:cs="Arial"/>
          <w:b/>
          <w:bCs/>
        </w:rPr>
        <w:t>PA &gt; 8 injections/30 days</w:t>
      </w:r>
    </w:p>
    <w:p w14:paraId="47AEB2BB" w14:textId="67623A1B" w:rsidR="003D7A5F" w:rsidRPr="00C7138D" w:rsidRDefault="003D7A5F" w:rsidP="003D7A5F">
      <w:pPr>
        <w:pStyle w:val="ListParagraph"/>
        <w:numPr>
          <w:ilvl w:val="0"/>
          <w:numId w:val="4"/>
        </w:numPr>
        <w:spacing w:after="160"/>
        <w:ind w:left="720"/>
        <w:contextualSpacing/>
        <w:rPr>
          <w:rFonts w:cs="Arial"/>
        </w:rPr>
      </w:pPr>
      <w:r w:rsidRPr="00C7138D">
        <w:rPr>
          <w:rFonts w:cs="Arial"/>
        </w:rPr>
        <w:t>Effective April 1, 2026, the following chemotherapy agent no longer require</w:t>
      </w:r>
      <w:r w:rsidR="00F3158E">
        <w:rPr>
          <w:rFonts w:cs="Arial"/>
        </w:rPr>
        <w:t>s</w:t>
      </w:r>
      <w:r w:rsidRPr="00C7138D">
        <w:rPr>
          <w:rFonts w:cs="Arial"/>
        </w:rPr>
        <w:t xml:space="preserve"> PA.</w:t>
      </w:r>
    </w:p>
    <w:p w14:paraId="140B8102" w14:textId="77777777" w:rsidR="003D7A5F" w:rsidRPr="00C7138D" w:rsidRDefault="003D7A5F" w:rsidP="003D7A5F">
      <w:pPr>
        <w:pStyle w:val="ListParagraph"/>
        <w:numPr>
          <w:ilvl w:val="1"/>
          <w:numId w:val="4"/>
        </w:numPr>
        <w:ind w:left="1080"/>
        <w:contextualSpacing/>
        <w:rPr>
          <w:rFonts w:cs="Arial"/>
        </w:rPr>
      </w:pPr>
      <w:r w:rsidRPr="00C7138D">
        <w:rPr>
          <w:rFonts w:cs="Arial"/>
        </w:rPr>
        <w:t>lomustine</w:t>
      </w:r>
    </w:p>
    <w:p w14:paraId="1860F1BC" w14:textId="3E5C0104" w:rsidR="003D7A5F" w:rsidRPr="00C7138D" w:rsidRDefault="003D7A5F" w:rsidP="003D7A5F">
      <w:pPr>
        <w:pStyle w:val="ListParagraph"/>
        <w:numPr>
          <w:ilvl w:val="0"/>
          <w:numId w:val="4"/>
        </w:numPr>
        <w:spacing w:after="160"/>
        <w:ind w:left="720"/>
        <w:contextualSpacing/>
        <w:rPr>
          <w:rFonts w:cs="Arial"/>
        </w:rPr>
      </w:pPr>
      <w:r w:rsidRPr="00C7138D">
        <w:rPr>
          <w:rFonts w:cs="Arial"/>
        </w:rPr>
        <w:t>Effective April 1, 2026, the following antiretroviral agent no longer require</w:t>
      </w:r>
      <w:r w:rsidR="00F3158E">
        <w:rPr>
          <w:rFonts w:cs="Arial"/>
        </w:rPr>
        <w:t>s</w:t>
      </w:r>
      <w:r w:rsidRPr="00C7138D">
        <w:rPr>
          <w:rFonts w:cs="Arial"/>
        </w:rPr>
        <w:t xml:space="preserve"> PA.</w:t>
      </w:r>
    </w:p>
    <w:p w14:paraId="5A268220" w14:textId="77777777" w:rsidR="003D7A5F" w:rsidRPr="00C7138D" w:rsidRDefault="003D7A5F" w:rsidP="003D7A5F">
      <w:pPr>
        <w:pStyle w:val="ListParagraph"/>
        <w:numPr>
          <w:ilvl w:val="1"/>
          <w:numId w:val="4"/>
        </w:numPr>
        <w:ind w:left="1080"/>
        <w:contextualSpacing/>
        <w:rPr>
          <w:rFonts w:cs="Arial"/>
        </w:rPr>
      </w:pPr>
      <w:r w:rsidRPr="00C7138D">
        <w:rPr>
          <w:rFonts w:cs="Arial"/>
        </w:rPr>
        <w:lastRenderedPageBreak/>
        <w:t>Yeztugo (lenacapavir)</w:t>
      </w:r>
    </w:p>
    <w:p w14:paraId="125AF4BF" w14:textId="77777777" w:rsidR="003D7A5F" w:rsidRPr="00E24E22" w:rsidRDefault="003D7A5F" w:rsidP="003D7A5F">
      <w:pPr>
        <w:pStyle w:val="Heading2"/>
      </w:pPr>
      <w:r w:rsidRPr="00E24E22">
        <w:t>Updated MassHealth Brand Name Preferred Over Generic Drug List</w:t>
      </w:r>
    </w:p>
    <w:bookmarkEnd w:id="3"/>
    <w:p w14:paraId="466C052C" w14:textId="77777777" w:rsidR="003D7A5F" w:rsidRPr="00C140B6" w:rsidRDefault="003D7A5F" w:rsidP="003D7A5F">
      <w:pPr>
        <w:keepNext/>
        <w:keepLines/>
        <w:outlineLvl w:val="0"/>
        <w:rPr>
          <w:rFonts w:eastAsia="Calibri" w:cs="Arial"/>
          <w:color w:val="000000"/>
          <w:szCs w:val="21"/>
        </w:rPr>
      </w:pPr>
      <w:r w:rsidRPr="00C140B6">
        <w:rPr>
          <w:rFonts w:eastAsia="Calibri" w:cs="Arial"/>
          <w:color w:val="000000"/>
          <w:szCs w:val="21"/>
        </w:rPr>
        <w:t>The MassHealth Brand Name Preferred Over Generic Drug List has been updated to reflect recent changes to the MassHealth Drug List.</w:t>
      </w:r>
    </w:p>
    <w:p w14:paraId="390F5542" w14:textId="688F278F" w:rsidR="003D7A5F" w:rsidRPr="00C7138D" w:rsidRDefault="003D7A5F" w:rsidP="003D7A5F">
      <w:pPr>
        <w:pStyle w:val="Default"/>
        <w:numPr>
          <w:ilvl w:val="0"/>
          <w:numId w:val="29"/>
        </w:numPr>
        <w:spacing w:line="276" w:lineRule="auto"/>
        <w:rPr>
          <w:rFonts w:ascii="Arial" w:hAnsi="Arial" w:cs="Arial"/>
          <w:sz w:val="22"/>
          <w:szCs w:val="21"/>
        </w:rPr>
      </w:pPr>
      <w:r w:rsidRPr="00C7138D">
        <w:rPr>
          <w:rFonts w:ascii="Arial" w:hAnsi="Arial" w:cs="Arial"/>
          <w:sz w:val="22"/>
          <w:szCs w:val="21"/>
        </w:rPr>
        <w:t xml:space="preserve">Effective </w:t>
      </w:r>
      <w:r w:rsidRPr="00C7138D">
        <w:rPr>
          <w:rFonts w:ascii="Arial" w:hAnsi="Arial" w:cs="Arial"/>
          <w:sz w:val="22"/>
          <w:szCs w:val="22"/>
        </w:rPr>
        <w:t xml:space="preserve">April 1, 2026, </w:t>
      </w:r>
      <w:r w:rsidRPr="00C7138D">
        <w:rPr>
          <w:rFonts w:ascii="Arial" w:hAnsi="Arial" w:cs="Arial"/>
          <w:sz w:val="22"/>
          <w:szCs w:val="21"/>
        </w:rPr>
        <w:t xml:space="preserve">the following agents </w:t>
      </w:r>
      <w:r w:rsidR="00F3158E">
        <w:rPr>
          <w:rFonts w:ascii="Arial" w:hAnsi="Arial" w:cs="Arial"/>
          <w:sz w:val="22"/>
          <w:szCs w:val="21"/>
        </w:rPr>
        <w:t>were</w:t>
      </w:r>
      <w:r w:rsidRPr="00C7138D">
        <w:rPr>
          <w:rFonts w:ascii="Arial" w:hAnsi="Arial" w:cs="Arial"/>
          <w:sz w:val="22"/>
          <w:szCs w:val="21"/>
        </w:rPr>
        <w:t xml:space="preserve"> added to the MassHealth Brand Name Preferred Over Generic Drug List. </w:t>
      </w:r>
    </w:p>
    <w:p w14:paraId="1C468A83" w14:textId="77777777" w:rsidR="003D7A5F" w:rsidRPr="00C7138D" w:rsidRDefault="003D7A5F" w:rsidP="003D7A5F">
      <w:pPr>
        <w:pStyle w:val="Default"/>
        <w:numPr>
          <w:ilvl w:val="0"/>
          <w:numId w:val="6"/>
        </w:numPr>
        <w:spacing w:line="276" w:lineRule="auto"/>
        <w:rPr>
          <w:rFonts w:ascii="Arial" w:hAnsi="Arial" w:cs="Arial"/>
          <w:sz w:val="22"/>
          <w:szCs w:val="22"/>
        </w:rPr>
      </w:pPr>
      <w:bookmarkStart w:id="4" w:name="_Hlk11399419"/>
      <w:bookmarkStart w:id="5" w:name="_Hlk527542710"/>
      <w:r w:rsidRPr="00C7138D">
        <w:rPr>
          <w:rFonts w:ascii="Arial" w:hAnsi="Arial" w:cs="Arial"/>
          <w:sz w:val="22"/>
          <w:szCs w:val="22"/>
        </w:rPr>
        <w:t>Cipro HC (ciprofloxacin/hydrocortisone); BP</w:t>
      </w:r>
    </w:p>
    <w:p w14:paraId="593C8CA5" w14:textId="77777777" w:rsidR="003D7A5F" w:rsidRPr="00C7138D" w:rsidRDefault="003D7A5F" w:rsidP="003D7A5F">
      <w:pPr>
        <w:pStyle w:val="ListParagraph"/>
        <w:numPr>
          <w:ilvl w:val="0"/>
          <w:numId w:val="6"/>
        </w:numPr>
        <w:spacing w:line="259" w:lineRule="auto"/>
        <w:contextualSpacing/>
        <w:rPr>
          <w:rFonts w:cs="Arial"/>
          <w:color w:val="000000"/>
        </w:rPr>
      </w:pPr>
      <w:bookmarkStart w:id="6" w:name="_Hlk14249184"/>
      <w:bookmarkStart w:id="7" w:name="_Hlk536624120"/>
      <w:bookmarkEnd w:id="4"/>
      <w:bookmarkEnd w:id="5"/>
      <w:r w:rsidRPr="00C7138D">
        <w:rPr>
          <w:rFonts w:cs="Arial"/>
          <w:color w:val="000000"/>
        </w:rPr>
        <w:t xml:space="preserve">Mavenclad (cladribine tablet) – </w:t>
      </w:r>
      <w:r w:rsidRPr="00C7138D">
        <w:rPr>
          <w:rFonts w:cs="Arial"/>
          <w:b/>
          <w:bCs/>
          <w:color w:val="000000"/>
        </w:rPr>
        <w:t>PA</w:t>
      </w:r>
      <w:r w:rsidRPr="00C7138D">
        <w:rPr>
          <w:rFonts w:cs="Arial"/>
          <w:color w:val="000000"/>
        </w:rPr>
        <w:t>; BP</w:t>
      </w:r>
    </w:p>
    <w:p w14:paraId="02EC739B" w14:textId="77777777" w:rsidR="003D7A5F" w:rsidRPr="00C7138D" w:rsidRDefault="003D7A5F" w:rsidP="003D7A5F">
      <w:pPr>
        <w:pStyle w:val="ListParagraph"/>
        <w:numPr>
          <w:ilvl w:val="0"/>
          <w:numId w:val="6"/>
        </w:numPr>
        <w:spacing w:line="259" w:lineRule="auto"/>
        <w:contextualSpacing/>
        <w:rPr>
          <w:rFonts w:cs="Arial"/>
          <w:color w:val="000000"/>
        </w:rPr>
      </w:pPr>
      <w:r w:rsidRPr="00C7138D">
        <w:rPr>
          <w:rFonts w:cs="Arial"/>
          <w:color w:val="000000"/>
        </w:rPr>
        <w:t>Rowasa (mesalamine enema); BP, A90</w:t>
      </w:r>
    </w:p>
    <w:p w14:paraId="441BB6BC" w14:textId="56ED884B" w:rsidR="003D7A5F" w:rsidRPr="00C7138D" w:rsidRDefault="003D7A5F" w:rsidP="003D7A5F">
      <w:pPr>
        <w:pStyle w:val="Default"/>
        <w:numPr>
          <w:ilvl w:val="0"/>
          <w:numId w:val="29"/>
        </w:numPr>
        <w:spacing w:line="276" w:lineRule="auto"/>
        <w:rPr>
          <w:rFonts w:ascii="Arial" w:hAnsi="Arial" w:cs="Arial"/>
          <w:sz w:val="22"/>
          <w:szCs w:val="21"/>
        </w:rPr>
      </w:pPr>
      <w:r w:rsidRPr="00C7138D">
        <w:rPr>
          <w:rFonts w:ascii="Arial" w:hAnsi="Arial" w:cs="Arial"/>
          <w:sz w:val="22"/>
          <w:szCs w:val="21"/>
        </w:rPr>
        <w:t xml:space="preserve">Effective </w:t>
      </w:r>
      <w:r w:rsidRPr="00C7138D">
        <w:rPr>
          <w:rFonts w:ascii="Arial" w:hAnsi="Arial" w:cs="Arial"/>
          <w:sz w:val="22"/>
          <w:szCs w:val="22"/>
        </w:rPr>
        <w:t xml:space="preserve">April 1, 2026, </w:t>
      </w:r>
      <w:r w:rsidRPr="00C7138D">
        <w:rPr>
          <w:rFonts w:ascii="Arial" w:hAnsi="Arial" w:cs="Arial"/>
          <w:sz w:val="22"/>
          <w:szCs w:val="21"/>
        </w:rPr>
        <w:t xml:space="preserve">the following agents </w:t>
      </w:r>
      <w:r w:rsidR="00F3158E">
        <w:rPr>
          <w:rFonts w:ascii="Arial" w:hAnsi="Arial" w:cs="Arial"/>
          <w:sz w:val="22"/>
          <w:szCs w:val="21"/>
        </w:rPr>
        <w:t>were</w:t>
      </w:r>
      <w:r w:rsidRPr="00C7138D">
        <w:rPr>
          <w:rFonts w:ascii="Arial" w:hAnsi="Arial" w:cs="Arial"/>
          <w:sz w:val="22"/>
          <w:szCs w:val="21"/>
        </w:rPr>
        <w:t xml:space="preserve"> removed from the MassHealth Brand Name Preferred Over Generic Drug List. </w:t>
      </w:r>
    </w:p>
    <w:bookmarkEnd w:id="6"/>
    <w:p w14:paraId="763E1154" w14:textId="77777777" w:rsidR="003D7A5F" w:rsidRPr="00C7138D" w:rsidRDefault="003D7A5F" w:rsidP="003D7A5F">
      <w:pPr>
        <w:pStyle w:val="ListParagraph"/>
        <w:numPr>
          <w:ilvl w:val="0"/>
          <w:numId w:val="16"/>
        </w:numPr>
        <w:spacing w:after="160" w:line="259" w:lineRule="auto"/>
        <w:contextualSpacing/>
        <w:rPr>
          <w:rFonts w:cs="Arial"/>
          <w:b/>
          <w:bCs/>
        </w:rPr>
      </w:pPr>
      <w:r w:rsidRPr="00C7138D">
        <w:rPr>
          <w:rFonts w:cs="Arial"/>
        </w:rPr>
        <w:t>Cardura (doxazosin immediate-release); #, M90</w:t>
      </w:r>
    </w:p>
    <w:p w14:paraId="462BBBDA" w14:textId="77777777" w:rsidR="003D7A5F" w:rsidRPr="00C7138D" w:rsidRDefault="003D7A5F" w:rsidP="003D7A5F">
      <w:pPr>
        <w:pStyle w:val="ListParagraph"/>
        <w:numPr>
          <w:ilvl w:val="0"/>
          <w:numId w:val="16"/>
        </w:numPr>
        <w:spacing w:after="160" w:line="259" w:lineRule="auto"/>
        <w:contextualSpacing/>
        <w:rPr>
          <w:rFonts w:cs="Arial"/>
          <w:b/>
          <w:bCs/>
        </w:rPr>
      </w:pPr>
      <w:r w:rsidRPr="00C7138D">
        <w:rPr>
          <w:rFonts w:cs="Arial"/>
          <w:color w:val="000000"/>
        </w:rPr>
        <w:t>Daytrana (methylphenidate transdermal)</w:t>
      </w:r>
      <w:r w:rsidRPr="00C7138D">
        <w:rPr>
          <w:rFonts w:cs="Arial"/>
          <w:b/>
          <w:bCs/>
        </w:rPr>
        <w:t xml:space="preserve"> </w:t>
      </w:r>
      <w:r w:rsidRPr="00C7138D">
        <w:rPr>
          <w:rFonts w:cs="Arial"/>
        </w:rPr>
        <w:t>–</w:t>
      </w:r>
      <w:r w:rsidRPr="00C7138D">
        <w:rPr>
          <w:rFonts w:cs="Arial"/>
          <w:b/>
          <w:bCs/>
        </w:rPr>
        <w:t xml:space="preserve"> PA &lt; 3 years or ≥ 21 years and PA &gt; 1 unit/day</w:t>
      </w:r>
      <w:r w:rsidRPr="00FC7173">
        <w:rPr>
          <w:rFonts w:cs="Arial"/>
        </w:rPr>
        <w:t>; #</w:t>
      </w:r>
    </w:p>
    <w:p w14:paraId="16D2693F" w14:textId="77777777" w:rsidR="003D7A5F" w:rsidRPr="007E41FC" w:rsidRDefault="003D7A5F" w:rsidP="003D7A5F">
      <w:pPr>
        <w:pStyle w:val="ListParagraph"/>
        <w:numPr>
          <w:ilvl w:val="0"/>
          <w:numId w:val="16"/>
        </w:numPr>
        <w:spacing w:after="160" w:line="259" w:lineRule="auto"/>
        <w:contextualSpacing/>
        <w:rPr>
          <w:rFonts w:cs="Arial"/>
          <w:color w:val="000000"/>
        </w:rPr>
      </w:pPr>
      <w:r w:rsidRPr="00C7138D">
        <w:rPr>
          <w:rFonts w:cs="Arial"/>
          <w:bCs/>
        </w:rPr>
        <w:t xml:space="preserve">Entresto (sacubitril/valsartan tablet) – </w:t>
      </w:r>
      <w:r w:rsidRPr="00C7138D">
        <w:rPr>
          <w:rFonts w:cs="Arial"/>
          <w:b/>
        </w:rPr>
        <w:t>PA</w:t>
      </w:r>
    </w:p>
    <w:p w14:paraId="211C6191" w14:textId="77777777" w:rsidR="003D7A5F" w:rsidRPr="007E41FC" w:rsidRDefault="003D7A5F" w:rsidP="003D7A5F">
      <w:pPr>
        <w:pStyle w:val="ListParagraph"/>
        <w:numPr>
          <w:ilvl w:val="0"/>
          <w:numId w:val="16"/>
        </w:numPr>
        <w:spacing w:after="160" w:line="259" w:lineRule="auto"/>
        <w:contextualSpacing/>
        <w:rPr>
          <w:rFonts w:cs="Arial"/>
          <w:color w:val="000000"/>
        </w:rPr>
      </w:pPr>
      <w:r w:rsidRPr="00131D6A">
        <w:rPr>
          <w:rFonts w:cs="Arial"/>
          <w:color w:val="000000"/>
        </w:rPr>
        <w:t>Inspra (eplerenone)</w:t>
      </w:r>
      <w:r w:rsidRPr="008F52F1">
        <w:rPr>
          <w:rFonts w:cs="Arial"/>
          <w:color w:val="000000"/>
        </w:rPr>
        <w:t xml:space="preserve">; </w:t>
      </w:r>
      <w:r>
        <w:rPr>
          <w:rFonts w:cs="Arial"/>
          <w:color w:val="000000"/>
        </w:rPr>
        <w:t>#, M</w:t>
      </w:r>
      <w:r w:rsidRPr="008F52F1">
        <w:rPr>
          <w:rFonts w:cs="Arial"/>
          <w:color w:val="000000"/>
        </w:rPr>
        <w:t>90</w:t>
      </w:r>
    </w:p>
    <w:bookmarkEnd w:id="7"/>
    <w:p w14:paraId="58D7BCAF" w14:textId="77777777" w:rsidR="003D7A5F" w:rsidRPr="00C7138D" w:rsidRDefault="003D7A5F" w:rsidP="003D7A5F">
      <w:pPr>
        <w:pStyle w:val="ListParagraph"/>
        <w:numPr>
          <w:ilvl w:val="0"/>
          <w:numId w:val="16"/>
        </w:numPr>
        <w:spacing w:line="259" w:lineRule="auto"/>
        <w:contextualSpacing/>
        <w:rPr>
          <w:rFonts w:cs="Arial"/>
          <w:color w:val="000000"/>
        </w:rPr>
      </w:pPr>
      <w:r w:rsidRPr="00C7138D">
        <w:rPr>
          <w:rFonts w:cs="Arial"/>
          <w:color w:val="000000"/>
        </w:rPr>
        <w:t xml:space="preserve">Sancuso (granisetron transdermal system) </w:t>
      </w:r>
      <w:r w:rsidRPr="00C7138D">
        <w:rPr>
          <w:rFonts w:eastAsia="Calibri" w:cs="Arial"/>
        </w:rPr>
        <w:t xml:space="preserve">– </w:t>
      </w:r>
      <w:r w:rsidRPr="00C7138D">
        <w:rPr>
          <w:rFonts w:eastAsia="Calibri" w:cs="Arial"/>
          <w:b/>
          <w:bCs/>
        </w:rPr>
        <w:t>PA</w:t>
      </w:r>
    </w:p>
    <w:p w14:paraId="676E6A93" w14:textId="77777777" w:rsidR="003D7A5F" w:rsidRPr="00E24E22" w:rsidRDefault="003D7A5F" w:rsidP="003D7A5F">
      <w:pPr>
        <w:pStyle w:val="Heading2"/>
      </w:pPr>
      <w:r w:rsidRPr="00E24E22">
        <w:t>Updated MassHealth 90-day Initiative</w:t>
      </w:r>
    </w:p>
    <w:p w14:paraId="11FB83EA" w14:textId="77777777" w:rsidR="003D7A5F" w:rsidRPr="00C7138D" w:rsidRDefault="003D7A5F" w:rsidP="003D7A5F">
      <w:pPr>
        <w:pStyle w:val="Default"/>
        <w:numPr>
          <w:ilvl w:val="0"/>
          <w:numId w:val="30"/>
        </w:numPr>
        <w:spacing w:line="276" w:lineRule="auto"/>
        <w:rPr>
          <w:rFonts w:ascii="Arial" w:hAnsi="Arial" w:cs="Arial"/>
          <w:sz w:val="22"/>
          <w:szCs w:val="21"/>
        </w:rPr>
      </w:pPr>
      <w:r w:rsidRPr="00C7138D">
        <w:rPr>
          <w:rFonts w:ascii="Arial" w:hAnsi="Arial" w:cs="Arial"/>
          <w:sz w:val="22"/>
          <w:szCs w:val="21"/>
        </w:rPr>
        <w:t xml:space="preserve">Effective </w:t>
      </w:r>
      <w:r w:rsidRPr="00C7138D">
        <w:rPr>
          <w:rFonts w:ascii="Arial" w:hAnsi="Arial" w:cs="Arial"/>
          <w:sz w:val="22"/>
          <w:szCs w:val="22"/>
        </w:rPr>
        <w:t>April 1, 2026, the following agent may be allowed or mandated to be dispensed in up to a 90-day supply, as indicated below</w:t>
      </w:r>
      <w:r w:rsidRPr="00C7138D">
        <w:rPr>
          <w:rFonts w:ascii="Arial" w:hAnsi="Arial" w:cs="Arial"/>
          <w:sz w:val="22"/>
          <w:szCs w:val="21"/>
        </w:rPr>
        <w:t xml:space="preserve">. </w:t>
      </w:r>
    </w:p>
    <w:p w14:paraId="79005ACE" w14:textId="77777777" w:rsidR="003D7A5F" w:rsidRPr="00A42277" w:rsidRDefault="003D7A5F" w:rsidP="003D7A5F">
      <w:pPr>
        <w:pStyle w:val="Default"/>
        <w:numPr>
          <w:ilvl w:val="1"/>
          <w:numId w:val="30"/>
        </w:numPr>
        <w:spacing w:line="276" w:lineRule="auto"/>
        <w:rPr>
          <w:rFonts w:ascii="Arial" w:hAnsi="Arial" w:cs="Arial"/>
          <w:sz w:val="22"/>
          <w:szCs w:val="21"/>
        </w:rPr>
      </w:pPr>
      <w:r w:rsidRPr="00A42277">
        <w:rPr>
          <w:rFonts w:ascii="Arial" w:hAnsi="Arial" w:cs="Arial"/>
          <w:sz w:val="22"/>
          <w:szCs w:val="21"/>
        </w:rPr>
        <w:t>Edurant (rilpivirine tablet); BP; A90</w:t>
      </w:r>
    </w:p>
    <w:p w14:paraId="1DA896E3" w14:textId="77777777" w:rsidR="003D7A5F" w:rsidRPr="00C7138D" w:rsidRDefault="003D7A5F" w:rsidP="003D7A5F">
      <w:pPr>
        <w:pStyle w:val="Default"/>
        <w:numPr>
          <w:ilvl w:val="1"/>
          <w:numId w:val="30"/>
        </w:numPr>
        <w:spacing w:line="276" w:lineRule="auto"/>
        <w:rPr>
          <w:rFonts w:ascii="Arial" w:hAnsi="Arial" w:cs="Arial"/>
          <w:sz w:val="22"/>
          <w:szCs w:val="21"/>
        </w:rPr>
      </w:pPr>
      <w:r w:rsidRPr="00C7138D">
        <w:rPr>
          <w:rFonts w:ascii="Arial" w:hAnsi="Arial" w:cs="Arial"/>
          <w:sz w:val="22"/>
          <w:szCs w:val="22"/>
        </w:rPr>
        <w:t>Jentadueto (linagliptin/metformin); BP, M90</w:t>
      </w:r>
    </w:p>
    <w:p w14:paraId="67B1344A" w14:textId="209A0571" w:rsidR="003D7A5F" w:rsidRPr="00C7138D" w:rsidRDefault="003D7A5F" w:rsidP="003D7A5F">
      <w:pPr>
        <w:pStyle w:val="Default"/>
        <w:numPr>
          <w:ilvl w:val="0"/>
          <w:numId w:val="30"/>
        </w:numPr>
        <w:spacing w:line="276" w:lineRule="auto"/>
        <w:rPr>
          <w:rFonts w:ascii="Arial" w:hAnsi="Arial" w:cs="Arial"/>
          <w:sz w:val="22"/>
          <w:szCs w:val="21"/>
        </w:rPr>
      </w:pPr>
      <w:r w:rsidRPr="00C7138D">
        <w:rPr>
          <w:rFonts w:ascii="Arial" w:hAnsi="Arial" w:cs="Arial"/>
          <w:sz w:val="22"/>
          <w:szCs w:val="21"/>
        </w:rPr>
        <w:t xml:space="preserve">Effective </w:t>
      </w:r>
      <w:r w:rsidRPr="00C7138D">
        <w:rPr>
          <w:rFonts w:ascii="Arial" w:hAnsi="Arial" w:cs="Arial"/>
          <w:sz w:val="22"/>
          <w:szCs w:val="22"/>
        </w:rPr>
        <w:t xml:space="preserve">April 1, 2026, the following agent </w:t>
      </w:r>
      <w:r w:rsidR="00F3158E">
        <w:rPr>
          <w:rFonts w:ascii="Arial" w:hAnsi="Arial" w:cs="Arial"/>
          <w:sz w:val="22"/>
          <w:szCs w:val="22"/>
        </w:rPr>
        <w:t>is</w:t>
      </w:r>
      <w:r w:rsidR="00F3158E" w:rsidRPr="00C7138D">
        <w:rPr>
          <w:rFonts w:ascii="Arial" w:hAnsi="Arial" w:cs="Arial"/>
          <w:sz w:val="22"/>
          <w:szCs w:val="22"/>
        </w:rPr>
        <w:t xml:space="preserve"> </w:t>
      </w:r>
      <w:r w:rsidRPr="00C7138D">
        <w:rPr>
          <w:rFonts w:ascii="Arial" w:hAnsi="Arial" w:cs="Arial"/>
          <w:sz w:val="22"/>
          <w:szCs w:val="22"/>
        </w:rPr>
        <w:t>no longer allowed or mandated to be dispensed in up to a 90-day supply, as indicated below</w:t>
      </w:r>
      <w:r w:rsidRPr="00C7138D">
        <w:rPr>
          <w:rFonts w:ascii="Arial" w:hAnsi="Arial" w:cs="Arial"/>
          <w:sz w:val="22"/>
          <w:szCs w:val="21"/>
        </w:rPr>
        <w:t>.</w:t>
      </w:r>
    </w:p>
    <w:p w14:paraId="142FF312" w14:textId="77777777" w:rsidR="003D7A5F" w:rsidRPr="00C7138D" w:rsidRDefault="003D7A5F" w:rsidP="003D7A5F">
      <w:pPr>
        <w:pStyle w:val="ListParagraph"/>
        <w:numPr>
          <w:ilvl w:val="1"/>
          <w:numId w:val="30"/>
        </w:numPr>
        <w:spacing w:line="259" w:lineRule="auto"/>
        <w:contextualSpacing/>
        <w:rPr>
          <w:rFonts w:cs="Arial"/>
          <w:color w:val="000000"/>
          <w:szCs w:val="21"/>
        </w:rPr>
      </w:pPr>
      <w:r w:rsidRPr="00C7138D">
        <w:rPr>
          <w:rFonts w:cs="Arial"/>
          <w:color w:val="000000"/>
          <w:szCs w:val="21"/>
        </w:rPr>
        <w:t>Farxiga (dapagliflozin); BP</w:t>
      </w:r>
    </w:p>
    <w:p w14:paraId="47DBACD9" w14:textId="77777777" w:rsidR="003D7A5F" w:rsidRPr="00B7619C" w:rsidRDefault="003D7A5F" w:rsidP="003D7A5F">
      <w:pPr>
        <w:pStyle w:val="Heading2"/>
      </w:pPr>
      <w:r w:rsidRPr="00B7619C">
        <w:t>Updated MassHealth Supplemental Rebate/Preferred Drug List</w:t>
      </w:r>
    </w:p>
    <w:p w14:paraId="5182CD55" w14:textId="77777777" w:rsidR="003D7A5F" w:rsidRPr="00B7619C" w:rsidRDefault="003D7A5F" w:rsidP="003D7A5F">
      <w:pPr>
        <w:spacing w:before="120" w:line="259" w:lineRule="auto"/>
        <w:contextualSpacing/>
        <w:rPr>
          <w:rFonts w:cs="Arial"/>
        </w:rPr>
      </w:pPr>
      <w:r w:rsidRPr="00B7619C">
        <w:rPr>
          <w:rFonts w:cs="Arial"/>
        </w:rPr>
        <w:t>The MassHealth Supplemental Rebate/Preferred Drug List has been updated to reflect recent changes to the MassHealth Drug List.</w:t>
      </w:r>
    </w:p>
    <w:p w14:paraId="220C212E" w14:textId="4FCF8DC0" w:rsidR="003D7A5F" w:rsidRPr="00B7619C" w:rsidRDefault="003D7A5F" w:rsidP="003D7A5F">
      <w:pPr>
        <w:numPr>
          <w:ilvl w:val="0"/>
          <w:numId w:val="31"/>
        </w:numPr>
        <w:spacing w:line="259" w:lineRule="auto"/>
        <w:contextualSpacing/>
        <w:rPr>
          <w:rFonts w:cs="Arial"/>
        </w:rPr>
      </w:pPr>
      <w:r w:rsidRPr="00B7619C">
        <w:rPr>
          <w:rFonts w:cs="Arial"/>
        </w:rPr>
        <w:t xml:space="preserve">Effective April 1, 2026, the following antiretroviral agent </w:t>
      </w:r>
      <w:r w:rsidR="001C6362">
        <w:rPr>
          <w:rFonts w:cs="Arial"/>
        </w:rPr>
        <w:t>were</w:t>
      </w:r>
      <w:r w:rsidRPr="00B7619C">
        <w:rPr>
          <w:rFonts w:cs="Arial"/>
        </w:rPr>
        <w:t xml:space="preserve"> added to the MassHealth Supplemental Rebate/Preferred Drug List. </w:t>
      </w:r>
    </w:p>
    <w:p w14:paraId="46619962" w14:textId="77777777" w:rsidR="003D7A5F" w:rsidRPr="00B7619C" w:rsidRDefault="003D7A5F" w:rsidP="003D7A5F">
      <w:pPr>
        <w:numPr>
          <w:ilvl w:val="0"/>
          <w:numId w:val="2"/>
        </w:numPr>
        <w:spacing w:line="259" w:lineRule="auto"/>
        <w:ind w:left="1080"/>
        <w:contextualSpacing/>
        <w:rPr>
          <w:rFonts w:cs="Arial"/>
          <w:bCs/>
        </w:rPr>
      </w:pPr>
      <w:r w:rsidRPr="00B7619C">
        <w:rPr>
          <w:rFonts w:cs="Arial"/>
          <w:bCs/>
        </w:rPr>
        <w:t>Y</w:t>
      </w:r>
      <w:r w:rsidRPr="00B7619C">
        <w:rPr>
          <w:rFonts w:cs="Arial"/>
        </w:rPr>
        <w:t xml:space="preserve">eztugo (lenacapavir) </w:t>
      </w:r>
      <w:r w:rsidRPr="00B7619C">
        <w:rPr>
          <w:rFonts w:cs="Arial"/>
          <w:vertAlign w:val="superscript"/>
        </w:rPr>
        <w:t xml:space="preserve">PD </w:t>
      </w:r>
      <w:r w:rsidRPr="00B7619C">
        <w:rPr>
          <w:rFonts w:cs="Arial"/>
        </w:rPr>
        <w:t xml:space="preserve"> </w:t>
      </w:r>
    </w:p>
    <w:p w14:paraId="29461CDE" w14:textId="687DE673" w:rsidR="003D7A5F" w:rsidRPr="00B7619C" w:rsidRDefault="003D7A5F" w:rsidP="003D7A5F">
      <w:pPr>
        <w:numPr>
          <w:ilvl w:val="0"/>
          <w:numId w:val="31"/>
        </w:numPr>
        <w:spacing w:line="259" w:lineRule="auto"/>
        <w:contextualSpacing/>
        <w:rPr>
          <w:rFonts w:cs="Arial"/>
        </w:rPr>
      </w:pPr>
      <w:r w:rsidRPr="00B7619C">
        <w:rPr>
          <w:rFonts w:cs="Arial"/>
        </w:rPr>
        <w:t xml:space="preserve">Effective April 1, 2026, the following targeted immunomodulators </w:t>
      </w:r>
      <w:r w:rsidR="00F3158E">
        <w:rPr>
          <w:rFonts w:cs="Arial"/>
        </w:rPr>
        <w:t>were</w:t>
      </w:r>
      <w:r w:rsidRPr="00B7619C">
        <w:rPr>
          <w:rFonts w:cs="Arial"/>
        </w:rPr>
        <w:t xml:space="preserve"> removed from the MassHealth Supplemental Rebate/Preferred Drug List. </w:t>
      </w:r>
    </w:p>
    <w:p w14:paraId="01CE4971" w14:textId="77777777" w:rsidR="003D7A5F" w:rsidRPr="00B7619C" w:rsidRDefault="003D7A5F" w:rsidP="003D7A5F">
      <w:pPr>
        <w:numPr>
          <w:ilvl w:val="0"/>
          <w:numId w:val="6"/>
        </w:numPr>
        <w:spacing w:line="259" w:lineRule="auto"/>
        <w:contextualSpacing/>
        <w:rPr>
          <w:rFonts w:cs="Arial"/>
        </w:rPr>
      </w:pPr>
      <w:r w:rsidRPr="00B7619C">
        <w:rPr>
          <w:rFonts w:cs="Arial"/>
        </w:rPr>
        <w:t xml:space="preserve">Humira (adalimumab) – </w:t>
      </w:r>
      <w:r w:rsidRPr="00B7619C">
        <w:rPr>
          <w:rFonts w:cs="Arial"/>
          <w:b/>
        </w:rPr>
        <w:t>PA</w:t>
      </w:r>
    </w:p>
    <w:p w14:paraId="61E430E4" w14:textId="77777777" w:rsidR="003D7A5F" w:rsidRPr="00B7619C" w:rsidRDefault="003D7A5F" w:rsidP="003D7A5F">
      <w:pPr>
        <w:numPr>
          <w:ilvl w:val="0"/>
          <w:numId w:val="6"/>
        </w:numPr>
        <w:spacing w:line="259" w:lineRule="auto"/>
        <w:contextualSpacing/>
        <w:rPr>
          <w:rFonts w:cs="Arial"/>
        </w:rPr>
      </w:pPr>
      <w:r w:rsidRPr="00B7619C">
        <w:rPr>
          <w:rFonts w:cs="Arial"/>
        </w:rPr>
        <w:t>Stelara (ustekinumab 45 mg/0.5 mL prefilled syringe, 90 mg/mL prefilled syringe, 45 mg/0.5 mL vial)</w:t>
      </w:r>
      <w:r w:rsidRPr="00B7619C">
        <w:rPr>
          <w:rFonts w:cs="Arial"/>
          <w:vertAlign w:val="superscript"/>
        </w:rPr>
        <w:t xml:space="preserve">  </w:t>
      </w:r>
      <w:r w:rsidRPr="00B7619C">
        <w:rPr>
          <w:rFonts w:cs="Arial"/>
        </w:rPr>
        <w:t xml:space="preserve">– </w:t>
      </w:r>
      <w:r w:rsidRPr="00B7619C">
        <w:rPr>
          <w:rFonts w:cs="Arial"/>
          <w:b/>
        </w:rPr>
        <w:t>PA</w:t>
      </w:r>
    </w:p>
    <w:p w14:paraId="5163F8A7" w14:textId="77777777" w:rsidR="003D7A5F" w:rsidRDefault="003D7A5F" w:rsidP="003D7A5F">
      <w:pPr>
        <w:spacing w:line="259" w:lineRule="auto"/>
        <w:contextualSpacing/>
        <w:rPr>
          <w:rFonts w:cs="Arial"/>
        </w:rPr>
      </w:pPr>
    </w:p>
    <w:p w14:paraId="5664B1A1" w14:textId="77777777" w:rsidR="00354588" w:rsidRDefault="00354588" w:rsidP="003D7A5F">
      <w:pPr>
        <w:spacing w:line="259" w:lineRule="auto"/>
        <w:contextualSpacing/>
        <w:rPr>
          <w:rFonts w:cs="Arial"/>
        </w:rPr>
      </w:pPr>
    </w:p>
    <w:p w14:paraId="2F466B5B" w14:textId="77777777" w:rsidR="00354588" w:rsidRDefault="00354588" w:rsidP="003D7A5F">
      <w:pPr>
        <w:spacing w:line="259" w:lineRule="auto"/>
        <w:contextualSpacing/>
        <w:rPr>
          <w:rFonts w:cs="Arial"/>
        </w:rPr>
      </w:pPr>
    </w:p>
    <w:p w14:paraId="50E16AD9" w14:textId="77777777" w:rsidR="00354588" w:rsidRDefault="00354588" w:rsidP="003D7A5F">
      <w:pPr>
        <w:spacing w:line="259" w:lineRule="auto"/>
        <w:contextualSpacing/>
        <w:rPr>
          <w:rFonts w:cs="Arial"/>
        </w:rPr>
      </w:pPr>
    </w:p>
    <w:p w14:paraId="3B7499E5" w14:textId="77777777" w:rsidR="00354588" w:rsidRDefault="00354588" w:rsidP="003D7A5F">
      <w:pPr>
        <w:spacing w:line="259" w:lineRule="auto"/>
        <w:contextualSpacing/>
        <w:rPr>
          <w:rFonts w:cs="Arial"/>
        </w:rPr>
      </w:pPr>
    </w:p>
    <w:p w14:paraId="65394E68" w14:textId="77777777" w:rsidR="00354588" w:rsidRDefault="00354588" w:rsidP="003D7A5F">
      <w:pPr>
        <w:spacing w:line="259" w:lineRule="auto"/>
        <w:contextualSpacing/>
        <w:rPr>
          <w:rFonts w:cs="Arial"/>
        </w:rPr>
      </w:pPr>
    </w:p>
    <w:p w14:paraId="2867835A" w14:textId="77777777" w:rsidR="00354588" w:rsidRDefault="00354588" w:rsidP="003D7A5F">
      <w:pPr>
        <w:spacing w:line="259" w:lineRule="auto"/>
        <w:contextualSpacing/>
        <w:rPr>
          <w:rFonts w:cs="Arial"/>
        </w:rPr>
      </w:pPr>
    </w:p>
    <w:p w14:paraId="0A34878E" w14:textId="77777777" w:rsidR="00354588" w:rsidRPr="005C3BE9" w:rsidRDefault="00354588" w:rsidP="003D7A5F">
      <w:pPr>
        <w:spacing w:line="259" w:lineRule="auto"/>
        <w:contextualSpacing/>
        <w:rPr>
          <w:rFonts w:cs="Arial"/>
        </w:rPr>
        <w:sectPr w:rsidR="00354588" w:rsidRPr="005C3BE9" w:rsidSect="003D7A5F">
          <w:headerReference w:type="default" r:id="rId13"/>
          <w:footerReference w:type="default" r:id="rId14"/>
          <w:type w:val="continuous"/>
          <w:pgSz w:w="12240" w:h="15840" w:code="1"/>
          <w:pgMar w:top="360" w:right="907" w:bottom="446" w:left="907" w:header="0" w:footer="576" w:gutter="0"/>
          <w:cols w:space="720"/>
          <w:docGrid w:linePitch="360"/>
        </w:sectPr>
      </w:pPr>
    </w:p>
    <w:p w14:paraId="3CB2EE89" w14:textId="659BC612" w:rsidR="00354588" w:rsidRPr="005C3BE9" w:rsidRDefault="00354588" w:rsidP="00354588">
      <w:pPr>
        <w:pStyle w:val="Heading2"/>
      </w:pPr>
      <w:r w:rsidRPr="00E64440">
        <w:lastRenderedPageBreak/>
        <w:t xml:space="preserve">Abbreviations, Acronyms, and Symbols </w:t>
      </w:r>
    </w:p>
    <w:p w14:paraId="3775D3F0" w14:textId="77777777" w:rsidR="00354588" w:rsidRPr="006D72AD" w:rsidRDefault="00354588" w:rsidP="00354588">
      <w:pPr>
        <w:shd w:val="clear" w:color="auto" w:fill="FFFFFF"/>
        <w:tabs>
          <w:tab w:val="left" w:pos="180"/>
          <w:tab w:val="left" w:pos="360"/>
        </w:tabs>
        <w:spacing w:after="160" w:line="240" w:lineRule="auto"/>
        <w:ind w:left="274" w:hanging="360"/>
        <w:rPr>
          <w:sz w:val="18"/>
          <w:szCs w:val="18"/>
        </w:rPr>
      </w:pPr>
      <w:r w:rsidRPr="006D72AD">
        <w:rPr>
          <w:sz w:val="18"/>
          <w:szCs w:val="18"/>
        </w:rPr>
        <w:t xml:space="preserve"># Designates a brand-name drug with FDA “A”-rated generic equivalents. Prior authorization is required for the brand, unless a particular form of that drug (for example, tablet, capsule, or liquid) does not have an FDA “A”-rated generic equivalent. </w:t>
      </w:r>
    </w:p>
    <w:p w14:paraId="3E5073AE" w14:textId="77777777" w:rsidR="00354588" w:rsidRPr="006D72AD" w:rsidRDefault="00354588" w:rsidP="00354588">
      <w:pPr>
        <w:shd w:val="clear" w:color="auto" w:fill="FFFFFF"/>
        <w:tabs>
          <w:tab w:val="left" w:pos="180"/>
          <w:tab w:val="left" w:pos="360"/>
        </w:tabs>
        <w:spacing w:after="160"/>
        <w:ind w:left="274" w:hanging="360"/>
        <w:rPr>
          <w:sz w:val="18"/>
          <w:szCs w:val="18"/>
        </w:rPr>
      </w:pPr>
      <w:r w:rsidRPr="006D72AD">
        <w:rPr>
          <w:sz w:val="18"/>
          <w:szCs w:val="18"/>
        </w:rPr>
        <w:t>MB This drug is available through the healthcare professional who administers the drug or in an outpatient or inpatient hospital setting. MassHealth does not pay for this drug to be dispensed through the retail pharmacy. If listed, PA does not apply through the hospital outpatient and inpatient settings. Please refer to 130 CMR 433.408 for PA requirements for other healthcare professionals. Notwithstanding the above, this drug may be an exception to the unified pharmacy policy; please refer to respective MassHealth Accountable Care Partnership Plans (ACPPs) and Managed Care Organizations (MCOs) for PA status and criteria, if applicable.</w:t>
      </w:r>
    </w:p>
    <w:p w14:paraId="2F72BDB8" w14:textId="77777777" w:rsidR="00354588" w:rsidRPr="006D72AD" w:rsidRDefault="00354588" w:rsidP="00354588">
      <w:pPr>
        <w:shd w:val="clear" w:color="auto" w:fill="FFFFFF"/>
        <w:tabs>
          <w:tab w:val="left" w:pos="180"/>
          <w:tab w:val="left" w:pos="360"/>
        </w:tabs>
        <w:spacing w:after="160" w:line="240" w:lineRule="auto"/>
        <w:ind w:left="274" w:hanging="360"/>
        <w:rPr>
          <w:sz w:val="18"/>
          <w:szCs w:val="18"/>
        </w:rPr>
      </w:pPr>
      <w:r w:rsidRPr="006D72AD">
        <w:rPr>
          <w:sz w:val="18"/>
          <w:szCs w:val="18"/>
        </w:rPr>
        <w:t xml:space="preserve">PA Prior authorization is required. The prescriber must obtain PA for the drug in order for the provider to receive reimbursement. Note: PA applies to both the brand-name and the FDA “A”-rated generic equivalent of listed product. </w:t>
      </w:r>
    </w:p>
    <w:p w14:paraId="5FE4F7B6" w14:textId="77777777" w:rsidR="00354588" w:rsidRPr="006D72AD" w:rsidRDefault="00354588" w:rsidP="00354588">
      <w:pPr>
        <w:shd w:val="clear" w:color="auto" w:fill="FFFFFF"/>
        <w:tabs>
          <w:tab w:val="left" w:pos="180"/>
          <w:tab w:val="left" w:pos="360"/>
        </w:tabs>
        <w:spacing w:after="160" w:line="240" w:lineRule="auto"/>
        <w:ind w:left="274" w:hanging="360"/>
        <w:rPr>
          <w:sz w:val="18"/>
          <w:szCs w:val="18"/>
        </w:rPr>
      </w:pPr>
      <w:r w:rsidRPr="006D72AD">
        <w:rPr>
          <w:sz w:val="18"/>
          <w:szCs w:val="18"/>
        </w:rPr>
        <w:t>A90</w:t>
      </w:r>
      <w:r w:rsidRPr="00BB1FDB">
        <w:rPr>
          <w:sz w:val="18"/>
          <w:szCs w:val="18"/>
        </w:rPr>
        <w:t xml:space="preserve"> </w:t>
      </w:r>
      <w:r w:rsidRPr="006D72AD">
        <w:rPr>
          <w:sz w:val="18"/>
          <w:szCs w:val="18"/>
        </w:rPr>
        <w:t xml:space="preserve">Allowable 90-day supply. Dispensing in up to a 90-day supply is allowed. May not include all strengths or formulations. Quantity limits and other restrictions may apply. </w:t>
      </w:r>
    </w:p>
    <w:p w14:paraId="6DFFDFF9" w14:textId="77777777" w:rsidR="00354588" w:rsidRPr="006D72AD" w:rsidRDefault="00354588" w:rsidP="00354588">
      <w:pPr>
        <w:shd w:val="clear" w:color="auto" w:fill="FFFFFF"/>
        <w:tabs>
          <w:tab w:val="left" w:pos="180"/>
          <w:tab w:val="left" w:pos="360"/>
        </w:tabs>
        <w:spacing w:after="160" w:line="240" w:lineRule="auto"/>
        <w:ind w:left="274" w:hanging="360"/>
        <w:rPr>
          <w:sz w:val="18"/>
          <w:szCs w:val="18"/>
        </w:rPr>
      </w:pPr>
      <w:r w:rsidRPr="006D72AD">
        <w:rPr>
          <w:sz w:val="18"/>
          <w:szCs w:val="18"/>
        </w:rPr>
        <w:t>BP Brand Preferred over generic equivalents. In general, MassHealth requires a trial of the preferred drug or clinical rationale for prescribing the non-preferred drug generic equivalent.</w:t>
      </w:r>
    </w:p>
    <w:p w14:paraId="0C405204" w14:textId="77777777" w:rsidR="00354588" w:rsidRPr="006D72AD" w:rsidRDefault="00354588" w:rsidP="00354588">
      <w:pPr>
        <w:shd w:val="clear" w:color="auto" w:fill="FFFFFF"/>
        <w:tabs>
          <w:tab w:val="left" w:pos="180"/>
          <w:tab w:val="left" w:pos="360"/>
        </w:tabs>
        <w:spacing w:after="160" w:line="240" w:lineRule="auto"/>
        <w:ind w:left="274" w:hanging="360"/>
        <w:rPr>
          <w:sz w:val="18"/>
          <w:szCs w:val="18"/>
        </w:rPr>
      </w:pPr>
      <w:bookmarkStart w:id="8" w:name="_Hlk99013636"/>
      <w:r w:rsidRPr="006D72AD">
        <w:rPr>
          <w:sz w:val="18"/>
          <w:szCs w:val="18"/>
        </w:rPr>
        <w:t xml:space="preserve">M90 Mandatory 90-day supply. After dispensing up to a 30-day supply initial fill, dispensing in a 90-day supply is required. May not include all strengths or formulations. Quantity limits and other restrictions may also apply. </w:t>
      </w:r>
    </w:p>
    <w:p w14:paraId="1A970EFD" w14:textId="77777777" w:rsidR="00354588" w:rsidRDefault="00354588" w:rsidP="00354588">
      <w:pPr>
        <w:spacing w:after="120" w:line="240" w:lineRule="auto"/>
        <w:ind w:left="270" w:hanging="360"/>
        <w:rPr>
          <w:sz w:val="18"/>
          <w:szCs w:val="18"/>
        </w:rPr>
      </w:pPr>
      <w:r w:rsidRPr="006D72AD">
        <w:rPr>
          <w:rFonts w:eastAsia="Calibri" w:cs="Arial"/>
          <w:bCs/>
          <w:sz w:val="18"/>
          <w:szCs w:val="18"/>
        </w:rPr>
        <w:t>PD</w:t>
      </w:r>
      <w:r w:rsidRPr="006D72AD">
        <w:rPr>
          <w:rFonts w:eastAsia="Calibri" w:cs="Arial"/>
          <w:bCs/>
          <w:szCs w:val="22"/>
        </w:rPr>
        <w:t xml:space="preserve"> </w:t>
      </w:r>
      <w:r w:rsidRPr="006D72AD">
        <w:rPr>
          <w:rFonts w:eastAsia="Calibri" w:cs="Arial"/>
          <w:sz w:val="18"/>
          <w:szCs w:val="18"/>
        </w:rPr>
        <w:t xml:space="preserve">Preferred Drug. In general, MassHealth requires a trial of the preferred drug or clinical rationale for prescribing a non-preferred </w:t>
      </w:r>
      <w:r w:rsidRPr="00BB1FDB">
        <w:rPr>
          <w:sz w:val="18"/>
          <w:szCs w:val="18"/>
        </w:rPr>
        <w:t>drug within a therapeutic class.</w:t>
      </w:r>
      <w:bookmarkEnd w:id="8"/>
    </w:p>
    <w:p w14:paraId="3026C7D8" w14:textId="77777777" w:rsidR="00354588" w:rsidRDefault="00354588" w:rsidP="00354588">
      <w:pPr>
        <w:spacing w:after="120" w:line="240" w:lineRule="auto"/>
        <w:ind w:left="270" w:hanging="360"/>
        <w:rPr>
          <w:rFonts w:eastAsia="Calibri" w:cs="Arial"/>
          <w:bCs/>
          <w:sz w:val="18"/>
          <w:szCs w:val="18"/>
        </w:rPr>
        <w:sectPr w:rsidR="00354588" w:rsidSect="00354588">
          <w:footerReference w:type="default" r:id="rId15"/>
          <w:type w:val="continuous"/>
          <w:pgSz w:w="12240" w:h="15840" w:code="1"/>
          <w:pgMar w:top="360" w:right="907" w:bottom="446" w:left="907" w:header="0" w:footer="576" w:gutter="0"/>
          <w:cols w:space="720"/>
          <w:docGrid w:linePitch="360"/>
        </w:sectPr>
      </w:pPr>
    </w:p>
    <w:p w14:paraId="5ACD6B54" w14:textId="77777777" w:rsidR="00354588" w:rsidRPr="00A52375" w:rsidRDefault="00354588" w:rsidP="00354588">
      <w:pPr>
        <w:spacing w:after="120" w:line="240" w:lineRule="auto"/>
        <w:ind w:left="270" w:hanging="360"/>
        <w:rPr>
          <w:rFonts w:eastAsia="Calibri" w:cs="Arial"/>
          <w:bCs/>
          <w:sz w:val="18"/>
          <w:szCs w:val="18"/>
        </w:rPr>
      </w:pPr>
    </w:p>
    <w:p w14:paraId="713969F9" w14:textId="77777777" w:rsidR="00A650DC" w:rsidRPr="001721D8" w:rsidRDefault="00A650DC" w:rsidP="00354588">
      <w:pPr>
        <w:shd w:val="clear" w:color="auto" w:fill="FFFFFF"/>
        <w:tabs>
          <w:tab w:val="left" w:pos="180"/>
          <w:tab w:val="left" w:pos="360"/>
        </w:tabs>
        <w:ind w:left="270" w:hanging="360"/>
      </w:pPr>
    </w:p>
    <w:sectPr w:rsidR="00A650DC" w:rsidRPr="001721D8" w:rsidSect="00354588">
      <w:headerReference w:type="default" r:id="rId16"/>
      <w:footerReference w:type="default" r:id="rId17"/>
      <w:type w:val="continuous"/>
      <w:pgSz w:w="12240" w:h="15840" w:code="1"/>
      <w:pgMar w:top="360" w:right="907" w:bottom="720" w:left="907" w:header="720" w:footer="576"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C45D6" w14:textId="77777777" w:rsidR="00DE11BB" w:rsidRDefault="00DE11BB" w:rsidP="00492602">
      <w:r>
        <w:separator/>
      </w:r>
    </w:p>
  </w:endnote>
  <w:endnote w:type="continuationSeparator" w:id="0">
    <w:p w14:paraId="1F5701C5" w14:textId="77777777" w:rsidR="00DE11BB" w:rsidRDefault="00DE11BB"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278A" w14:textId="77777777"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0B35B" w14:textId="77777777" w:rsidR="00637A67" w:rsidRDefault="00637A67">
    <w:pPr>
      <w:pStyle w:val="Footer"/>
    </w:pPr>
    <w:r>
      <w:t>[Type text]</w:t>
    </w:r>
  </w:p>
  <w:p w14:paraId="06CD7D62"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0A79" w14:textId="77777777" w:rsidR="003D7A5F" w:rsidRPr="00D11DC6" w:rsidRDefault="003D7A5F" w:rsidP="00B507AA">
    <w:pPr>
      <w:pBdr>
        <w:top w:val="single" w:sz="18" w:space="1" w:color="auto"/>
      </w:pBdr>
      <w:tabs>
        <w:tab w:val="left" w:pos="-90"/>
        <w:tab w:val="left" w:pos="530"/>
        <w:tab w:val="center" w:pos="5400"/>
      </w:tabs>
      <w:autoSpaceDE w:val="0"/>
      <w:autoSpaceDN w:val="0"/>
      <w:adjustRightInd w:val="0"/>
      <w:spacing w:line="240" w:lineRule="auto"/>
      <w:jc w:val="center"/>
      <w:textAlignment w:val="baseline"/>
      <w:rPr>
        <w:rFonts w:cs="Arial"/>
        <w:iCs/>
        <w:sz w:val="18"/>
        <w:szCs w:val="18"/>
      </w:rPr>
    </w:pPr>
    <w:r w:rsidRPr="00EC7147">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B68C2" w14:textId="77777777" w:rsidR="00354588" w:rsidRPr="00D11DC6" w:rsidRDefault="00354588" w:rsidP="00A946BB">
    <w:pPr>
      <w:pBdr>
        <w:top w:val="single" w:sz="18" w:space="1" w:color="auto"/>
      </w:pBdr>
      <w:tabs>
        <w:tab w:val="left" w:pos="-90"/>
        <w:tab w:val="left" w:pos="530"/>
        <w:tab w:val="center" w:pos="5400"/>
      </w:tabs>
      <w:autoSpaceDE w:val="0"/>
      <w:autoSpaceDN w:val="0"/>
      <w:adjustRightInd w:val="0"/>
      <w:spacing w:line="240" w:lineRule="auto"/>
      <w:jc w:val="center"/>
      <w:textAlignment w:val="baseline"/>
      <w:rPr>
        <w:rFonts w:cs="Arial"/>
        <w:iCs/>
        <w:sz w:val="18"/>
        <w:szCs w:val="18"/>
      </w:rPr>
    </w:pPr>
    <w:r w:rsidRPr="00EC7147">
      <w:t xml:space="preserve"> </w:t>
    </w:r>
    <w:r>
      <w:tab/>
    </w:r>
    <w:r w:rsidRPr="00D11DC6">
      <w:rPr>
        <w:rFonts w:cs="Arial"/>
        <w:iCs/>
        <w:sz w:val="18"/>
        <w:szCs w:val="18"/>
      </w:rPr>
      <w:t>Please direct any questions or comments (or to be removed from this fax distribution) to</w:t>
    </w:r>
  </w:p>
  <w:p w14:paraId="060E9BE5" w14:textId="77777777" w:rsidR="00354588" w:rsidRPr="00D11DC6" w:rsidRDefault="00354588" w:rsidP="00A946BB">
    <w:pPr>
      <w:pBdr>
        <w:top w:val="single" w:sz="18" w:space="1" w:color="auto"/>
      </w:pBdr>
      <w:tabs>
        <w:tab w:val="left" w:pos="-90"/>
        <w:tab w:val="left" w:pos="530"/>
        <w:tab w:val="center" w:pos="5400"/>
      </w:tabs>
      <w:autoSpaceDE w:val="0"/>
      <w:autoSpaceDN w:val="0"/>
      <w:adjustRightInd w:val="0"/>
      <w:spacing w:line="240" w:lineRule="auto"/>
      <w:jc w:val="center"/>
      <w:textAlignment w:val="baseline"/>
      <w:rPr>
        <w:rFonts w:cs="Arial"/>
        <w:iCs/>
        <w:sz w:val="18"/>
        <w:szCs w:val="18"/>
      </w:rPr>
    </w:pPr>
    <w:hyperlink r:id="rId1" w:history="1">
      <w:r w:rsidRPr="00473CC9">
        <w:rPr>
          <w:rStyle w:val="Hyperlink"/>
          <w:rFonts w:cs="Arial"/>
          <w:iCs/>
          <w:sz w:val="18"/>
          <w:szCs w:val="18"/>
        </w:rPr>
        <w:t>PharmFactsMA@Conduent.com</w:t>
      </w:r>
    </w:hyperlink>
    <w:r>
      <w:rPr>
        <w:rFonts w:cs="Arial"/>
        <w:iCs/>
        <w:sz w:val="18"/>
        <w:szCs w:val="18"/>
      </w:rPr>
      <w:t>.</w:t>
    </w:r>
    <w:r w:rsidRPr="00D11DC6">
      <w:rPr>
        <w:rFonts w:cs="Arial"/>
        <w:iCs/>
        <w:sz w:val="18"/>
        <w:szCs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F0CE2" w14:textId="77777777" w:rsidR="00FE5811" w:rsidRDefault="00FE5811" w:rsidP="00FE5811">
    <w:pPr>
      <w:pBdr>
        <w:top w:val="single" w:sz="18" w:space="1" w:color="auto"/>
      </w:pBdr>
      <w:tabs>
        <w:tab w:val="left" w:pos="-90"/>
        <w:tab w:val="left" w:pos="530"/>
        <w:tab w:val="center" w:pos="5400"/>
      </w:tabs>
      <w:autoSpaceDE w:val="0"/>
      <w:autoSpaceDN w:val="0"/>
      <w:adjustRightInd w:val="0"/>
      <w:jc w:val="center"/>
      <w:textAlignment w:val="baseline"/>
      <w:rPr>
        <w:rFonts w:cs="Arial"/>
        <w:iCs/>
        <w:sz w:val="18"/>
        <w:szCs w:val="18"/>
      </w:rPr>
    </w:pPr>
    <w:r>
      <w:rPr>
        <w:rFonts w:cs="Arial"/>
        <w:iCs/>
        <w:sz w:val="18"/>
        <w:szCs w:val="18"/>
      </w:rPr>
      <w:t>Please direct any</w:t>
    </w:r>
    <w:r w:rsidRPr="002D3600">
      <w:rPr>
        <w:rFonts w:cs="Arial"/>
        <w:iCs/>
        <w:sz w:val="18"/>
        <w:szCs w:val="18"/>
      </w:rPr>
      <w:t xml:space="preserve"> questions or comments</w:t>
    </w:r>
    <w:r>
      <w:rPr>
        <w:rFonts w:cs="Arial"/>
        <w:iCs/>
        <w:sz w:val="18"/>
        <w:szCs w:val="18"/>
      </w:rPr>
      <w:t xml:space="preserve"> (or </w:t>
    </w:r>
    <w:r w:rsidRPr="002D3600">
      <w:rPr>
        <w:rFonts w:cs="Arial"/>
        <w:iCs/>
        <w:sz w:val="18"/>
        <w:szCs w:val="18"/>
      </w:rPr>
      <w:t>to be removed from this fax distribution</w:t>
    </w:r>
    <w:r>
      <w:rPr>
        <w:rFonts w:cs="Arial"/>
        <w:iCs/>
        <w:sz w:val="18"/>
        <w:szCs w:val="18"/>
      </w:rPr>
      <w:t>)</w:t>
    </w:r>
    <w:r w:rsidRPr="002D3600">
      <w:rPr>
        <w:rFonts w:cs="Arial"/>
        <w:iCs/>
        <w:sz w:val="18"/>
        <w:szCs w:val="18"/>
      </w:rPr>
      <w:t xml:space="preserve"> </w:t>
    </w:r>
    <w:r>
      <w:rPr>
        <w:rFonts w:cs="Arial"/>
        <w:iCs/>
        <w:sz w:val="18"/>
        <w:szCs w:val="18"/>
      </w:rPr>
      <w:t>to</w:t>
    </w:r>
  </w:p>
  <w:p w14:paraId="080F3C14" w14:textId="0F4FAACF" w:rsidR="00637A67" w:rsidRPr="00FE5811" w:rsidRDefault="00FE5811" w:rsidP="00FE5811">
    <w:pPr>
      <w:tabs>
        <w:tab w:val="left" w:pos="-90"/>
      </w:tabs>
      <w:autoSpaceDE w:val="0"/>
      <w:autoSpaceDN w:val="0"/>
      <w:adjustRightInd w:val="0"/>
      <w:jc w:val="center"/>
      <w:textAlignment w:val="baseline"/>
    </w:pPr>
    <w:hyperlink r:id="rId1" w:history="1">
      <w:r w:rsidRPr="00386AF8">
        <w:rPr>
          <w:rStyle w:val="Hyperlink"/>
          <w:rFonts w:cs="Arial"/>
          <w:iCs/>
          <w:sz w:val="18"/>
          <w:szCs w:val="18"/>
        </w:rPr>
        <w:t>PharmFactsMA@Conduent.com</w:t>
      </w:r>
    </w:hyperlink>
    <w:r>
      <w:rPr>
        <w:rFonts w:cs="Arial"/>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B7C86" w14:textId="77777777" w:rsidR="00DE11BB" w:rsidRDefault="00DE11BB" w:rsidP="00492602">
      <w:r>
        <w:separator/>
      </w:r>
    </w:p>
  </w:footnote>
  <w:footnote w:type="continuationSeparator" w:id="0">
    <w:p w14:paraId="19056AAD" w14:textId="77777777" w:rsidR="00DE11BB" w:rsidRDefault="00DE11BB"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CA5C" w14:textId="77777777" w:rsidR="00492602" w:rsidRDefault="00492602" w:rsidP="00492602">
    <w:pPr>
      <w:pStyle w:val="Header"/>
    </w:pPr>
  </w:p>
  <w:p w14:paraId="70381DC3" w14:textId="77777777" w:rsidR="00492602" w:rsidRDefault="00492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0C35" w14:textId="31D4B87A" w:rsidR="003D7A5F" w:rsidRDefault="003D7A5F" w:rsidP="00BB1FDB">
    <w:pPr>
      <w:pStyle w:val="Default"/>
      <w:pBdr>
        <w:bottom w:val="single" w:sz="18" w:space="1" w:color="auto"/>
      </w:pBdr>
      <w:tabs>
        <w:tab w:val="right" w:pos="10440"/>
      </w:tabs>
      <w:spacing w:before="480" w:after="240"/>
      <w:rPr>
        <w:color w:val="FF0000"/>
        <w:sz w:val="18"/>
        <w:szCs w:val="18"/>
      </w:rPr>
    </w:pPr>
    <w:r w:rsidRPr="00AD18B8">
      <w:rPr>
        <w:sz w:val="18"/>
        <w:szCs w:val="18"/>
      </w:rPr>
      <w:t>P</w:t>
    </w:r>
    <w:r>
      <w:rPr>
        <w:sz w:val="18"/>
        <w:szCs w:val="18"/>
      </w:rPr>
      <w:t xml:space="preserve">harmacy Facts, </w:t>
    </w:r>
    <w:r w:rsidRPr="009437DF">
      <w:rPr>
        <w:color w:val="auto"/>
        <w:sz w:val="18"/>
        <w:szCs w:val="18"/>
      </w:rPr>
      <w:t xml:space="preserve">Number </w:t>
    </w:r>
    <w:r w:rsidR="00F3158E">
      <w:rPr>
        <w:color w:val="auto"/>
        <w:sz w:val="18"/>
        <w:szCs w:val="18"/>
      </w:rPr>
      <w:t>272</w:t>
    </w:r>
    <w:r>
      <w:rPr>
        <w:color w:val="FF0000"/>
        <w:sz w:val="18"/>
        <w:szCs w:val="18"/>
      </w:rPr>
      <w:tab/>
    </w:r>
    <w:r w:rsidRPr="00EC1948">
      <w:rPr>
        <w:color w:val="auto"/>
        <w:sz w:val="18"/>
        <w:szCs w:val="18"/>
      </w:rPr>
      <w:t xml:space="preserve">Page </w:t>
    </w:r>
    <w:r w:rsidRPr="00EC1948">
      <w:rPr>
        <w:color w:val="auto"/>
        <w:sz w:val="18"/>
        <w:szCs w:val="18"/>
      </w:rPr>
      <w:fldChar w:fldCharType="begin"/>
    </w:r>
    <w:r w:rsidRPr="00EC1948">
      <w:rPr>
        <w:color w:val="auto"/>
        <w:sz w:val="18"/>
        <w:szCs w:val="18"/>
      </w:rPr>
      <w:instrText xml:space="preserve"> PAGE   \* MERGEFORMAT </w:instrText>
    </w:r>
    <w:r w:rsidRPr="00EC1948">
      <w:rPr>
        <w:color w:val="auto"/>
        <w:sz w:val="18"/>
        <w:szCs w:val="18"/>
      </w:rPr>
      <w:fldChar w:fldCharType="separate"/>
    </w:r>
    <w:r>
      <w:rPr>
        <w:noProof/>
        <w:color w:val="auto"/>
        <w:sz w:val="18"/>
        <w:szCs w:val="18"/>
      </w:rPr>
      <w:t>2</w:t>
    </w:r>
    <w:r w:rsidRPr="00EC1948">
      <w:rPr>
        <w:noProof/>
        <w:color w:val="auto"/>
        <w:sz w:val="18"/>
        <w:szCs w:val="18"/>
      </w:rPr>
      <w:fldChar w:fldCharType="end"/>
    </w:r>
    <w:r w:rsidRPr="00EC1948">
      <w:rPr>
        <w:noProof/>
        <w:color w:val="auto"/>
        <w:sz w:val="18"/>
        <w:szCs w:val="18"/>
      </w:rPr>
      <w:t xml:space="preserve"> of </w:t>
    </w:r>
    <w:r>
      <w:rPr>
        <w:noProof/>
        <w:color w:val="auto"/>
        <w:sz w:val="18"/>
        <w:szCs w:val="18"/>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EDF9" w14:textId="77777777" w:rsidR="00492602" w:rsidRDefault="00492602" w:rsidP="006D3B5F">
    <w:pPr>
      <w:pStyle w:val="Default"/>
      <w:pBdr>
        <w:bottom w:val="single" w:sz="18" w:space="1" w:color="auto"/>
      </w:pBdr>
      <w:tabs>
        <w:tab w:val="right" w:pos="10440"/>
      </w:tabs>
      <w:spacing w:after="240"/>
      <w:rPr>
        <w:color w:val="FF0000"/>
        <w:sz w:val="18"/>
        <w:szCs w:val="18"/>
      </w:rPr>
    </w:pPr>
    <w:r w:rsidRPr="00AD18B8">
      <w:rPr>
        <w:sz w:val="18"/>
        <w:szCs w:val="18"/>
      </w:rPr>
      <w:t>P</w:t>
    </w:r>
    <w:r>
      <w:rPr>
        <w:sz w:val="18"/>
        <w:szCs w:val="18"/>
      </w:rPr>
      <w:t xml:space="preserve">harmacy Facts, Number </w:t>
    </w:r>
    <w:r w:rsidR="008474A5" w:rsidRPr="008474A5">
      <w:rPr>
        <w:color w:val="FF0000"/>
        <w:sz w:val="18"/>
        <w:szCs w:val="18"/>
      </w:rPr>
      <w:t>[xxx]</w:t>
    </w:r>
    <w:r>
      <w:rPr>
        <w:color w:val="FF0000"/>
        <w:sz w:val="18"/>
        <w:szCs w:val="18"/>
      </w:rPr>
      <w:tab/>
    </w:r>
    <w:r w:rsidRPr="00EC1948">
      <w:rPr>
        <w:color w:val="auto"/>
        <w:sz w:val="18"/>
        <w:szCs w:val="18"/>
      </w:rPr>
      <w:t xml:space="preserve">Page </w:t>
    </w:r>
    <w:r w:rsidR="005A57BA" w:rsidRPr="00EC1948">
      <w:rPr>
        <w:color w:val="auto"/>
        <w:sz w:val="18"/>
        <w:szCs w:val="18"/>
      </w:rPr>
      <w:fldChar w:fldCharType="begin"/>
    </w:r>
    <w:r w:rsidR="005A57BA" w:rsidRPr="00EC1948">
      <w:rPr>
        <w:color w:val="auto"/>
        <w:sz w:val="18"/>
        <w:szCs w:val="18"/>
      </w:rPr>
      <w:instrText xml:space="preserve"> PAGE   \* MERGEFORMAT </w:instrText>
    </w:r>
    <w:r w:rsidR="005A57BA" w:rsidRPr="00EC1948">
      <w:rPr>
        <w:color w:val="auto"/>
        <w:sz w:val="18"/>
        <w:szCs w:val="18"/>
      </w:rPr>
      <w:fldChar w:fldCharType="separate"/>
    </w:r>
    <w:r w:rsidR="001378CB">
      <w:rPr>
        <w:noProof/>
        <w:color w:val="auto"/>
        <w:sz w:val="18"/>
        <w:szCs w:val="18"/>
      </w:rPr>
      <w:t>2</w:t>
    </w:r>
    <w:r w:rsidR="005A57BA" w:rsidRPr="00EC1948">
      <w:rPr>
        <w:noProof/>
        <w:color w:val="auto"/>
        <w:sz w:val="18"/>
        <w:szCs w:val="18"/>
      </w:rPr>
      <w:fldChar w:fldCharType="end"/>
    </w:r>
    <w:r w:rsidR="005A57BA" w:rsidRPr="00EC1948">
      <w:rPr>
        <w:noProof/>
        <w:color w:val="auto"/>
        <w:sz w:val="18"/>
        <w:szCs w:val="18"/>
      </w:rPr>
      <w:t xml:space="preserve"> of </w:t>
    </w:r>
    <w:r w:rsidR="00375713">
      <w:rPr>
        <w:noProof/>
        <w:color w:val="auto"/>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40758"/>
    <w:multiLevelType w:val="hybridMultilevel"/>
    <w:tmpl w:val="BE52F1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88255C"/>
    <w:multiLevelType w:val="hybridMultilevel"/>
    <w:tmpl w:val="DB5258FC"/>
    <w:lvl w:ilvl="0" w:tplc="43FCA314">
      <w:start w:val="1"/>
      <w:numFmt w:val="lowerLetter"/>
      <w:pStyle w:val="Numberedlist"/>
      <w:lvlText w:val="%1."/>
      <w:lvlJc w:val="left"/>
      <w:pPr>
        <w:ind w:left="108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101D2D"/>
    <w:multiLevelType w:val="hybridMultilevel"/>
    <w:tmpl w:val="458A4820"/>
    <w:lvl w:ilvl="0" w:tplc="6FF2F14A">
      <w:start w:val="1"/>
      <w:numFmt w:val="lowerLetter"/>
      <w:lvlText w:val="%1."/>
      <w:lvlJc w:val="left"/>
      <w:pPr>
        <w:ind w:left="720" w:hanging="360"/>
      </w:pPr>
      <w:rPr>
        <w:rFonts w:ascii="Arial" w:eastAsiaTheme="minorHAnsi" w:hAnsi="Arial" w:cs="Arial"/>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861E34"/>
    <w:multiLevelType w:val="hybridMultilevel"/>
    <w:tmpl w:val="12F0E11C"/>
    <w:lvl w:ilvl="0" w:tplc="FFFFFFFF">
      <w:start w:val="1"/>
      <w:numFmt w:val="lowerLetter"/>
      <w:lvlText w:val="%1."/>
      <w:lvlJc w:val="left"/>
      <w:pPr>
        <w:ind w:left="720" w:hanging="360"/>
      </w:p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6C0C5364"/>
    <w:multiLevelType w:val="hybridMultilevel"/>
    <w:tmpl w:val="AA5AE920"/>
    <w:lvl w:ilvl="0" w:tplc="189C9A02">
      <w:start w:val="1"/>
      <w:numFmt w:val="bullet"/>
      <w:pStyle w:val="Bulletedlist"/>
      <w:lvlText w:val=""/>
      <w:lvlJc w:val="left"/>
      <w:pPr>
        <w:ind w:left="360" w:hanging="360"/>
      </w:pPr>
      <w:rPr>
        <w:rFonts w:ascii="Symbol" w:hAnsi="Symbol" w:hint="default"/>
        <w:b/>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6482787">
    <w:abstractNumId w:val="11"/>
  </w:num>
  <w:num w:numId="2" w16cid:durableId="678387703">
    <w:abstractNumId w:val="17"/>
  </w:num>
  <w:num w:numId="3" w16cid:durableId="171258805">
    <w:abstractNumId w:val="21"/>
  </w:num>
  <w:num w:numId="4" w16cid:durableId="933971704">
    <w:abstractNumId w:val="7"/>
  </w:num>
  <w:num w:numId="5" w16cid:durableId="1146894553">
    <w:abstractNumId w:val="10"/>
  </w:num>
  <w:num w:numId="6" w16cid:durableId="1099835229">
    <w:abstractNumId w:val="16"/>
  </w:num>
  <w:num w:numId="7" w16cid:durableId="1091773746">
    <w:abstractNumId w:val="22"/>
  </w:num>
  <w:num w:numId="8" w16cid:durableId="775977178">
    <w:abstractNumId w:val="3"/>
  </w:num>
  <w:num w:numId="9" w16cid:durableId="1192911353">
    <w:abstractNumId w:val="0"/>
  </w:num>
  <w:num w:numId="10" w16cid:durableId="1998994280">
    <w:abstractNumId w:val="19"/>
  </w:num>
  <w:num w:numId="11" w16cid:durableId="77529562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2849363">
    <w:abstractNumId w:val="5"/>
  </w:num>
  <w:num w:numId="13" w16cid:durableId="489909912">
    <w:abstractNumId w:val="21"/>
  </w:num>
  <w:num w:numId="14" w16cid:durableId="127771441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3933419">
    <w:abstractNumId w:val="16"/>
  </w:num>
  <w:num w:numId="16" w16cid:durableId="1632830456">
    <w:abstractNumId w:val="18"/>
  </w:num>
  <w:num w:numId="17" w16cid:durableId="1271858877">
    <w:abstractNumId w:val="2"/>
  </w:num>
  <w:num w:numId="18" w16cid:durableId="12856954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5621985">
    <w:abstractNumId w:val="6"/>
  </w:num>
  <w:num w:numId="20" w16cid:durableId="155609916">
    <w:abstractNumId w:val="4"/>
  </w:num>
  <w:num w:numId="21" w16cid:durableId="749011242">
    <w:abstractNumId w:val="9"/>
  </w:num>
  <w:num w:numId="22" w16cid:durableId="2135520725">
    <w:abstractNumId w:val="23"/>
  </w:num>
  <w:num w:numId="23" w16cid:durableId="1269894124">
    <w:abstractNumId w:val="24"/>
  </w:num>
  <w:num w:numId="24" w16cid:durableId="1534229008">
    <w:abstractNumId w:val="15"/>
  </w:num>
  <w:num w:numId="25" w16cid:durableId="480999597">
    <w:abstractNumId w:val="20"/>
  </w:num>
  <w:num w:numId="26" w16cid:durableId="1484080441">
    <w:abstractNumId w:val="7"/>
    <w:lvlOverride w:ilvl="0">
      <w:startOverride w:val="1"/>
    </w:lvlOverride>
  </w:num>
  <w:num w:numId="27" w16cid:durableId="339738625">
    <w:abstractNumId w:val="7"/>
  </w:num>
  <w:num w:numId="28" w16cid:durableId="337193572">
    <w:abstractNumId w:val="8"/>
  </w:num>
  <w:num w:numId="29" w16cid:durableId="552739578">
    <w:abstractNumId w:val="1"/>
  </w:num>
  <w:num w:numId="30" w16cid:durableId="373234596">
    <w:abstractNumId w:val="14"/>
  </w:num>
  <w:num w:numId="31" w16cid:durableId="5445619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2450C"/>
    <w:rsid w:val="00054839"/>
    <w:rsid w:val="00061F50"/>
    <w:rsid w:val="000658A5"/>
    <w:rsid w:val="000713D3"/>
    <w:rsid w:val="00074014"/>
    <w:rsid w:val="00074716"/>
    <w:rsid w:val="00081E8E"/>
    <w:rsid w:val="000A622F"/>
    <w:rsid w:val="000A6318"/>
    <w:rsid w:val="000D1502"/>
    <w:rsid w:val="00102EDF"/>
    <w:rsid w:val="00123D58"/>
    <w:rsid w:val="00124EAA"/>
    <w:rsid w:val="0012682D"/>
    <w:rsid w:val="001378CB"/>
    <w:rsid w:val="00137D3D"/>
    <w:rsid w:val="00140D08"/>
    <w:rsid w:val="00147437"/>
    <w:rsid w:val="00157A49"/>
    <w:rsid w:val="00171445"/>
    <w:rsid w:val="001721D8"/>
    <w:rsid w:val="0018357E"/>
    <w:rsid w:val="001864A9"/>
    <w:rsid w:val="001924D3"/>
    <w:rsid w:val="001A125B"/>
    <w:rsid w:val="001C1481"/>
    <w:rsid w:val="001C6362"/>
    <w:rsid w:val="001E779F"/>
    <w:rsid w:val="001F6F0B"/>
    <w:rsid w:val="0021214A"/>
    <w:rsid w:val="00212477"/>
    <w:rsid w:val="00212622"/>
    <w:rsid w:val="002275AE"/>
    <w:rsid w:val="002509E9"/>
    <w:rsid w:val="00267FBD"/>
    <w:rsid w:val="00274F3E"/>
    <w:rsid w:val="00276F3A"/>
    <w:rsid w:val="00286CBE"/>
    <w:rsid w:val="00291397"/>
    <w:rsid w:val="002C7C67"/>
    <w:rsid w:val="002D390F"/>
    <w:rsid w:val="002D738C"/>
    <w:rsid w:val="002E2F9E"/>
    <w:rsid w:val="002F459B"/>
    <w:rsid w:val="003152DA"/>
    <w:rsid w:val="003240F1"/>
    <w:rsid w:val="0033053B"/>
    <w:rsid w:val="00351497"/>
    <w:rsid w:val="00354588"/>
    <w:rsid w:val="00360067"/>
    <w:rsid w:val="00361733"/>
    <w:rsid w:val="0036343A"/>
    <w:rsid w:val="00372195"/>
    <w:rsid w:val="0037373E"/>
    <w:rsid w:val="00375713"/>
    <w:rsid w:val="00382054"/>
    <w:rsid w:val="003911FC"/>
    <w:rsid w:val="003B6839"/>
    <w:rsid w:val="003C45A1"/>
    <w:rsid w:val="003D3B27"/>
    <w:rsid w:val="003D7A5F"/>
    <w:rsid w:val="003F533B"/>
    <w:rsid w:val="004233B0"/>
    <w:rsid w:val="00447A5F"/>
    <w:rsid w:val="004555D9"/>
    <w:rsid w:val="00456B5A"/>
    <w:rsid w:val="00457528"/>
    <w:rsid w:val="004664D3"/>
    <w:rsid w:val="00490561"/>
    <w:rsid w:val="00492602"/>
    <w:rsid w:val="0049423D"/>
    <w:rsid w:val="00494D38"/>
    <w:rsid w:val="004A3BAA"/>
    <w:rsid w:val="004A7395"/>
    <w:rsid w:val="004C1DAD"/>
    <w:rsid w:val="004D1BC7"/>
    <w:rsid w:val="004D20D7"/>
    <w:rsid w:val="004D79B2"/>
    <w:rsid w:val="004E2B38"/>
    <w:rsid w:val="004F5506"/>
    <w:rsid w:val="004F5612"/>
    <w:rsid w:val="005052D9"/>
    <w:rsid w:val="00516394"/>
    <w:rsid w:val="0052118E"/>
    <w:rsid w:val="00527F95"/>
    <w:rsid w:val="005314A6"/>
    <w:rsid w:val="005502E1"/>
    <w:rsid w:val="0055514F"/>
    <w:rsid w:val="0056481B"/>
    <w:rsid w:val="0057156C"/>
    <w:rsid w:val="00571898"/>
    <w:rsid w:val="00574ECE"/>
    <w:rsid w:val="00574F07"/>
    <w:rsid w:val="0057528C"/>
    <w:rsid w:val="00581E50"/>
    <w:rsid w:val="005835F0"/>
    <w:rsid w:val="005842A0"/>
    <w:rsid w:val="005958DD"/>
    <w:rsid w:val="005A57BA"/>
    <w:rsid w:val="005B15B3"/>
    <w:rsid w:val="005D723D"/>
    <w:rsid w:val="005E3688"/>
    <w:rsid w:val="005F2371"/>
    <w:rsid w:val="00623469"/>
    <w:rsid w:val="00634C49"/>
    <w:rsid w:val="00637A67"/>
    <w:rsid w:val="00644AAF"/>
    <w:rsid w:val="00650095"/>
    <w:rsid w:val="00651CA7"/>
    <w:rsid w:val="00656A01"/>
    <w:rsid w:val="00657D21"/>
    <w:rsid w:val="006615EC"/>
    <w:rsid w:val="00673F96"/>
    <w:rsid w:val="00674418"/>
    <w:rsid w:val="00674428"/>
    <w:rsid w:val="006753A6"/>
    <w:rsid w:val="00686C26"/>
    <w:rsid w:val="00690023"/>
    <w:rsid w:val="00696F48"/>
    <w:rsid w:val="0069772F"/>
    <w:rsid w:val="006A1AD3"/>
    <w:rsid w:val="006A767B"/>
    <w:rsid w:val="006A7D28"/>
    <w:rsid w:val="006D3B5F"/>
    <w:rsid w:val="006E0C20"/>
    <w:rsid w:val="006E22A3"/>
    <w:rsid w:val="006F35F9"/>
    <w:rsid w:val="00705200"/>
    <w:rsid w:val="007319D7"/>
    <w:rsid w:val="00731FAF"/>
    <w:rsid w:val="007426BF"/>
    <w:rsid w:val="00760FDF"/>
    <w:rsid w:val="00763358"/>
    <w:rsid w:val="007757E7"/>
    <w:rsid w:val="00781D3B"/>
    <w:rsid w:val="007A038A"/>
    <w:rsid w:val="007A41F5"/>
    <w:rsid w:val="007B2F2D"/>
    <w:rsid w:val="007B33B4"/>
    <w:rsid w:val="007B4429"/>
    <w:rsid w:val="007B7425"/>
    <w:rsid w:val="007F5417"/>
    <w:rsid w:val="00804116"/>
    <w:rsid w:val="00812480"/>
    <w:rsid w:val="00816C8D"/>
    <w:rsid w:val="00816CE2"/>
    <w:rsid w:val="00821937"/>
    <w:rsid w:val="008340D0"/>
    <w:rsid w:val="008403CA"/>
    <w:rsid w:val="008474A5"/>
    <w:rsid w:val="0085395A"/>
    <w:rsid w:val="00853F8E"/>
    <w:rsid w:val="0086142C"/>
    <w:rsid w:val="00870F52"/>
    <w:rsid w:val="00872E7F"/>
    <w:rsid w:val="00880FA9"/>
    <w:rsid w:val="008930F1"/>
    <w:rsid w:val="00893F45"/>
    <w:rsid w:val="008C1341"/>
    <w:rsid w:val="008C5414"/>
    <w:rsid w:val="008C66D8"/>
    <w:rsid w:val="008E4B33"/>
    <w:rsid w:val="008F0130"/>
    <w:rsid w:val="008F2E4C"/>
    <w:rsid w:val="00905C46"/>
    <w:rsid w:val="00906EEC"/>
    <w:rsid w:val="009166DF"/>
    <w:rsid w:val="009204C7"/>
    <w:rsid w:val="00922030"/>
    <w:rsid w:val="00932FD3"/>
    <w:rsid w:val="009365C7"/>
    <w:rsid w:val="00937424"/>
    <w:rsid w:val="0094076D"/>
    <w:rsid w:val="00941258"/>
    <w:rsid w:val="00942245"/>
    <w:rsid w:val="00956812"/>
    <w:rsid w:val="0095770E"/>
    <w:rsid w:val="009725E5"/>
    <w:rsid w:val="00974CFD"/>
    <w:rsid w:val="00981567"/>
    <w:rsid w:val="009C0B43"/>
    <w:rsid w:val="009C3981"/>
    <w:rsid w:val="009D1341"/>
    <w:rsid w:val="009D6D73"/>
    <w:rsid w:val="009D79C6"/>
    <w:rsid w:val="009F0440"/>
    <w:rsid w:val="009F0526"/>
    <w:rsid w:val="00A01DE3"/>
    <w:rsid w:val="00A06542"/>
    <w:rsid w:val="00A11371"/>
    <w:rsid w:val="00A120E1"/>
    <w:rsid w:val="00A2577C"/>
    <w:rsid w:val="00A31FAA"/>
    <w:rsid w:val="00A343A9"/>
    <w:rsid w:val="00A4007E"/>
    <w:rsid w:val="00A5239C"/>
    <w:rsid w:val="00A571F6"/>
    <w:rsid w:val="00A650DC"/>
    <w:rsid w:val="00A6764A"/>
    <w:rsid w:val="00A84255"/>
    <w:rsid w:val="00A853D9"/>
    <w:rsid w:val="00AC1AC7"/>
    <w:rsid w:val="00AD18B8"/>
    <w:rsid w:val="00AD33D5"/>
    <w:rsid w:val="00AE21FC"/>
    <w:rsid w:val="00B01BAA"/>
    <w:rsid w:val="00B05470"/>
    <w:rsid w:val="00B07BD7"/>
    <w:rsid w:val="00B10600"/>
    <w:rsid w:val="00B11497"/>
    <w:rsid w:val="00B13AA5"/>
    <w:rsid w:val="00B219CA"/>
    <w:rsid w:val="00B3099B"/>
    <w:rsid w:val="00B40A71"/>
    <w:rsid w:val="00B45236"/>
    <w:rsid w:val="00B503C7"/>
    <w:rsid w:val="00B54AB5"/>
    <w:rsid w:val="00B645C9"/>
    <w:rsid w:val="00B86F04"/>
    <w:rsid w:val="00B92C96"/>
    <w:rsid w:val="00BA64D7"/>
    <w:rsid w:val="00BA68F0"/>
    <w:rsid w:val="00BB185B"/>
    <w:rsid w:val="00BD08CA"/>
    <w:rsid w:val="00BE0808"/>
    <w:rsid w:val="00BF0DF4"/>
    <w:rsid w:val="00C00CF2"/>
    <w:rsid w:val="00C15672"/>
    <w:rsid w:val="00C21680"/>
    <w:rsid w:val="00C24EF5"/>
    <w:rsid w:val="00C304E6"/>
    <w:rsid w:val="00C31421"/>
    <w:rsid w:val="00C33753"/>
    <w:rsid w:val="00C35B94"/>
    <w:rsid w:val="00C559C9"/>
    <w:rsid w:val="00C82FA4"/>
    <w:rsid w:val="00CA0669"/>
    <w:rsid w:val="00CA1E7C"/>
    <w:rsid w:val="00CB0030"/>
    <w:rsid w:val="00CB7521"/>
    <w:rsid w:val="00CC57AC"/>
    <w:rsid w:val="00CC776C"/>
    <w:rsid w:val="00CD6D68"/>
    <w:rsid w:val="00CE6D58"/>
    <w:rsid w:val="00CF2057"/>
    <w:rsid w:val="00D0584B"/>
    <w:rsid w:val="00D2695E"/>
    <w:rsid w:val="00D450C8"/>
    <w:rsid w:val="00D521FA"/>
    <w:rsid w:val="00D66801"/>
    <w:rsid w:val="00D779F2"/>
    <w:rsid w:val="00D81121"/>
    <w:rsid w:val="00D939D0"/>
    <w:rsid w:val="00DA6A55"/>
    <w:rsid w:val="00DB423E"/>
    <w:rsid w:val="00DE11BB"/>
    <w:rsid w:val="00DF73DB"/>
    <w:rsid w:val="00E06F7D"/>
    <w:rsid w:val="00E24139"/>
    <w:rsid w:val="00E3616D"/>
    <w:rsid w:val="00E50862"/>
    <w:rsid w:val="00E60ABB"/>
    <w:rsid w:val="00E62D91"/>
    <w:rsid w:val="00E67611"/>
    <w:rsid w:val="00E67713"/>
    <w:rsid w:val="00E72DFF"/>
    <w:rsid w:val="00E92E47"/>
    <w:rsid w:val="00E9576D"/>
    <w:rsid w:val="00EC08AC"/>
    <w:rsid w:val="00EC1948"/>
    <w:rsid w:val="00ED4639"/>
    <w:rsid w:val="00EE54D2"/>
    <w:rsid w:val="00EF7C8A"/>
    <w:rsid w:val="00F2514F"/>
    <w:rsid w:val="00F25E7F"/>
    <w:rsid w:val="00F274DE"/>
    <w:rsid w:val="00F3158E"/>
    <w:rsid w:val="00F6038A"/>
    <w:rsid w:val="00F643E6"/>
    <w:rsid w:val="00F76D69"/>
    <w:rsid w:val="00F9012C"/>
    <w:rsid w:val="00F9097E"/>
    <w:rsid w:val="00F93C6C"/>
    <w:rsid w:val="00FA5147"/>
    <w:rsid w:val="00FB0C11"/>
    <w:rsid w:val="00FB5301"/>
    <w:rsid w:val="00FD4894"/>
    <w:rsid w:val="00FE5811"/>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7C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3B0"/>
    <w:pPr>
      <w:spacing w:line="276" w:lineRule="auto"/>
    </w:pPr>
    <w:rPr>
      <w:rFonts w:ascii="Arial" w:hAnsi="Arial"/>
      <w:sz w:val="22"/>
      <w:szCs w:val="24"/>
    </w:rPr>
  </w:style>
  <w:style w:type="paragraph" w:styleId="Heading1">
    <w:name w:val="heading 1"/>
    <w:basedOn w:val="Header"/>
    <w:next w:val="Normal"/>
    <w:link w:val="Heading1Char"/>
    <w:qFormat/>
    <w:rsid w:val="006A767B"/>
    <w:pPr>
      <w:keepNext/>
      <w:keepLines/>
      <w:spacing w:before="240"/>
      <w:outlineLvl w:val="0"/>
    </w:pPr>
    <w:rPr>
      <w:rFonts w:ascii="Arial Black" w:eastAsiaTheme="majorEastAsia" w:hAnsi="Arial Black" w:cstheme="majorBidi"/>
      <w:sz w:val="28"/>
      <w:szCs w:val="32"/>
    </w:rPr>
  </w:style>
  <w:style w:type="paragraph" w:styleId="Heading2">
    <w:name w:val="heading 2"/>
    <w:basedOn w:val="Normal"/>
    <w:next w:val="Normal"/>
    <w:link w:val="Heading2Char"/>
    <w:unhideWhenUsed/>
    <w:qFormat/>
    <w:rsid w:val="00DF73DB"/>
    <w:pPr>
      <w:keepNext/>
      <w:keepLines/>
      <w:spacing w:before="160" w:after="120"/>
      <w:outlineLvl w:val="1"/>
    </w:pPr>
    <w:rPr>
      <w:rFonts w:ascii="Arial Black" w:eastAsiaTheme="majorEastAsia" w:hAnsi="Arial Black" w:cstheme="majorBidi"/>
      <w:szCs w:val="26"/>
    </w:rPr>
  </w:style>
  <w:style w:type="paragraph" w:styleId="Heading3">
    <w:name w:val="heading 3"/>
    <w:basedOn w:val="Normal"/>
    <w:next w:val="Normal"/>
    <w:link w:val="Heading3Char"/>
    <w:unhideWhenUsed/>
    <w:qFormat/>
    <w:rsid w:val="00DF73DB"/>
    <w:pPr>
      <w:keepNext/>
      <w:keepLines/>
      <w:spacing w:before="160" w:after="120"/>
      <w:outlineLvl w:val="2"/>
    </w:pPr>
    <w:rPr>
      <w:rFonts w:ascii="Arial Black" w:eastAsiaTheme="majorEastAsia" w:hAnsi="Arial Black"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cs="Arial"/>
      <w:color w:val="000000"/>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FE5811"/>
    <w:rPr>
      <w:color w:val="0000FF" w:themeColor="hyperlink"/>
      <w:u w:val="single"/>
    </w:rPr>
  </w:style>
  <w:style w:type="character" w:customStyle="1" w:styleId="Heading1Char">
    <w:name w:val="Heading 1 Char"/>
    <w:basedOn w:val="DefaultParagraphFont"/>
    <w:link w:val="Heading1"/>
    <w:rsid w:val="006A767B"/>
    <w:rPr>
      <w:rFonts w:ascii="Arial Black" w:eastAsiaTheme="majorEastAsia" w:hAnsi="Arial Black" w:cstheme="majorBidi"/>
      <w:sz w:val="28"/>
      <w:szCs w:val="32"/>
    </w:rPr>
  </w:style>
  <w:style w:type="character" w:customStyle="1" w:styleId="Heading2Char">
    <w:name w:val="Heading 2 Char"/>
    <w:basedOn w:val="DefaultParagraphFont"/>
    <w:link w:val="Heading2"/>
    <w:rsid w:val="00DF73DB"/>
    <w:rPr>
      <w:rFonts w:ascii="Arial Black" w:eastAsiaTheme="majorEastAsia" w:hAnsi="Arial Black" w:cstheme="majorBidi"/>
      <w:sz w:val="24"/>
      <w:szCs w:val="26"/>
    </w:rPr>
  </w:style>
  <w:style w:type="character" w:customStyle="1" w:styleId="Heading3Char">
    <w:name w:val="Heading 3 Char"/>
    <w:basedOn w:val="DefaultParagraphFont"/>
    <w:link w:val="Heading3"/>
    <w:rsid w:val="00DF73DB"/>
    <w:rPr>
      <w:rFonts w:ascii="Arial Black" w:eastAsiaTheme="majorEastAsia" w:hAnsi="Arial Black" w:cstheme="majorBidi"/>
      <w:sz w:val="22"/>
      <w:szCs w:val="24"/>
    </w:rPr>
  </w:style>
  <w:style w:type="paragraph" w:customStyle="1" w:styleId="Bulletedlist">
    <w:name w:val="Bulleted list"/>
    <w:basedOn w:val="Normal"/>
    <w:link w:val="BulletedlistChar"/>
    <w:qFormat/>
    <w:rsid w:val="00A2577C"/>
    <w:pPr>
      <w:numPr>
        <w:numId w:val="25"/>
      </w:numPr>
      <w:ind w:left="720"/>
    </w:pPr>
    <w:rPr>
      <w:rFonts w:cs="Arial"/>
      <w:szCs w:val="22"/>
    </w:rPr>
  </w:style>
  <w:style w:type="character" w:customStyle="1" w:styleId="BulletedlistChar">
    <w:name w:val="Bulleted list Char"/>
    <w:basedOn w:val="DefaultParagraphFont"/>
    <w:link w:val="Bulletedlist"/>
    <w:rsid w:val="00A2577C"/>
    <w:rPr>
      <w:rFonts w:ascii="Arial" w:hAnsi="Arial" w:cs="Arial"/>
      <w:sz w:val="22"/>
      <w:szCs w:val="22"/>
    </w:rPr>
  </w:style>
  <w:style w:type="paragraph" w:customStyle="1" w:styleId="Numberedlist">
    <w:name w:val="Numbered list"/>
    <w:basedOn w:val="Normal"/>
    <w:link w:val="NumberedlistChar"/>
    <w:qFormat/>
    <w:rsid w:val="00C24EF5"/>
    <w:pPr>
      <w:numPr>
        <w:numId w:val="4"/>
      </w:numPr>
      <w:autoSpaceDE w:val="0"/>
      <w:autoSpaceDN w:val="0"/>
      <w:adjustRightInd w:val="0"/>
    </w:pPr>
    <w:rPr>
      <w:rFonts w:cs="Arial"/>
      <w:color w:val="000000"/>
      <w:lang w:val="fr-FR"/>
    </w:rPr>
  </w:style>
  <w:style w:type="character" w:customStyle="1" w:styleId="NumberedlistChar">
    <w:name w:val="Numbered list Char"/>
    <w:basedOn w:val="DefaultParagraphFont"/>
    <w:link w:val="Numberedlist"/>
    <w:rsid w:val="00C24EF5"/>
    <w:rPr>
      <w:rFonts w:ascii="Arial" w:hAnsi="Arial" w:cs="Arial"/>
      <w:color w:val="000000"/>
      <w:sz w:val="22"/>
      <w:szCs w:val="24"/>
      <w:lang w:val="fr-FR"/>
    </w:rPr>
  </w:style>
  <w:style w:type="paragraph" w:customStyle="1" w:styleId="subbullet">
    <w:name w:val="subbullet"/>
    <w:basedOn w:val="Bulletedlist"/>
    <w:link w:val="subbulletChar"/>
    <w:qFormat/>
    <w:rsid w:val="006A1AD3"/>
    <w:pPr>
      <w:ind w:left="1440"/>
    </w:pPr>
  </w:style>
  <w:style w:type="character" w:customStyle="1" w:styleId="subbulletChar">
    <w:name w:val="subbullet Char"/>
    <w:basedOn w:val="BulletedlistChar"/>
    <w:link w:val="subbullet"/>
    <w:rsid w:val="006A1AD3"/>
    <w:rPr>
      <w:rFonts w:ascii="Arial" w:hAnsi="Arial" w:cs="Arial"/>
      <w:sz w:val="22"/>
      <w:szCs w:val="22"/>
    </w:rPr>
  </w:style>
  <w:style w:type="paragraph" w:styleId="Revision">
    <w:name w:val="Revision"/>
    <w:hidden/>
    <w:uiPriority w:val="99"/>
    <w:semiHidden/>
    <w:rsid w:val="004E2B38"/>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683172592">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75597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hdl.pharmacy.services.conduent.com/MHDL/pubdruglist.do?category=MassHealth+Drug+List+A+-+Z"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4.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5BC3F-4FDF-49AF-86C5-B2B9F468E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2026-04-10T14:49:00Z</dcterms:created>
  <dcterms:modified xsi:type="dcterms:W3CDTF">2026-04-10T16:59:00Z</dcterms:modified>
</cp:coreProperties>
</file>