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19C29C26" w:rsidR="00074716" w:rsidRDefault="000A622F" w:rsidP="00C559C9">
      <w:pPr>
        <w:pStyle w:val="Noparagraphstyle"/>
        <w:rPr>
          <w:rFonts w:ascii="Arial Narrow" w:hAnsi="Arial Narrow"/>
          <w:b/>
          <w:color w:val="FF0000"/>
          <w:sz w:val="20"/>
          <w:szCs w:val="20"/>
        </w:rPr>
      </w:pPr>
      <w:r>
        <w:rPr>
          <w:rFonts w:ascii="Arial" w:hAnsi="Arial" w:cs="Arial"/>
          <w:noProof/>
          <w:sz w:val="21"/>
          <w:szCs w:val="21"/>
        </w:rPr>
        <w:drawing>
          <wp:anchor distT="0" distB="0" distL="114300" distR="114300" simplePos="0" relativeHeight="251658240" behindDoc="1" locked="0" layoutInCell="1" allowOverlap="1" wp14:anchorId="4ED2292F" wp14:editId="530E3506">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Pharmacy Facts&#10;Current information for pharmacists about the MassHealth Pharmacy Program&#10;www.mass.gov/lists/masshealth-pharmacy-facts-2016-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Pharmacy Facts&#10;Current information for pharmacists about the MassHealth Pharmacy Program&#10;www.mass.gov/lists/masshealth-pharmacy-facts-2016-curr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Pr>
          <w:rFonts w:ascii="Arial Narrow" w:hAnsi="Arial Narrow"/>
          <w:b/>
          <w:sz w:val="20"/>
          <w:szCs w:val="20"/>
        </w:rPr>
        <w:t xml:space="preserve">Number </w:t>
      </w:r>
      <w:r w:rsidR="00D76C6E" w:rsidRPr="005201F1">
        <w:rPr>
          <w:rFonts w:ascii="Arial Narrow" w:hAnsi="Arial Narrow"/>
          <w:b/>
          <w:color w:val="auto"/>
          <w:sz w:val="20"/>
          <w:szCs w:val="20"/>
        </w:rPr>
        <w:t>27</w:t>
      </w:r>
      <w:r w:rsidR="00D76C6E" w:rsidRPr="005201F1">
        <w:rPr>
          <w:rFonts w:ascii="Arial Narrow" w:hAnsi="Arial Narrow"/>
          <w:b/>
          <w:color w:val="auto"/>
          <w:sz w:val="20"/>
          <w:szCs w:val="20"/>
        </w:rPr>
        <w:t>3</w:t>
      </w:r>
      <w:r w:rsidR="001924D3" w:rsidRPr="005201F1">
        <w:rPr>
          <w:rFonts w:ascii="Arial Narrow" w:hAnsi="Arial Narrow"/>
          <w:b/>
          <w:color w:val="auto"/>
          <w:sz w:val="20"/>
          <w:szCs w:val="20"/>
        </w:rPr>
        <w:t xml:space="preserve">, </w:t>
      </w:r>
      <w:r w:rsidR="00D76C6E" w:rsidRPr="005201F1">
        <w:rPr>
          <w:rFonts w:ascii="Arial Narrow" w:hAnsi="Arial Narrow"/>
          <w:b/>
          <w:color w:val="auto"/>
          <w:sz w:val="20"/>
          <w:szCs w:val="20"/>
        </w:rPr>
        <w:t>May</w:t>
      </w:r>
      <w:r w:rsidR="00D76C6E" w:rsidRPr="005201F1">
        <w:rPr>
          <w:rFonts w:ascii="Arial Narrow" w:hAnsi="Arial Narrow"/>
          <w:b/>
          <w:color w:val="auto"/>
          <w:sz w:val="20"/>
          <w:szCs w:val="20"/>
        </w:rPr>
        <w:t xml:space="preserve"> </w:t>
      </w:r>
      <w:r w:rsidR="005201F1" w:rsidRPr="005201F1">
        <w:rPr>
          <w:rFonts w:ascii="Arial Narrow" w:hAnsi="Arial Narrow"/>
          <w:b/>
          <w:color w:val="auto"/>
          <w:sz w:val="20"/>
          <w:szCs w:val="20"/>
        </w:rPr>
        <w:t>4</w:t>
      </w:r>
      <w:r w:rsidR="001924D3" w:rsidRPr="005201F1">
        <w:rPr>
          <w:rFonts w:ascii="Arial Narrow" w:hAnsi="Arial Narrow"/>
          <w:b/>
          <w:color w:val="auto"/>
          <w:sz w:val="20"/>
          <w:szCs w:val="20"/>
        </w:rPr>
        <w:t>, 2026</w:t>
      </w:r>
    </w:p>
    <w:p w14:paraId="32BF3DE7" w14:textId="77777777" w:rsidR="00074716" w:rsidRDefault="00074716" w:rsidP="00C559C9">
      <w:pPr>
        <w:pStyle w:val="Noparagraphstyle"/>
        <w:rPr>
          <w:rFonts w:ascii="Arial Narrow" w:hAnsi="Arial Narrow"/>
          <w:b/>
          <w:color w:val="FF0000"/>
          <w:sz w:val="20"/>
          <w:szCs w:val="20"/>
        </w:rPr>
      </w:pPr>
    </w:p>
    <w:p w14:paraId="0858B47B" w14:textId="77777777" w:rsidR="00074716" w:rsidRDefault="00074716" w:rsidP="00C559C9">
      <w:pPr>
        <w:pStyle w:val="Noparagraphstyle"/>
        <w:rPr>
          <w:rFonts w:ascii="Arial Narrow" w:hAnsi="Arial Narrow"/>
          <w:b/>
          <w:color w:val="FF0000"/>
          <w:sz w:val="20"/>
          <w:szCs w:val="20"/>
        </w:rPr>
      </w:pPr>
    </w:p>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77777777" w:rsidR="00074716" w:rsidRDefault="00074716" w:rsidP="00C559C9">
      <w:pPr>
        <w:pStyle w:val="Noparagraphstyle"/>
        <w:rPr>
          <w:rFonts w:ascii="Arial Narrow" w:hAnsi="Arial Narrow"/>
          <w:b/>
          <w:color w:val="FF0000"/>
          <w:sz w:val="20"/>
          <w:szCs w:val="20"/>
        </w:rPr>
      </w:pPr>
    </w:p>
    <w:p w14:paraId="07CD72C2" w14:textId="77777777" w:rsidR="00074716" w:rsidRDefault="00074716" w:rsidP="00C559C9">
      <w:pPr>
        <w:pStyle w:val="Noparagraphstyle"/>
        <w:rPr>
          <w:rFonts w:ascii="Arial Narrow" w:hAnsi="Arial Narrow"/>
          <w:b/>
          <w:color w:val="FF0000"/>
          <w:sz w:val="20"/>
          <w:szCs w:val="20"/>
        </w:rPr>
      </w:pPr>
    </w:p>
    <w:p w14:paraId="0905EA74" w14:textId="77777777" w:rsidR="00074716" w:rsidRDefault="00074716" w:rsidP="00C559C9">
      <w:pPr>
        <w:pStyle w:val="Noparagraphstyle"/>
        <w:rPr>
          <w:rFonts w:ascii="Arial Narrow" w:hAnsi="Arial Narrow"/>
          <w:b/>
          <w:color w:val="FF0000"/>
          <w:sz w:val="20"/>
          <w:szCs w:val="20"/>
        </w:rPr>
      </w:pPr>
    </w:p>
    <w:p w14:paraId="7568DC23" w14:textId="77777777"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6667059F" w14:textId="77777777" w:rsidR="00B11497" w:rsidRPr="00B11497" w:rsidRDefault="00B11497" w:rsidP="00B11497">
      <w:pPr>
        <w:rPr>
          <w:rFonts w:ascii="Arial Black" w:eastAsiaTheme="majorEastAsia" w:hAnsi="Arial Black" w:cstheme="majorBidi"/>
          <w:sz w:val="28"/>
          <w:szCs w:val="28"/>
        </w:rPr>
      </w:pPr>
      <w:r w:rsidRPr="00B11497">
        <w:rPr>
          <w:rFonts w:ascii="Arial Black" w:eastAsiaTheme="majorEastAsia" w:hAnsi="Arial Black" w:cstheme="majorBidi"/>
          <w:sz w:val="28"/>
          <w:szCs w:val="28"/>
        </w:rPr>
        <w:t>MassHealth Drug List Update</w:t>
      </w:r>
    </w:p>
    <w:p w14:paraId="638D3332" w14:textId="11961210" w:rsidR="00705200" w:rsidRDefault="00705200" w:rsidP="00705200">
      <w:pPr>
        <w:rPr>
          <w:rFonts w:cs="Arial"/>
          <w:szCs w:val="22"/>
        </w:rPr>
      </w:pPr>
      <w:r w:rsidRPr="00E37E21">
        <w:rPr>
          <w:rFonts w:cs="Arial"/>
          <w:szCs w:val="22"/>
        </w:rPr>
        <w:t xml:space="preserve">Below are updates to the </w:t>
      </w:r>
      <w:hyperlink r:id="rId12" w:history="1">
        <w:r w:rsidRPr="005F40D5">
          <w:rPr>
            <w:rStyle w:val="Hyperlink"/>
            <w:rFonts w:cs="Arial"/>
            <w:szCs w:val="22"/>
          </w:rPr>
          <w:t>MassH</w:t>
        </w:r>
        <w:r w:rsidRPr="005F40D5">
          <w:rPr>
            <w:rStyle w:val="Hyperlink"/>
            <w:rFonts w:cs="Arial"/>
            <w:szCs w:val="22"/>
          </w:rPr>
          <w:t>e</w:t>
        </w:r>
        <w:r w:rsidRPr="005F40D5">
          <w:rPr>
            <w:rStyle w:val="Hyperlink"/>
            <w:rFonts w:cs="Arial"/>
            <w:szCs w:val="22"/>
          </w:rPr>
          <w:t>alth Drug List</w:t>
        </w:r>
      </w:hyperlink>
      <w:r w:rsidRPr="00E37E21">
        <w:rPr>
          <w:rFonts w:cs="Arial"/>
          <w:szCs w:val="22"/>
        </w:rPr>
        <w:t xml:space="preserve"> (MHDL). See the </w:t>
      </w:r>
      <w:r w:rsidRPr="00CD2047">
        <w:rPr>
          <w:rFonts w:cs="Arial"/>
          <w:szCs w:val="22"/>
        </w:rPr>
        <w:t>MHDL</w:t>
      </w:r>
      <w:r>
        <w:rPr>
          <w:rFonts w:cs="Arial"/>
          <w:szCs w:val="22"/>
        </w:rPr>
        <w:t xml:space="preserve"> </w:t>
      </w:r>
      <w:r w:rsidRPr="00E37E21">
        <w:rPr>
          <w:rFonts w:cs="Arial"/>
          <w:szCs w:val="22"/>
        </w:rPr>
        <w:t>for a complete listing of updates</w:t>
      </w:r>
      <w:r w:rsidR="004E2B38">
        <w:rPr>
          <w:rFonts w:cs="Arial"/>
          <w:szCs w:val="22"/>
        </w:rPr>
        <w:t>.</w:t>
      </w:r>
    </w:p>
    <w:p w14:paraId="1DD5CAC6" w14:textId="77777777" w:rsidR="003D7A5F" w:rsidRPr="00E24E22" w:rsidRDefault="003D7A5F" w:rsidP="003D7A5F">
      <w:pPr>
        <w:pStyle w:val="Heading2"/>
      </w:pPr>
      <w:r w:rsidRPr="00E24E22">
        <w:t>Additions</w:t>
      </w:r>
    </w:p>
    <w:p w14:paraId="7499375B" w14:textId="77777777" w:rsidR="00944B84" w:rsidRDefault="00944B84" w:rsidP="00944B84">
      <w:pPr>
        <w:pStyle w:val="Default"/>
        <w:rPr>
          <w:rFonts w:ascii="Arial" w:hAnsi="Arial" w:cs="Arial"/>
          <w:sz w:val="22"/>
          <w:szCs w:val="21"/>
        </w:rPr>
      </w:pPr>
      <w:r>
        <w:rPr>
          <w:rFonts w:ascii="Arial" w:hAnsi="Arial" w:cs="Arial"/>
          <w:sz w:val="22"/>
          <w:szCs w:val="22"/>
        </w:rPr>
        <w:t xml:space="preserve">Effective </w:t>
      </w:r>
      <w:r>
        <w:rPr>
          <w:rFonts w:ascii="Arial" w:hAnsi="Arial" w:cs="Arial"/>
          <w:color w:val="auto"/>
          <w:sz w:val="22"/>
          <w:szCs w:val="22"/>
        </w:rPr>
        <w:t>May 11, 2026, the</w:t>
      </w:r>
      <w:r>
        <w:rPr>
          <w:rFonts w:ascii="Arial" w:hAnsi="Arial" w:cs="Arial"/>
          <w:sz w:val="22"/>
          <w:szCs w:val="21"/>
        </w:rPr>
        <w:t xml:space="preserve"> following newly marketed drugs have been added to the MassHealth Drug List. </w:t>
      </w:r>
    </w:p>
    <w:p w14:paraId="34ED8BAE" w14:textId="77777777" w:rsidR="00944B84" w:rsidRDefault="00944B84" w:rsidP="00944B84">
      <w:pPr>
        <w:pStyle w:val="Default"/>
        <w:numPr>
          <w:ilvl w:val="0"/>
          <w:numId w:val="32"/>
        </w:numPr>
        <w:spacing w:line="276" w:lineRule="auto"/>
        <w:ind w:left="1080"/>
        <w:rPr>
          <w:rFonts w:ascii="Arial" w:hAnsi="Arial" w:cs="Arial"/>
          <w:sz w:val="22"/>
          <w:szCs w:val="22"/>
        </w:rPr>
      </w:pPr>
      <w:bookmarkStart w:id="0" w:name="_Hlk86933353"/>
      <w:proofErr w:type="spellStart"/>
      <w:r>
        <w:rPr>
          <w:rFonts w:ascii="Arial" w:hAnsi="Arial" w:cs="Arial"/>
          <w:sz w:val="22"/>
          <w:szCs w:val="22"/>
        </w:rPr>
        <w:t>Bildyos</w:t>
      </w:r>
      <w:proofErr w:type="spellEnd"/>
      <w:r>
        <w:rPr>
          <w:rFonts w:ascii="Arial" w:hAnsi="Arial" w:cs="Arial"/>
          <w:sz w:val="22"/>
          <w:szCs w:val="22"/>
        </w:rPr>
        <w:t xml:space="preserve"> (denosumab-</w:t>
      </w:r>
      <w:proofErr w:type="spellStart"/>
      <w:r>
        <w:rPr>
          <w:rFonts w:ascii="Arial" w:hAnsi="Arial" w:cs="Arial"/>
          <w:sz w:val="22"/>
          <w:szCs w:val="22"/>
        </w:rPr>
        <w:t>nxxp</w:t>
      </w:r>
      <w:proofErr w:type="spellEnd"/>
      <w:r>
        <w:rPr>
          <w:rFonts w:ascii="Arial" w:hAnsi="Arial" w:cs="Arial"/>
          <w:sz w:val="22"/>
          <w:szCs w:val="22"/>
        </w:rPr>
        <w:t xml:space="preserve">) – </w:t>
      </w:r>
      <w:r>
        <w:rPr>
          <w:rFonts w:ascii="Arial" w:hAnsi="Arial" w:cs="Arial"/>
          <w:b/>
          <w:bCs/>
          <w:sz w:val="22"/>
          <w:szCs w:val="22"/>
        </w:rPr>
        <w:t>PA</w:t>
      </w:r>
    </w:p>
    <w:p w14:paraId="1814622A"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Bilprevda</w:t>
      </w:r>
      <w:proofErr w:type="spellEnd"/>
      <w:r>
        <w:rPr>
          <w:rFonts w:ascii="Arial" w:hAnsi="Arial" w:cs="Arial"/>
          <w:sz w:val="22"/>
          <w:szCs w:val="22"/>
        </w:rPr>
        <w:t xml:space="preserve"> (denosumab-</w:t>
      </w:r>
      <w:proofErr w:type="spellStart"/>
      <w:r>
        <w:rPr>
          <w:rFonts w:ascii="Arial" w:hAnsi="Arial" w:cs="Arial"/>
          <w:sz w:val="22"/>
          <w:szCs w:val="22"/>
        </w:rPr>
        <w:t>nxxp</w:t>
      </w:r>
      <w:proofErr w:type="spellEnd"/>
      <w:r>
        <w:rPr>
          <w:rFonts w:ascii="Arial" w:hAnsi="Arial" w:cs="Arial"/>
          <w:sz w:val="22"/>
          <w:szCs w:val="22"/>
        </w:rPr>
        <w:t xml:space="preserve">) – </w:t>
      </w:r>
      <w:r>
        <w:rPr>
          <w:rFonts w:ascii="Arial" w:hAnsi="Arial" w:cs="Arial"/>
          <w:b/>
          <w:bCs/>
          <w:sz w:val="22"/>
          <w:szCs w:val="22"/>
        </w:rPr>
        <w:t>PA</w:t>
      </w:r>
    </w:p>
    <w:p w14:paraId="61069177"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Bynfezia</w:t>
      </w:r>
      <w:proofErr w:type="spellEnd"/>
      <w:r>
        <w:rPr>
          <w:rFonts w:ascii="Arial" w:hAnsi="Arial" w:cs="Arial"/>
          <w:sz w:val="22"/>
          <w:szCs w:val="22"/>
        </w:rPr>
        <w:t xml:space="preserve"> (octreotide auto-injection) </w:t>
      </w:r>
    </w:p>
    <w:p w14:paraId="54076283"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Egrifta</w:t>
      </w:r>
      <w:proofErr w:type="spellEnd"/>
      <w:r>
        <w:rPr>
          <w:rFonts w:ascii="Arial" w:hAnsi="Arial" w:cs="Arial"/>
          <w:sz w:val="22"/>
          <w:szCs w:val="22"/>
        </w:rPr>
        <w:t xml:space="preserve"> WR (</w:t>
      </w:r>
      <w:proofErr w:type="spellStart"/>
      <w:r>
        <w:rPr>
          <w:rFonts w:ascii="Arial" w:hAnsi="Arial" w:cs="Arial"/>
          <w:sz w:val="22"/>
          <w:szCs w:val="22"/>
        </w:rPr>
        <w:t>tesamorelin</w:t>
      </w:r>
      <w:proofErr w:type="spellEnd"/>
      <w:r>
        <w:rPr>
          <w:rFonts w:ascii="Arial" w:hAnsi="Arial" w:cs="Arial"/>
          <w:sz w:val="22"/>
          <w:szCs w:val="22"/>
        </w:rPr>
        <w:t xml:space="preserve">) – </w:t>
      </w:r>
      <w:r>
        <w:rPr>
          <w:rFonts w:ascii="Arial" w:hAnsi="Arial" w:cs="Arial"/>
          <w:b/>
          <w:bCs/>
          <w:sz w:val="22"/>
          <w:szCs w:val="22"/>
        </w:rPr>
        <w:t xml:space="preserve">PA </w:t>
      </w:r>
    </w:p>
    <w:p w14:paraId="3A5B2517"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Enoby</w:t>
      </w:r>
      <w:proofErr w:type="spellEnd"/>
      <w:r>
        <w:rPr>
          <w:rFonts w:ascii="Arial" w:hAnsi="Arial" w:cs="Arial"/>
          <w:sz w:val="22"/>
          <w:szCs w:val="22"/>
        </w:rPr>
        <w:t xml:space="preserve"> (denosumab-</w:t>
      </w:r>
      <w:proofErr w:type="spellStart"/>
      <w:r>
        <w:rPr>
          <w:rFonts w:ascii="Arial" w:hAnsi="Arial" w:cs="Arial"/>
          <w:sz w:val="22"/>
          <w:szCs w:val="22"/>
        </w:rPr>
        <w:t>qbde</w:t>
      </w:r>
      <w:proofErr w:type="spellEnd"/>
      <w:r>
        <w:rPr>
          <w:rFonts w:ascii="Arial" w:hAnsi="Arial" w:cs="Arial"/>
          <w:sz w:val="22"/>
          <w:szCs w:val="22"/>
        </w:rPr>
        <w:t xml:space="preserve">) – </w:t>
      </w:r>
      <w:r>
        <w:rPr>
          <w:rFonts w:ascii="Arial" w:hAnsi="Arial" w:cs="Arial"/>
          <w:b/>
          <w:bCs/>
          <w:sz w:val="22"/>
          <w:szCs w:val="22"/>
        </w:rPr>
        <w:t>PA</w:t>
      </w:r>
    </w:p>
    <w:p w14:paraId="55AAB39A"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Imkeldi</w:t>
      </w:r>
      <w:proofErr w:type="spellEnd"/>
      <w:r>
        <w:rPr>
          <w:rFonts w:ascii="Arial" w:hAnsi="Arial" w:cs="Arial"/>
          <w:sz w:val="22"/>
          <w:szCs w:val="22"/>
        </w:rPr>
        <w:t xml:space="preserve"> (imatinib solution) – </w:t>
      </w:r>
      <w:r>
        <w:rPr>
          <w:rFonts w:ascii="Arial" w:hAnsi="Arial" w:cs="Arial"/>
          <w:b/>
          <w:bCs/>
          <w:sz w:val="22"/>
          <w:szCs w:val="22"/>
        </w:rPr>
        <w:t>PA</w:t>
      </w:r>
    </w:p>
    <w:p w14:paraId="10B90965"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Itvisma</w:t>
      </w:r>
      <w:proofErr w:type="spellEnd"/>
      <w:r>
        <w:rPr>
          <w:rFonts w:ascii="Arial" w:hAnsi="Arial" w:cs="Arial"/>
          <w:sz w:val="22"/>
          <w:szCs w:val="22"/>
        </w:rPr>
        <w:t xml:space="preserve"> (</w:t>
      </w:r>
      <w:proofErr w:type="spellStart"/>
      <w:r>
        <w:rPr>
          <w:rFonts w:ascii="Arial" w:hAnsi="Arial" w:cs="Arial"/>
          <w:sz w:val="22"/>
          <w:szCs w:val="22"/>
        </w:rPr>
        <w:t>onasemnogene</w:t>
      </w:r>
      <w:proofErr w:type="spellEnd"/>
      <w:r>
        <w:rPr>
          <w:rFonts w:ascii="Arial" w:hAnsi="Arial" w:cs="Arial"/>
          <w:sz w:val="22"/>
          <w:szCs w:val="22"/>
        </w:rPr>
        <w:t xml:space="preserve"> </w:t>
      </w:r>
      <w:proofErr w:type="spellStart"/>
      <w:r>
        <w:rPr>
          <w:rFonts w:ascii="Arial" w:hAnsi="Arial" w:cs="Arial"/>
          <w:sz w:val="22"/>
          <w:szCs w:val="22"/>
        </w:rPr>
        <w:t>abeparvovec-brve</w:t>
      </w:r>
      <w:proofErr w:type="spellEnd"/>
      <w:r>
        <w:rPr>
          <w:rFonts w:ascii="Arial" w:hAnsi="Arial" w:cs="Arial"/>
          <w:sz w:val="22"/>
          <w:szCs w:val="22"/>
        </w:rPr>
        <w:t>)</w:t>
      </w:r>
      <w:r>
        <w:rPr>
          <w:rFonts w:ascii="Arial" w:hAnsi="Arial" w:cs="Arial"/>
          <w:sz w:val="22"/>
          <w:szCs w:val="22"/>
          <w:vertAlign w:val="superscript"/>
        </w:rPr>
        <w:t xml:space="preserve"> PD</w:t>
      </w:r>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CO</w:t>
      </w:r>
    </w:p>
    <w:p w14:paraId="25AA1121"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Jascayd</w:t>
      </w:r>
      <w:proofErr w:type="spellEnd"/>
      <w:r>
        <w:rPr>
          <w:rFonts w:ascii="Arial" w:hAnsi="Arial" w:cs="Arial"/>
          <w:sz w:val="22"/>
          <w:szCs w:val="22"/>
        </w:rPr>
        <w:t xml:space="preserve"> (</w:t>
      </w:r>
      <w:proofErr w:type="spellStart"/>
      <w:r>
        <w:rPr>
          <w:rFonts w:ascii="Arial" w:hAnsi="Arial" w:cs="Arial"/>
          <w:sz w:val="22"/>
          <w:szCs w:val="22"/>
        </w:rPr>
        <w:t>nerandomilast</w:t>
      </w:r>
      <w:proofErr w:type="spellEnd"/>
      <w:r>
        <w:rPr>
          <w:rFonts w:ascii="Arial" w:hAnsi="Arial" w:cs="Arial"/>
          <w:sz w:val="22"/>
          <w:szCs w:val="22"/>
        </w:rPr>
        <w:t xml:space="preserve">) – </w:t>
      </w:r>
      <w:r>
        <w:rPr>
          <w:rFonts w:ascii="Arial" w:hAnsi="Arial" w:cs="Arial"/>
          <w:b/>
          <w:bCs/>
          <w:sz w:val="22"/>
          <w:szCs w:val="22"/>
        </w:rPr>
        <w:t xml:space="preserve">PA </w:t>
      </w:r>
    </w:p>
    <w:p w14:paraId="085FE3A0" w14:textId="77777777" w:rsidR="00944B84" w:rsidRDefault="00944B84" w:rsidP="00944B84">
      <w:pPr>
        <w:pStyle w:val="Default"/>
        <w:numPr>
          <w:ilvl w:val="0"/>
          <w:numId w:val="32"/>
        </w:numPr>
        <w:spacing w:line="276" w:lineRule="auto"/>
        <w:ind w:left="1080"/>
        <w:rPr>
          <w:rFonts w:ascii="Arial" w:hAnsi="Arial" w:cs="Arial"/>
          <w:sz w:val="22"/>
          <w:szCs w:val="22"/>
        </w:rPr>
      </w:pPr>
      <w:r>
        <w:rPr>
          <w:rFonts w:ascii="Arial" w:hAnsi="Arial" w:cs="Arial"/>
          <w:sz w:val="22"/>
          <w:szCs w:val="22"/>
        </w:rPr>
        <w:t>Kirsty (insulin aspart-</w:t>
      </w:r>
      <w:proofErr w:type="spellStart"/>
      <w:r>
        <w:rPr>
          <w:rFonts w:ascii="Arial" w:hAnsi="Arial" w:cs="Arial"/>
          <w:sz w:val="22"/>
          <w:szCs w:val="22"/>
        </w:rPr>
        <w:t>xjhz</w:t>
      </w:r>
      <w:proofErr w:type="spellEnd"/>
      <w:r>
        <w:rPr>
          <w:rFonts w:ascii="Arial" w:hAnsi="Arial" w:cs="Arial"/>
          <w:sz w:val="22"/>
          <w:szCs w:val="22"/>
        </w:rPr>
        <w:t xml:space="preserve">) – </w:t>
      </w:r>
      <w:r>
        <w:rPr>
          <w:rFonts w:ascii="Arial" w:hAnsi="Arial" w:cs="Arial"/>
          <w:b/>
          <w:bCs/>
          <w:sz w:val="22"/>
          <w:szCs w:val="22"/>
        </w:rPr>
        <w:t>PA</w:t>
      </w:r>
    </w:p>
    <w:p w14:paraId="61AC3349"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Merilog</w:t>
      </w:r>
      <w:proofErr w:type="spellEnd"/>
      <w:r>
        <w:rPr>
          <w:rFonts w:ascii="Arial" w:hAnsi="Arial" w:cs="Arial"/>
          <w:sz w:val="22"/>
          <w:szCs w:val="22"/>
        </w:rPr>
        <w:t xml:space="preserve"> (insulin aspart-</w:t>
      </w:r>
      <w:proofErr w:type="spellStart"/>
      <w:r>
        <w:rPr>
          <w:rFonts w:ascii="Arial" w:hAnsi="Arial" w:cs="Arial"/>
          <w:sz w:val="22"/>
          <w:szCs w:val="22"/>
        </w:rPr>
        <w:t>szjj</w:t>
      </w:r>
      <w:proofErr w:type="spellEnd"/>
      <w:r>
        <w:rPr>
          <w:rFonts w:ascii="Arial" w:hAnsi="Arial" w:cs="Arial"/>
          <w:sz w:val="22"/>
          <w:szCs w:val="22"/>
        </w:rPr>
        <w:t xml:space="preserve">) – </w:t>
      </w:r>
      <w:r>
        <w:rPr>
          <w:rFonts w:ascii="Arial" w:hAnsi="Arial" w:cs="Arial"/>
          <w:b/>
          <w:bCs/>
          <w:sz w:val="22"/>
          <w:szCs w:val="22"/>
        </w:rPr>
        <w:t xml:space="preserve">PA </w:t>
      </w:r>
    </w:p>
    <w:p w14:paraId="26386045" w14:textId="77777777" w:rsidR="00944B84" w:rsidRDefault="00944B84" w:rsidP="00944B84">
      <w:pPr>
        <w:pStyle w:val="Default"/>
        <w:numPr>
          <w:ilvl w:val="0"/>
          <w:numId w:val="32"/>
        </w:numPr>
        <w:spacing w:line="276" w:lineRule="auto"/>
        <w:ind w:left="1080"/>
        <w:rPr>
          <w:rFonts w:ascii="Arial" w:hAnsi="Arial" w:cs="Arial"/>
          <w:sz w:val="22"/>
          <w:szCs w:val="22"/>
        </w:rPr>
      </w:pPr>
      <w:r>
        <w:rPr>
          <w:rFonts w:ascii="Arial" w:hAnsi="Arial" w:cs="Arial"/>
          <w:sz w:val="22"/>
          <w:szCs w:val="22"/>
        </w:rPr>
        <w:t>Otezla XR (apremilast extended-release) –</w:t>
      </w:r>
      <w:r>
        <w:rPr>
          <w:rFonts w:ascii="Arial" w:hAnsi="Arial" w:cs="Arial"/>
          <w:b/>
          <w:bCs/>
          <w:sz w:val="22"/>
          <w:szCs w:val="22"/>
        </w:rPr>
        <w:t xml:space="preserve"> PA</w:t>
      </w:r>
    </w:p>
    <w:p w14:paraId="5BD20E5B"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Palsonify</w:t>
      </w:r>
      <w:proofErr w:type="spellEnd"/>
      <w:r>
        <w:rPr>
          <w:rFonts w:ascii="Arial" w:hAnsi="Arial" w:cs="Arial"/>
          <w:sz w:val="22"/>
          <w:szCs w:val="22"/>
        </w:rPr>
        <w:t xml:space="preserve"> (</w:t>
      </w:r>
      <w:proofErr w:type="spellStart"/>
      <w:r>
        <w:rPr>
          <w:rFonts w:ascii="Arial" w:hAnsi="Arial" w:cs="Arial"/>
          <w:sz w:val="22"/>
          <w:szCs w:val="22"/>
        </w:rPr>
        <w:t>paltusotine</w:t>
      </w:r>
      <w:proofErr w:type="spellEnd"/>
      <w:r>
        <w:rPr>
          <w:rFonts w:ascii="Arial" w:hAnsi="Arial" w:cs="Arial"/>
          <w:sz w:val="22"/>
          <w:szCs w:val="22"/>
        </w:rPr>
        <w:t xml:space="preserve">) – </w:t>
      </w:r>
      <w:r>
        <w:rPr>
          <w:rFonts w:ascii="Arial" w:hAnsi="Arial" w:cs="Arial"/>
          <w:b/>
          <w:bCs/>
          <w:sz w:val="22"/>
          <w:szCs w:val="22"/>
        </w:rPr>
        <w:t>PA</w:t>
      </w:r>
    </w:p>
    <w:p w14:paraId="247DAA5A"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Redemplo</w:t>
      </w:r>
      <w:proofErr w:type="spellEnd"/>
      <w:r>
        <w:rPr>
          <w:rFonts w:ascii="Arial" w:hAnsi="Arial" w:cs="Arial"/>
          <w:sz w:val="22"/>
          <w:szCs w:val="22"/>
        </w:rPr>
        <w:t xml:space="preserve"> (</w:t>
      </w:r>
      <w:proofErr w:type="spellStart"/>
      <w:r>
        <w:rPr>
          <w:rFonts w:ascii="Arial" w:hAnsi="Arial" w:cs="Arial"/>
          <w:sz w:val="22"/>
          <w:szCs w:val="22"/>
        </w:rPr>
        <w:t>plozasiran</w:t>
      </w:r>
      <w:proofErr w:type="spellEnd"/>
      <w:r>
        <w:rPr>
          <w:rFonts w:ascii="Arial" w:hAnsi="Arial" w:cs="Arial"/>
          <w:sz w:val="22"/>
          <w:szCs w:val="22"/>
        </w:rPr>
        <w:t xml:space="preserve">) – </w:t>
      </w:r>
      <w:r>
        <w:rPr>
          <w:rFonts w:ascii="Arial" w:hAnsi="Arial" w:cs="Arial"/>
          <w:b/>
          <w:bCs/>
          <w:sz w:val="22"/>
          <w:szCs w:val="22"/>
        </w:rPr>
        <w:t>PA</w:t>
      </w:r>
    </w:p>
    <w:p w14:paraId="03FD0AC0" w14:textId="77777777" w:rsidR="00944B84" w:rsidRDefault="00944B84" w:rsidP="00944B84">
      <w:pPr>
        <w:pStyle w:val="Default"/>
        <w:numPr>
          <w:ilvl w:val="0"/>
          <w:numId w:val="32"/>
        </w:numPr>
        <w:spacing w:line="276" w:lineRule="auto"/>
        <w:ind w:left="1080"/>
        <w:rPr>
          <w:rFonts w:ascii="Arial" w:hAnsi="Arial" w:cs="Arial"/>
          <w:b/>
          <w:bCs/>
          <w:sz w:val="22"/>
          <w:szCs w:val="22"/>
        </w:rPr>
      </w:pPr>
      <w:proofErr w:type="spellStart"/>
      <w:r>
        <w:rPr>
          <w:rFonts w:ascii="Arial" w:hAnsi="Arial" w:cs="Arial"/>
          <w:sz w:val="22"/>
          <w:szCs w:val="22"/>
        </w:rPr>
        <w:t>Steqeyma</w:t>
      </w:r>
      <w:proofErr w:type="spellEnd"/>
      <w:r>
        <w:rPr>
          <w:rFonts w:ascii="Arial" w:hAnsi="Arial" w:cs="Arial"/>
          <w:sz w:val="22"/>
          <w:szCs w:val="22"/>
        </w:rPr>
        <w:t xml:space="preserve"> (ustekinumab-</w:t>
      </w:r>
      <w:proofErr w:type="spellStart"/>
      <w:r>
        <w:rPr>
          <w:rFonts w:ascii="Arial" w:hAnsi="Arial" w:cs="Arial"/>
          <w:sz w:val="22"/>
          <w:szCs w:val="22"/>
        </w:rPr>
        <w:t>stba</w:t>
      </w:r>
      <w:proofErr w:type="spellEnd"/>
      <w:r>
        <w:rPr>
          <w:rFonts w:ascii="Arial" w:hAnsi="Arial" w:cs="Arial"/>
          <w:sz w:val="22"/>
          <w:szCs w:val="22"/>
        </w:rPr>
        <w:t xml:space="preserve"> 45 mg/0.5 mL vial) –</w:t>
      </w:r>
      <w:r>
        <w:rPr>
          <w:rFonts w:ascii="Arial" w:hAnsi="Arial" w:cs="Arial"/>
          <w:b/>
          <w:bCs/>
          <w:sz w:val="22"/>
          <w:szCs w:val="22"/>
        </w:rPr>
        <w:t xml:space="preserve"> PA</w:t>
      </w:r>
    </w:p>
    <w:p w14:paraId="1D92293D" w14:textId="77777777" w:rsidR="00944B84" w:rsidRDefault="00944B84" w:rsidP="00944B84">
      <w:pPr>
        <w:pStyle w:val="Default"/>
        <w:numPr>
          <w:ilvl w:val="0"/>
          <w:numId w:val="32"/>
        </w:numPr>
        <w:spacing w:line="276" w:lineRule="auto"/>
        <w:ind w:left="1080"/>
        <w:rPr>
          <w:rFonts w:ascii="Arial" w:hAnsi="Arial" w:cs="Arial"/>
          <w:b/>
          <w:bCs/>
          <w:sz w:val="22"/>
          <w:szCs w:val="22"/>
        </w:rPr>
      </w:pPr>
      <w:proofErr w:type="spellStart"/>
      <w:r>
        <w:rPr>
          <w:rFonts w:ascii="Arial" w:hAnsi="Arial" w:cs="Arial"/>
          <w:sz w:val="22"/>
          <w:szCs w:val="22"/>
        </w:rPr>
        <w:t>Wayrilz</w:t>
      </w:r>
      <w:proofErr w:type="spellEnd"/>
      <w:r>
        <w:rPr>
          <w:rFonts w:ascii="Arial" w:hAnsi="Arial" w:cs="Arial"/>
          <w:sz w:val="22"/>
          <w:szCs w:val="22"/>
        </w:rPr>
        <w:t xml:space="preserve"> (</w:t>
      </w:r>
      <w:proofErr w:type="spellStart"/>
      <w:r>
        <w:rPr>
          <w:rFonts w:ascii="Arial" w:hAnsi="Arial" w:cs="Arial"/>
          <w:sz w:val="22"/>
          <w:szCs w:val="22"/>
        </w:rPr>
        <w:t>rilzabrutinib</w:t>
      </w:r>
      <w:proofErr w:type="spellEnd"/>
      <w:r>
        <w:rPr>
          <w:rFonts w:ascii="Arial" w:hAnsi="Arial" w:cs="Arial"/>
          <w:sz w:val="22"/>
          <w:szCs w:val="22"/>
        </w:rPr>
        <w:t>)</w:t>
      </w:r>
      <w:r>
        <w:rPr>
          <w:rFonts w:ascii="Arial" w:hAnsi="Arial" w:cs="Arial"/>
          <w:b/>
          <w:bCs/>
          <w:sz w:val="22"/>
          <w:szCs w:val="22"/>
        </w:rPr>
        <w:t xml:space="preserve"> </w:t>
      </w:r>
      <w:r>
        <w:rPr>
          <w:rFonts w:ascii="Arial" w:hAnsi="Arial" w:cs="Arial"/>
          <w:sz w:val="22"/>
          <w:szCs w:val="22"/>
        </w:rPr>
        <w:t>–</w:t>
      </w:r>
      <w:r>
        <w:rPr>
          <w:rFonts w:ascii="Arial" w:hAnsi="Arial" w:cs="Arial"/>
          <w:b/>
          <w:bCs/>
          <w:sz w:val="22"/>
          <w:szCs w:val="22"/>
        </w:rPr>
        <w:t xml:space="preserve"> PA</w:t>
      </w:r>
    </w:p>
    <w:p w14:paraId="0B44D990" w14:textId="77777777" w:rsidR="00944B84" w:rsidRDefault="00944B84" w:rsidP="00944B84">
      <w:pPr>
        <w:pStyle w:val="Default"/>
        <w:numPr>
          <w:ilvl w:val="0"/>
          <w:numId w:val="32"/>
        </w:numPr>
        <w:spacing w:line="276" w:lineRule="auto"/>
        <w:ind w:left="1080"/>
        <w:rPr>
          <w:rFonts w:ascii="Arial" w:hAnsi="Arial" w:cs="Arial"/>
          <w:b/>
          <w:bCs/>
          <w:sz w:val="22"/>
          <w:szCs w:val="22"/>
        </w:rPr>
      </w:pPr>
      <w:proofErr w:type="spellStart"/>
      <w:r>
        <w:rPr>
          <w:rFonts w:ascii="Arial" w:hAnsi="Arial" w:cs="Arial"/>
          <w:sz w:val="22"/>
          <w:szCs w:val="22"/>
        </w:rPr>
        <w:t>Wegovy</w:t>
      </w:r>
      <w:proofErr w:type="spellEnd"/>
      <w:r>
        <w:rPr>
          <w:rFonts w:ascii="Arial" w:hAnsi="Arial" w:cs="Arial"/>
          <w:sz w:val="22"/>
          <w:szCs w:val="22"/>
        </w:rPr>
        <w:t xml:space="preserve"> (semaglutide tablet) </w:t>
      </w:r>
      <w:r>
        <w:rPr>
          <w:rFonts w:ascii="Arial" w:hAnsi="Arial" w:cs="Arial"/>
          <w:sz w:val="22"/>
          <w:szCs w:val="22"/>
          <w:vertAlign w:val="superscript"/>
        </w:rPr>
        <w:t>PD</w:t>
      </w:r>
      <w:r>
        <w:rPr>
          <w:rFonts w:ascii="Arial" w:hAnsi="Arial" w:cs="Arial"/>
          <w:sz w:val="22"/>
          <w:szCs w:val="22"/>
        </w:rPr>
        <w:t xml:space="preserve"> – </w:t>
      </w:r>
      <w:r>
        <w:rPr>
          <w:rFonts w:ascii="Arial" w:hAnsi="Arial" w:cs="Arial"/>
          <w:b/>
          <w:bCs/>
          <w:sz w:val="22"/>
          <w:szCs w:val="22"/>
        </w:rPr>
        <w:t xml:space="preserve">PA </w:t>
      </w:r>
    </w:p>
    <w:p w14:paraId="6B5B18F7" w14:textId="77777777" w:rsidR="00944B84" w:rsidRDefault="00944B84" w:rsidP="00944B84">
      <w:pPr>
        <w:pStyle w:val="Default"/>
        <w:numPr>
          <w:ilvl w:val="0"/>
          <w:numId w:val="32"/>
        </w:numPr>
        <w:spacing w:line="276" w:lineRule="auto"/>
        <w:ind w:left="1080"/>
        <w:rPr>
          <w:rFonts w:ascii="Arial" w:hAnsi="Arial" w:cs="Arial"/>
          <w:sz w:val="22"/>
          <w:szCs w:val="22"/>
        </w:rPr>
      </w:pPr>
      <w:proofErr w:type="spellStart"/>
      <w:r>
        <w:rPr>
          <w:rFonts w:ascii="Arial" w:hAnsi="Arial" w:cs="Arial"/>
          <w:sz w:val="22"/>
          <w:szCs w:val="22"/>
        </w:rPr>
        <w:t>Xtrenbo</w:t>
      </w:r>
      <w:proofErr w:type="spellEnd"/>
      <w:r>
        <w:rPr>
          <w:rFonts w:ascii="Arial" w:hAnsi="Arial" w:cs="Arial"/>
          <w:sz w:val="22"/>
          <w:szCs w:val="22"/>
        </w:rPr>
        <w:t xml:space="preserve"> (denosumab-</w:t>
      </w:r>
      <w:proofErr w:type="spellStart"/>
      <w:r>
        <w:rPr>
          <w:rFonts w:ascii="Arial" w:hAnsi="Arial" w:cs="Arial"/>
          <w:sz w:val="22"/>
          <w:szCs w:val="22"/>
        </w:rPr>
        <w:t>qbde</w:t>
      </w:r>
      <w:proofErr w:type="spellEnd"/>
      <w:r>
        <w:rPr>
          <w:rFonts w:ascii="Arial" w:hAnsi="Arial" w:cs="Arial"/>
          <w:sz w:val="22"/>
          <w:szCs w:val="22"/>
        </w:rPr>
        <w:t xml:space="preserve">) – </w:t>
      </w:r>
      <w:r>
        <w:rPr>
          <w:rFonts w:ascii="Arial" w:hAnsi="Arial" w:cs="Arial"/>
          <w:b/>
          <w:bCs/>
          <w:sz w:val="22"/>
          <w:szCs w:val="22"/>
        </w:rPr>
        <w:t>PA</w:t>
      </w:r>
      <w:bookmarkEnd w:id="0"/>
    </w:p>
    <w:p w14:paraId="6FD48BA0" w14:textId="77777777" w:rsidR="003D7A5F" w:rsidRPr="00E24E22" w:rsidRDefault="003D7A5F" w:rsidP="003D7A5F">
      <w:pPr>
        <w:pStyle w:val="Heading2"/>
      </w:pPr>
      <w:r>
        <w:t>Change in Prior Authorization Status</w:t>
      </w:r>
    </w:p>
    <w:p w14:paraId="393E5DE0" w14:textId="77777777" w:rsidR="00944B84" w:rsidRDefault="00944B84" w:rsidP="00944B84">
      <w:pPr>
        <w:pStyle w:val="ListParagraph"/>
        <w:numPr>
          <w:ilvl w:val="0"/>
          <w:numId w:val="33"/>
        </w:numPr>
        <w:ind w:left="720"/>
        <w:contextualSpacing/>
        <w:rPr>
          <w:rFonts w:cs="Arial"/>
          <w:szCs w:val="22"/>
        </w:rPr>
      </w:pPr>
      <w:bookmarkStart w:id="1" w:name="_Hlk98931753"/>
      <w:bookmarkStart w:id="2" w:name="_Hlk30086979"/>
      <w:bookmarkStart w:id="3" w:name="_Hlk527542045"/>
      <w:r>
        <w:rPr>
          <w:rFonts w:cs="Arial"/>
        </w:rPr>
        <w:t xml:space="preserve">Effective May 11, 2026, the following antiemetic agent will require PA. </w:t>
      </w:r>
    </w:p>
    <w:p w14:paraId="28A43C4F" w14:textId="77777777" w:rsidR="00944B84" w:rsidRDefault="00944B84" w:rsidP="00944B84">
      <w:pPr>
        <w:pStyle w:val="ListParagraph"/>
        <w:numPr>
          <w:ilvl w:val="1"/>
          <w:numId w:val="33"/>
        </w:numPr>
        <w:spacing w:after="160" w:line="256" w:lineRule="auto"/>
        <w:ind w:left="1080"/>
        <w:contextualSpacing/>
        <w:rPr>
          <w:rFonts w:cs="Arial"/>
        </w:rPr>
      </w:pPr>
      <w:proofErr w:type="spellStart"/>
      <w:r>
        <w:rPr>
          <w:rFonts w:cs="Arial"/>
        </w:rPr>
        <w:t>Sustol</w:t>
      </w:r>
      <w:proofErr w:type="spellEnd"/>
      <w:r>
        <w:rPr>
          <w:rFonts w:cs="Arial"/>
        </w:rPr>
        <w:t xml:space="preserve"> (</w:t>
      </w:r>
      <w:proofErr w:type="spellStart"/>
      <w:r>
        <w:rPr>
          <w:rFonts w:cs="Arial"/>
        </w:rPr>
        <w:t>granisetron</w:t>
      </w:r>
      <w:proofErr w:type="spellEnd"/>
      <w:r>
        <w:rPr>
          <w:rFonts w:cs="Arial"/>
        </w:rPr>
        <w:t xml:space="preserve"> extended-release injection) – </w:t>
      </w:r>
      <w:r>
        <w:rPr>
          <w:rFonts w:cs="Arial"/>
          <w:b/>
          <w:bCs/>
        </w:rPr>
        <w:t>PA</w:t>
      </w:r>
    </w:p>
    <w:p w14:paraId="3FAA65AF" w14:textId="77777777" w:rsidR="00944B84" w:rsidRDefault="00944B84" w:rsidP="00944B84">
      <w:pPr>
        <w:pStyle w:val="ListParagraph"/>
        <w:numPr>
          <w:ilvl w:val="0"/>
          <w:numId w:val="33"/>
        </w:numPr>
        <w:ind w:left="720"/>
        <w:contextualSpacing/>
        <w:rPr>
          <w:rFonts w:cs="Arial"/>
        </w:rPr>
      </w:pPr>
      <w:r>
        <w:rPr>
          <w:rFonts w:cs="Arial"/>
        </w:rPr>
        <w:t xml:space="preserve">Effective May 11, 2026, the following anti-hemophilia agent will require PA. </w:t>
      </w:r>
    </w:p>
    <w:p w14:paraId="070BD341" w14:textId="77777777" w:rsidR="00944B84" w:rsidRDefault="00944B84" w:rsidP="00944B84">
      <w:pPr>
        <w:pStyle w:val="ListParagraph"/>
        <w:numPr>
          <w:ilvl w:val="1"/>
          <w:numId w:val="33"/>
        </w:numPr>
        <w:spacing w:after="160" w:line="256" w:lineRule="auto"/>
        <w:ind w:left="1080"/>
        <w:contextualSpacing/>
        <w:rPr>
          <w:rFonts w:cs="Arial"/>
        </w:rPr>
      </w:pPr>
      <w:proofErr w:type="spellStart"/>
      <w:r>
        <w:rPr>
          <w:rFonts w:cs="Arial"/>
        </w:rPr>
        <w:t>Hemlibra</w:t>
      </w:r>
      <w:proofErr w:type="spellEnd"/>
      <w:r>
        <w:rPr>
          <w:rFonts w:cs="Arial"/>
        </w:rPr>
        <w:t xml:space="preserve"> (</w:t>
      </w:r>
      <w:proofErr w:type="spellStart"/>
      <w:r>
        <w:rPr>
          <w:rFonts w:cs="Arial"/>
        </w:rPr>
        <w:t>emicizumab-kxwh</w:t>
      </w:r>
      <w:proofErr w:type="spellEnd"/>
      <w:r>
        <w:rPr>
          <w:rFonts w:cs="Arial"/>
        </w:rPr>
        <w:t xml:space="preserve">) – </w:t>
      </w:r>
      <w:r>
        <w:rPr>
          <w:rFonts w:cs="Arial"/>
          <w:b/>
          <w:bCs/>
        </w:rPr>
        <w:t>PA</w:t>
      </w:r>
    </w:p>
    <w:bookmarkEnd w:id="1"/>
    <w:bookmarkEnd w:id="2"/>
    <w:p w14:paraId="6BB40E92" w14:textId="77777777" w:rsidR="00944B84" w:rsidRDefault="00944B84" w:rsidP="00944B84">
      <w:pPr>
        <w:pStyle w:val="ListParagraph"/>
        <w:numPr>
          <w:ilvl w:val="0"/>
          <w:numId w:val="33"/>
        </w:numPr>
        <w:spacing w:after="160"/>
        <w:ind w:left="720"/>
        <w:contextualSpacing/>
        <w:rPr>
          <w:rFonts w:cs="Arial"/>
        </w:rPr>
      </w:pPr>
      <w:r>
        <w:rPr>
          <w:rFonts w:cs="Arial"/>
        </w:rPr>
        <w:t>Effective May 11, 2026, the following antidiabetic agents will require PA.</w:t>
      </w:r>
    </w:p>
    <w:p w14:paraId="759FEC73" w14:textId="77777777" w:rsidR="00944B84" w:rsidRDefault="00944B84" w:rsidP="00944B84">
      <w:pPr>
        <w:pStyle w:val="ListParagraph"/>
        <w:numPr>
          <w:ilvl w:val="1"/>
          <w:numId w:val="33"/>
        </w:numPr>
        <w:spacing w:after="160"/>
        <w:ind w:left="1080"/>
        <w:contextualSpacing/>
        <w:rPr>
          <w:rFonts w:cs="Arial"/>
        </w:rPr>
      </w:pPr>
      <w:r>
        <w:rPr>
          <w:rFonts w:cs="Arial"/>
        </w:rPr>
        <w:t xml:space="preserve">Humalog (insulin lispro 200 units/mL) – </w:t>
      </w:r>
      <w:r>
        <w:rPr>
          <w:rFonts w:cs="Arial"/>
          <w:b/>
          <w:bCs/>
        </w:rPr>
        <w:t>PA</w:t>
      </w:r>
    </w:p>
    <w:p w14:paraId="133EE9E5" w14:textId="77777777" w:rsidR="00944B84" w:rsidRDefault="00944B84" w:rsidP="00944B84">
      <w:pPr>
        <w:pStyle w:val="ListParagraph"/>
        <w:numPr>
          <w:ilvl w:val="1"/>
          <w:numId w:val="33"/>
        </w:numPr>
        <w:spacing w:after="160"/>
        <w:ind w:left="1080"/>
        <w:contextualSpacing/>
        <w:rPr>
          <w:rFonts w:cs="Arial"/>
        </w:rPr>
      </w:pPr>
      <w:r>
        <w:rPr>
          <w:rFonts w:cs="Arial"/>
        </w:rPr>
        <w:t>Novolin (insulin NPH/regular insulin 70/30) –</w:t>
      </w:r>
      <w:r>
        <w:rPr>
          <w:rFonts w:cs="Arial"/>
          <w:b/>
          <w:bCs/>
        </w:rPr>
        <w:t xml:space="preserve"> PA</w:t>
      </w:r>
    </w:p>
    <w:p w14:paraId="6F9FC23E" w14:textId="77777777" w:rsidR="00944B84" w:rsidRDefault="00944B84" w:rsidP="00944B84">
      <w:pPr>
        <w:pStyle w:val="ListParagraph"/>
        <w:numPr>
          <w:ilvl w:val="1"/>
          <w:numId w:val="33"/>
        </w:numPr>
        <w:spacing w:after="160"/>
        <w:ind w:left="1080"/>
        <w:contextualSpacing/>
        <w:rPr>
          <w:rFonts w:cs="Arial"/>
        </w:rPr>
      </w:pPr>
      <w:proofErr w:type="spellStart"/>
      <w:r>
        <w:rPr>
          <w:rFonts w:cs="Arial"/>
        </w:rPr>
        <w:t>Toujeo</w:t>
      </w:r>
      <w:proofErr w:type="spellEnd"/>
      <w:r>
        <w:rPr>
          <w:rFonts w:cs="Arial"/>
        </w:rPr>
        <w:t xml:space="preserve"> (insulin glargine) – </w:t>
      </w:r>
      <w:r>
        <w:rPr>
          <w:rFonts w:cs="Arial"/>
          <w:b/>
          <w:bCs/>
        </w:rPr>
        <w:t>PA</w:t>
      </w:r>
      <w:r>
        <w:rPr>
          <w:rFonts w:cs="Arial"/>
        </w:rPr>
        <w:t>; BP</w:t>
      </w:r>
    </w:p>
    <w:p w14:paraId="5EEBAC5F" w14:textId="77777777" w:rsidR="00944B84" w:rsidRDefault="00944B84" w:rsidP="00944B84">
      <w:pPr>
        <w:pStyle w:val="ListParagraph"/>
        <w:numPr>
          <w:ilvl w:val="1"/>
          <w:numId w:val="33"/>
        </w:numPr>
        <w:spacing w:after="160"/>
        <w:ind w:left="1080"/>
        <w:contextualSpacing/>
        <w:rPr>
          <w:rFonts w:cs="Arial"/>
        </w:rPr>
      </w:pPr>
      <w:r>
        <w:rPr>
          <w:rFonts w:cs="Arial"/>
        </w:rPr>
        <w:t>Tresiba (insulin degludec) –</w:t>
      </w:r>
      <w:r>
        <w:rPr>
          <w:rFonts w:cs="Arial"/>
          <w:b/>
          <w:bCs/>
        </w:rPr>
        <w:t xml:space="preserve"> PA</w:t>
      </w:r>
      <w:r>
        <w:rPr>
          <w:rFonts w:cs="Arial"/>
        </w:rPr>
        <w:t>; BP</w:t>
      </w:r>
    </w:p>
    <w:p w14:paraId="1240AF6D" w14:textId="77777777" w:rsidR="00944B84" w:rsidRDefault="00944B84" w:rsidP="00944B84">
      <w:pPr>
        <w:pStyle w:val="ListParagraph"/>
        <w:numPr>
          <w:ilvl w:val="0"/>
          <w:numId w:val="33"/>
        </w:numPr>
        <w:spacing w:after="160"/>
        <w:ind w:left="720"/>
        <w:contextualSpacing/>
        <w:rPr>
          <w:rFonts w:cs="Arial"/>
        </w:rPr>
      </w:pPr>
      <w:r>
        <w:rPr>
          <w:rFonts w:cs="Arial"/>
        </w:rPr>
        <w:t>Effective May 11, 2026, the following anticoagulant agents will no longer require PA.</w:t>
      </w:r>
    </w:p>
    <w:p w14:paraId="5696A630" w14:textId="77777777" w:rsidR="00944B84" w:rsidRDefault="00944B84" w:rsidP="00944B84">
      <w:pPr>
        <w:pStyle w:val="ListParagraph"/>
        <w:numPr>
          <w:ilvl w:val="1"/>
          <w:numId w:val="33"/>
        </w:numPr>
        <w:spacing w:after="160"/>
        <w:ind w:left="1080"/>
        <w:contextualSpacing/>
        <w:rPr>
          <w:rFonts w:cs="Arial"/>
        </w:rPr>
      </w:pPr>
      <w:r>
        <w:rPr>
          <w:rFonts w:cs="Arial"/>
        </w:rPr>
        <w:t>Eliquis (apixaban sprinkle capsule)</w:t>
      </w:r>
    </w:p>
    <w:p w14:paraId="6C72651D" w14:textId="77777777" w:rsidR="00944B84" w:rsidRDefault="00944B84" w:rsidP="00944B84">
      <w:pPr>
        <w:pStyle w:val="ListParagraph"/>
        <w:numPr>
          <w:ilvl w:val="1"/>
          <w:numId w:val="33"/>
        </w:numPr>
        <w:ind w:left="1080"/>
        <w:contextualSpacing/>
        <w:rPr>
          <w:rFonts w:cs="Arial"/>
        </w:rPr>
      </w:pPr>
      <w:r>
        <w:rPr>
          <w:rFonts w:cs="Arial"/>
        </w:rPr>
        <w:t>Eliquis (apixaban tablet for oral suspension)</w:t>
      </w:r>
    </w:p>
    <w:p w14:paraId="2A33F9E7" w14:textId="77777777" w:rsidR="00944B84" w:rsidRPr="00944B84" w:rsidRDefault="00944B84" w:rsidP="00944B84">
      <w:pPr>
        <w:pStyle w:val="Heading1"/>
        <w:rPr>
          <w:sz w:val="22"/>
          <w:szCs w:val="26"/>
        </w:rPr>
      </w:pPr>
      <w:r w:rsidRPr="00944B84">
        <w:rPr>
          <w:sz w:val="22"/>
          <w:szCs w:val="26"/>
        </w:rPr>
        <w:lastRenderedPageBreak/>
        <w:t>Change in Coverage Status</w:t>
      </w:r>
    </w:p>
    <w:p w14:paraId="2706DC33" w14:textId="77777777" w:rsidR="00944B84" w:rsidRDefault="00944B84" w:rsidP="00944B84">
      <w:pPr>
        <w:pStyle w:val="Default"/>
        <w:spacing w:line="276" w:lineRule="auto"/>
        <w:rPr>
          <w:rFonts w:ascii="Arial" w:hAnsi="Arial" w:cs="Arial"/>
          <w:sz w:val="22"/>
          <w:szCs w:val="22"/>
        </w:rPr>
      </w:pPr>
      <w:r>
        <w:rPr>
          <w:rFonts w:ascii="Arial" w:hAnsi="Arial" w:cs="Arial"/>
          <w:sz w:val="22"/>
          <w:szCs w:val="22"/>
        </w:rPr>
        <w:t xml:space="preserve">Effective </w:t>
      </w:r>
      <w:r>
        <w:rPr>
          <w:rFonts w:ascii="Arial" w:hAnsi="Arial" w:cs="Arial"/>
          <w:color w:val="auto"/>
          <w:sz w:val="22"/>
          <w:szCs w:val="22"/>
        </w:rPr>
        <w:t>May 11, 2026</w:t>
      </w:r>
      <w:r>
        <w:rPr>
          <w:rFonts w:ascii="Arial" w:hAnsi="Arial" w:cs="Arial"/>
          <w:sz w:val="22"/>
          <w:szCs w:val="22"/>
        </w:rPr>
        <w:t xml:space="preserve">, the following agent will no longer be restricted to medical billing. </w:t>
      </w:r>
    </w:p>
    <w:p w14:paraId="69A1C596" w14:textId="59ED250F" w:rsidR="00944B84" w:rsidRPr="00944B84" w:rsidRDefault="00944B84" w:rsidP="003D7A5F">
      <w:pPr>
        <w:pStyle w:val="Default"/>
        <w:numPr>
          <w:ilvl w:val="0"/>
          <w:numId w:val="34"/>
        </w:numPr>
        <w:spacing w:line="276" w:lineRule="auto"/>
        <w:ind w:left="1080"/>
        <w:rPr>
          <w:rFonts w:ascii="Arial" w:hAnsi="Arial" w:cs="Arial"/>
          <w:color w:val="auto"/>
          <w:sz w:val="22"/>
          <w:szCs w:val="22"/>
        </w:rPr>
      </w:pPr>
      <w:proofErr w:type="spellStart"/>
      <w:r>
        <w:rPr>
          <w:rFonts w:ascii="Arial" w:hAnsi="Arial" w:cs="Arial"/>
          <w:color w:val="auto"/>
          <w:sz w:val="22"/>
          <w:szCs w:val="22"/>
        </w:rPr>
        <w:t>Supprelin</w:t>
      </w:r>
      <w:proofErr w:type="spellEnd"/>
      <w:r>
        <w:rPr>
          <w:rFonts w:ascii="Arial" w:hAnsi="Arial" w:cs="Arial"/>
          <w:color w:val="auto"/>
          <w:sz w:val="22"/>
          <w:szCs w:val="22"/>
        </w:rPr>
        <w:t xml:space="preserve"> LA (</w:t>
      </w:r>
      <w:proofErr w:type="spellStart"/>
      <w:r>
        <w:rPr>
          <w:rFonts w:ascii="Arial" w:hAnsi="Arial" w:cs="Arial"/>
          <w:color w:val="auto"/>
          <w:sz w:val="22"/>
          <w:szCs w:val="22"/>
        </w:rPr>
        <w:t>histrelin</w:t>
      </w:r>
      <w:proofErr w:type="spellEnd"/>
      <w:r>
        <w:rPr>
          <w:rFonts w:ascii="Arial" w:hAnsi="Arial" w:cs="Arial"/>
          <w:color w:val="auto"/>
          <w:sz w:val="22"/>
          <w:szCs w:val="22"/>
        </w:rPr>
        <w:t>) –</w:t>
      </w:r>
      <w:r w:rsidR="00037CC5">
        <w:rPr>
          <w:rFonts w:ascii="Arial" w:hAnsi="Arial" w:cs="Arial"/>
          <w:color w:val="auto"/>
          <w:sz w:val="22"/>
          <w:szCs w:val="22"/>
        </w:rPr>
        <w:t xml:space="preserve"> </w:t>
      </w:r>
      <w:r>
        <w:rPr>
          <w:rFonts w:ascii="Arial" w:hAnsi="Arial" w:cs="Arial"/>
          <w:b/>
          <w:bCs/>
          <w:color w:val="auto"/>
          <w:sz w:val="22"/>
          <w:szCs w:val="22"/>
        </w:rPr>
        <w:t>PA</w:t>
      </w:r>
    </w:p>
    <w:p w14:paraId="125AF4BF" w14:textId="3ED76DF2" w:rsidR="003D7A5F" w:rsidRPr="00E24E22" w:rsidRDefault="003D7A5F" w:rsidP="003D7A5F">
      <w:pPr>
        <w:pStyle w:val="Heading2"/>
      </w:pPr>
      <w:r w:rsidRPr="00E24E22">
        <w:t>Updated MassHealth Brand Name Preferred Over Generic Drug List</w:t>
      </w:r>
    </w:p>
    <w:bookmarkEnd w:id="3"/>
    <w:p w14:paraId="7D7115B2" w14:textId="77777777" w:rsidR="00944B84" w:rsidRDefault="00944B84" w:rsidP="00944B84">
      <w:pPr>
        <w:rPr>
          <w:szCs w:val="21"/>
        </w:rPr>
      </w:pPr>
      <w:r>
        <w:rPr>
          <w:sz w:val="21"/>
          <w:szCs w:val="21"/>
        </w:rPr>
        <w:t xml:space="preserve">The </w:t>
      </w:r>
      <w:r>
        <w:rPr>
          <w:szCs w:val="21"/>
        </w:rPr>
        <w:t>MassHealth Brand Name Preferred Over Generic Drug List has been updated to reflect recent changes to the MassHealth Drug List.</w:t>
      </w:r>
    </w:p>
    <w:p w14:paraId="765A5475" w14:textId="77777777" w:rsidR="00944B84" w:rsidRDefault="00944B84" w:rsidP="00944B84">
      <w:pPr>
        <w:pStyle w:val="Default"/>
        <w:numPr>
          <w:ilvl w:val="0"/>
          <w:numId w:val="35"/>
        </w:numPr>
        <w:spacing w:line="276" w:lineRule="auto"/>
        <w:rPr>
          <w:rFonts w:ascii="Arial" w:hAnsi="Arial" w:cs="Arial"/>
          <w:sz w:val="22"/>
          <w:szCs w:val="21"/>
        </w:rPr>
      </w:pPr>
      <w:r>
        <w:rPr>
          <w:rFonts w:ascii="Arial" w:hAnsi="Arial" w:cs="Arial"/>
          <w:sz w:val="22"/>
          <w:szCs w:val="21"/>
        </w:rPr>
        <w:t xml:space="preserve">Effective </w:t>
      </w:r>
      <w:r>
        <w:rPr>
          <w:rFonts w:ascii="Arial" w:hAnsi="Arial" w:cs="Arial"/>
          <w:color w:val="auto"/>
          <w:sz w:val="22"/>
          <w:szCs w:val="22"/>
        </w:rPr>
        <w:t>May 11, 2026</w:t>
      </w:r>
      <w:r>
        <w:rPr>
          <w:rFonts w:ascii="Arial" w:hAnsi="Arial" w:cs="Arial"/>
          <w:sz w:val="22"/>
          <w:szCs w:val="22"/>
        </w:rPr>
        <w:t xml:space="preserve">, </w:t>
      </w:r>
      <w:r>
        <w:rPr>
          <w:rFonts w:ascii="Arial" w:hAnsi="Arial" w:cs="Arial"/>
          <w:sz w:val="22"/>
          <w:szCs w:val="21"/>
        </w:rPr>
        <w:t xml:space="preserve">the following agents will be added to the MassHealth Brand Name Preferred Over Generic Drug List. </w:t>
      </w:r>
    </w:p>
    <w:p w14:paraId="02670405" w14:textId="77777777" w:rsidR="00944B84" w:rsidRDefault="00944B84" w:rsidP="00944B84">
      <w:pPr>
        <w:pStyle w:val="Default"/>
        <w:numPr>
          <w:ilvl w:val="0"/>
          <w:numId w:val="36"/>
        </w:numPr>
        <w:spacing w:line="276" w:lineRule="auto"/>
        <w:rPr>
          <w:rFonts w:ascii="Arial" w:hAnsi="Arial" w:cs="Arial"/>
          <w:sz w:val="22"/>
          <w:szCs w:val="21"/>
        </w:rPr>
      </w:pPr>
      <w:bookmarkStart w:id="4" w:name="_Hlk11399419"/>
      <w:bookmarkStart w:id="5" w:name="_Hlk527542710"/>
      <w:r>
        <w:rPr>
          <w:rFonts w:ascii="Arial" w:hAnsi="Arial" w:cs="Arial"/>
          <w:sz w:val="22"/>
          <w:szCs w:val="22"/>
        </w:rPr>
        <w:t>Besivance (besifloxacin ophthalmic suspension); BP</w:t>
      </w:r>
    </w:p>
    <w:p w14:paraId="4511DC81" w14:textId="77777777" w:rsidR="00944B84" w:rsidRDefault="00944B84" w:rsidP="00944B84">
      <w:pPr>
        <w:pStyle w:val="ListParagraph"/>
        <w:numPr>
          <w:ilvl w:val="0"/>
          <w:numId w:val="36"/>
        </w:numPr>
        <w:spacing w:line="256" w:lineRule="auto"/>
        <w:contextualSpacing/>
        <w:rPr>
          <w:rFonts w:cs="Arial"/>
          <w:b/>
          <w:bCs/>
          <w:color w:val="000000"/>
          <w:szCs w:val="22"/>
        </w:rPr>
      </w:pPr>
      <w:bookmarkStart w:id="6" w:name="_Hlk14249184"/>
      <w:bookmarkStart w:id="7" w:name="_Hlk536624120"/>
      <w:bookmarkEnd w:id="4"/>
      <w:bookmarkEnd w:id="5"/>
      <w:r>
        <w:rPr>
          <w:rFonts w:cs="Arial"/>
          <w:color w:val="000000"/>
        </w:rPr>
        <w:t xml:space="preserve">Eliquis (apixaban sprinkle capsule, tablet for oral suspension) </w:t>
      </w:r>
      <w:r>
        <w:rPr>
          <w:rFonts w:cs="Arial"/>
          <w:color w:val="000000"/>
          <w:vertAlign w:val="superscript"/>
        </w:rPr>
        <w:t>PD</w:t>
      </w:r>
      <w:r>
        <w:rPr>
          <w:rFonts w:cs="Arial"/>
        </w:rPr>
        <w:t>; BP</w:t>
      </w:r>
    </w:p>
    <w:p w14:paraId="59450C8B" w14:textId="77777777" w:rsidR="00944B84" w:rsidRDefault="00944B84" w:rsidP="00944B84">
      <w:pPr>
        <w:pStyle w:val="Default"/>
        <w:numPr>
          <w:ilvl w:val="0"/>
          <w:numId w:val="36"/>
        </w:numPr>
        <w:spacing w:line="276" w:lineRule="auto"/>
        <w:rPr>
          <w:rFonts w:ascii="Arial" w:hAnsi="Arial" w:cs="Arial"/>
          <w:sz w:val="22"/>
          <w:szCs w:val="21"/>
        </w:rPr>
      </w:pPr>
      <w:proofErr w:type="spellStart"/>
      <w:r>
        <w:rPr>
          <w:rFonts w:ascii="Arial" w:hAnsi="Arial" w:cs="Arial"/>
          <w:sz w:val="22"/>
          <w:szCs w:val="21"/>
        </w:rPr>
        <w:t>Zylet</w:t>
      </w:r>
      <w:proofErr w:type="spellEnd"/>
      <w:r>
        <w:rPr>
          <w:rFonts w:ascii="Arial" w:hAnsi="Arial" w:cs="Arial"/>
          <w:sz w:val="22"/>
          <w:szCs w:val="21"/>
        </w:rPr>
        <w:t xml:space="preserve"> (tobramycin/loteprednol ophthalmic suspension); BP</w:t>
      </w:r>
    </w:p>
    <w:p w14:paraId="48FF0C82" w14:textId="77777777" w:rsidR="00944B84" w:rsidRDefault="00944B84" w:rsidP="00944B84">
      <w:pPr>
        <w:pStyle w:val="Default"/>
        <w:numPr>
          <w:ilvl w:val="0"/>
          <w:numId w:val="35"/>
        </w:numPr>
        <w:spacing w:line="276" w:lineRule="auto"/>
        <w:rPr>
          <w:rFonts w:ascii="Arial" w:hAnsi="Arial" w:cs="Arial"/>
          <w:sz w:val="22"/>
          <w:szCs w:val="21"/>
        </w:rPr>
      </w:pPr>
      <w:r>
        <w:rPr>
          <w:rFonts w:ascii="Arial" w:hAnsi="Arial" w:cs="Arial"/>
          <w:sz w:val="22"/>
          <w:szCs w:val="21"/>
        </w:rPr>
        <w:t xml:space="preserve">Effective </w:t>
      </w:r>
      <w:r>
        <w:rPr>
          <w:rFonts w:ascii="Arial" w:hAnsi="Arial" w:cs="Arial"/>
          <w:color w:val="auto"/>
          <w:sz w:val="22"/>
          <w:szCs w:val="22"/>
        </w:rPr>
        <w:t>May 11, 2026</w:t>
      </w:r>
      <w:r>
        <w:rPr>
          <w:rFonts w:ascii="Arial" w:hAnsi="Arial" w:cs="Arial"/>
          <w:sz w:val="22"/>
          <w:szCs w:val="22"/>
        </w:rPr>
        <w:t xml:space="preserve">, </w:t>
      </w:r>
      <w:r>
        <w:rPr>
          <w:rFonts w:ascii="Arial" w:hAnsi="Arial" w:cs="Arial"/>
          <w:sz w:val="22"/>
          <w:szCs w:val="21"/>
        </w:rPr>
        <w:t xml:space="preserve">the following agent will be removed from the MassHealth Brand Name Preferred Over Generic Drug List. </w:t>
      </w:r>
    </w:p>
    <w:bookmarkEnd w:id="6"/>
    <w:bookmarkEnd w:id="7"/>
    <w:p w14:paraId="7B8FB329" w14:textId="77777777" w:rsidR="00944B84" w:rsidRDefault="00944B84" w:rsidP="00944B84">
      <w:pPr>
        <w:pStyle w:val="ListParagraph"/>
        <w:numPr>
          <w:ilvl w:val="0"/>
          <w:numId w:val="37"/>
        </w:numPr>
        <w:spacing w:line="256" w:lineRule="auto"/>
        <w:contextualSpacing/>
        <w:rPr>
          <w:rFonts w:cs="Arial"/>
          <w:color w:val="000000"/>
          <w:szCs w:val="22"/>
        </w:rPr>
      </w:pPr>
      <w:proofErr w:type="spellStart"/>
      <w:r>
        <w:rPr>
          <w:rFonts w:cs="Arial"/>
          <w:color w:val="000000"/>
        </w:rPr>
        <w:t>Sporanox</w:t>
      </w:r>
      <w:proofErr w:type="spellEnd"/>
      <w:r>
        <w:rPr>
          <w:rFonts w:cs="Arial"/>
          <w:color w:val="000000"/>
        </w:rPr>
        <w:t xml:space="preserve"> (itraconazole 100 mg capsule); #, A90</w:t>
      </w:r>
    </w:p>
    <w:p w14:paraId="676E6A93" w14:textId="77777777" w:rsidR="003D7A5F" w:rsidRPr="00E24E22" w:rsidRDefault="003D7A5F" w:rsidP="003D7A5F">
      <w:pPr>
        <w:pStyle w:val="Heading2"/>
      </w:pPr>
      <w:r w:rsidRPr="00E24E22">
        <w:t>Updated MassHealth 90-day Initiative</w:t>
      </w:r>
    </w:p>
    <w:p w14:paraId="6B0474A7" w14:textId="77777777" w:rsidR="00944B84" w:rsidRDefault="00944B84" w:rsidP="00944B84">
      <w:pPr>
        <w:pStyle w:val="Default"/>
        <w:numPr>
          <w:ilvl w:val="0"/>
          <w:numId w:val="38"/>
        </w:numPr>
        <w:spacing w:line="276" w:lineRule="auto"/>
        <w:rPr>
          <w:rFonts w:ascii="Arial" w:hAnsi="Arial" w:cs="Arial"/>
          <w:sz w:val="22"/>
          <w:szCs w:val="21"/>
        </w:rPr>
      </w:pPr>
      <w:r>
        <w:rPr>
          <w:rFonts w:ascii="Arial" w:hAnsi="Arial" w:cs="Arial"/>
          <w:sz w:val="22"/>
          <w:szCs w:val="21"/>
        </w:rPr>
        <w:t xml:space="preserve">Effective </w:t>
      </w:r>
      <w:r>
        <w:rPr>
          <w:rFonts w:ascii="Arial" w:hAnsi="Arial" w:cs="Arial"/>
          <w:color w:val="auto"/>
          <w:sz w:val="22"/>
          <w:szCs w:val="22"/>
        </w:rPr>
        <w:t>May 11, 2026</w:t>
      </w:r>
      <w:r>
        <w:rPr>
          <w:rFonts w:ascii="Arial" w:hAnsi="Arial" w:cs="Arial"/>
          <w:sz w:val="22"/>
          <w:szCs w:val="22"/>
        </w:rPr>
        <w:t>, the following agents may be allowed or mandated to be dispensed in up to a 90-day supply, as indicated below</w:t>
      </w:r>
      <w:r>
        <w:rPr>
          <w:rFonts w:ascii="Arial" w:hAnsi="Arial" w:cs="Arial"/>
          <w:sz w:val="22"/>
          <w:szCs w:val="21"/>
        </w:rPr>
        <w:t xml:space="preserve">. </w:t>
      </w:r>
    </w:p>
    <w:p w14:paraId="24FC118C" w14:textId="77777777" w:rsidR="00944B84" w:rsidRDefault="00944B84" w:rsidP="00944B84">
      <w:pPr>
        <w:pStyle w:val="Default"/>
        <w:numPr>
          <w:ilvl w:val="1"/>
          <w:numId w:val="38"/>
        </w:numPr>
        <w:spacing w:line="276" w:lineRule="auto"/>
        <w:rPr>
          <w:rFonts w:ascii="Arial" w:hAnsi="Arial" w:cs="Arial"/>
          <w:sz w:val="22"/>
          <w:szCs w:val="21"/>
        </w:rPr>
      </w:pPr>
      <w:r>
        <w:rPr>
          <w:rFonts w:ascii="Arial" w:hAnsi="Arial" w:cs="Arial"/>
          <w:sz w:val="22"/>
          <w:szCs w:val="21"/>
        </w:rPr>
        <w:t>Atrovent HFA (ipratropium inhalation aerosol)</w:t>
      </w:r>
      <w:r>
        <w:rPr>
          <w:rFonts w:ascii="Arial" w:hAnsi="Arial" w:cs="Arial"/>
          <w:sz w:val="22"/>
          <w:szCs w:val="22"/>
        </w:rPr>
        <w:t>; BP; A90</w:t>
      </w:r>
    </w:p>
    <w:p w14:paraId="7539EA78" w14:textId="77777777" w:rsidR="00944B84" w:rsidRDefault="00944B84" w:rsidP="00944B84">
      <w:pPr>
        <w:pStyle w:val="Default"/>
        <w:numPr>
          <w:ilvl w:val="1"/>
          <w:numId w:val="38"/>
        </w:numPr>
        <w:spacing w:line="276" w:lineRule="auto"/>
        <w:rPr>
          <w:rFonts w:ascii="Arial" w:hAnsi="Arial" w:cs="Arial"/>
          <w:sz w:val="22"/>
          <w:szCs w:val="21"/>
        </w:rPr>
      </w:pPr>
      <w:r>
        <w:rPr>
          <w:rFonts w:ascii="Arial" w:hAnsi="Arial" w:cs="Arial"/>
          <w:sz w:val="22"/>
          <w:szCs w:val="22"/>
        </w:rPr>
        <w:t>melatonin; *, M90</w:t>
      </w:r>
    </w:p>
    <w:p w14:paraId="49E4E9CA" w14:textId="77777777" w:rsidR="00944B84" w:rsidRDefault="00944B84" w:rsidP="00944B84">
      <w:pPr>
        <w:pStyle w:val="Default"/>
        <w:numPr>
          <w:ilvl w:val="1"/>
          <w:numId w:val="38"/>
        </w:numPr>
        <w:spacing w:line="276" w:lineRule="auto"/>
        <w:rPr>
          <w:rFonts w:ascii="Arial" w:hAnsi="Arial" w:cs="Arial"/>
          <w:sz w:val="22"/>
          <w:szCs w:val="21"/>
        </w:rPr>
      </w:pPr>
      <w:proofErr w:type="spellStart"/>
      <w:r>
        <w:rPr>
          <w:rFonts w:ascii="Arial" w:hAnsi="Arial" w:cs="Arial"/>
          <w:sz w:val="22"/>
          <w:szCs w:val="21"/>
        </w:rPr>
        <w:t>Ofev</w:t>
      </w:r>
      <w:proofErr w:type="spellEnd"/>
      <w:r>
        <w:rPr>
          <w:rFonts w:ascii="Arial" w:hAnsi="Arial" w:cs="Arial"/>
          <w:sz w:val="22"/>
          <w:szCs w:val="21"/>
        </w:rPr>
        <w:t xml:space="preserve"> (nintedanib) –</w:t>
      </w:r>
      <w:r>
        <w:rPr>
          <w:rFonts w:ascii="Arial" w:hAnsi="Arial" w:cs="Arial"/>
          <w:b/>
          <w:bCs/>
          <w:sz w:val="22"/>
          <w:szCs w:val="21"/>
        </w:rPr>
        <w:t xml:space="preserve"> PA</w:t>
      </w:r>
      <w:r>
        <w:rPr>
          <w:rFonts w:ascii="Arial" w:hAnsi="Arial" w:cs="Arial"/>
          <w:sz w:val="22"/>
          <w:szCs w:val="21"/>
        </w:rPr>
        <w:t>; A90</w:t>
      </w:r>
    </w:p>
    <w:p w14:paraId="6DE9CF4F" w14:textId="77777777" w:rsidR="00944B84" w:rsidRDefault="00944B84" w:rsidP="00944B84">
      <w:pPr>
        <w:pStyle w:val="Default"/>
        <w:numPr>
          <w:ilvl w:val="1"/>
          <w:numId w:val="38"/>
        </w:numPr>
        <w:spacing w:line="276" w:lineRule="auto"/>
        <w:rPr>
          <w:rFonts w:ascii="Arial" w:hAnsi="Arial" w:cs="Arial"/>
          <w:sz w:val="22"/>
          <w:szCs w:val="21"/>
        </w:rPr>
      </w:pPr>
      <w:r>
        <w:rPr>
          <w:rFonts w:ascii="Arial" w:hAnsi="Arial" w:cs="Arial"/>
          <w:sz w:val="22"/>
          <w:szCs w:val="22"/>
        </w:rPr>
        <w:t>Savella (milnacipran); BP, A90</w:t>
      </w:r>
    </w:p>
    <w:p w14:paraId="3DC2FD3D" w14:textId="77777777" w:rsidR="00944B84" w:rsidRDefault="00944B84" w:rsidP="00944B84">
      <w:pPr>
        <w:pStyle w:val="Default"/>
        <w:numPr>
          <w:ilvl w:val="1"/>
          <w:numId w:val="38"/>
        </w:numPr>
        <w:spacing w:line="276" w:lineRule="auto"/>
        <w:rPr>
          <w:rFonts w:ascii="Arial" w:hAnsi="Arial" w:cs="Arial"/>
          <w:sz w:val="22"/>
          <w:szCs w:val="21"/>
        </w:rPr>
      </w:pPr>
      <w:proofErr w:type="spellStart"/>
      <w:r>
        <w:rPr>
          <w:rFonts w:ascii="Arial" w:hAnsi="Arial" w:cs="Arial"/>
          <w:sz w:val="22"/>
          <w:szCs w:val="22"/>
        </w:rPr>
        <w:t>Ultravate</w:t>
      </w:r>
      <w:proofErr w:type="spellEnd"/>
      <w:r>
        <w:rPr>
          <w:rFonts w:ascii="Arial" w:hAnsi="Arial" w:cs="Arial"/>
          <w:sz w:val="22"/>
          <w:szCs w:val="22"/>
        </w:rPr>
        <w:t xml:space="preserve"> </w:t>
      </w:r>
      <w:r>
        <w:rPr>
          <w:rFonts w:ascii="Arial" w:hAnsi="Arial" w:cs="Arial"/>
          <w:sz w:val="22"/>
          <w:szCs w:val="21"/>
        </w:rPr>
        <w:t>(</w:t>
      </w:r>
      <w:proofErr w:type="spellStart"/>
      <w:r>
        <w:rPr>
          <w:rFonts w:ascii="Arial" w:hAnsi="Arial" w:cs="Arial"/>
          <w:sz w:val="22"/>
          <w:szCs w:val="21"/>
        </w:rPr>
        <w:t>halobetasol</w:t>
      </w:r>
      <w:proofErr w:type="spellEnd"/>
      <w:r>
        <w:rPr>
          <w:rFonts w:ascii="Arial" w:hAnsi="Arial" w:cs="Arial"/>
          <w:sz w:val="22"/>
          <w:szCs w:val="21"/>
        </w:rPr>
        <w:t xml:space="preserve"> lotion)</w:t>
      </w:r>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A90</w:t>
      </w:r>
    </w:p>
    <w:p w14:paraId="7C79EA98" w14:textId="77777777" w:rsidR="00944B84" w:rsidRDefault="00944B84" w:rsidP="00944B84">
      <w:pPr>
        <w:pStyle w:val="Default"/>
        <w:numPr>
          <w:ilvl w:val="0"/>
          <w:numId w:val="38"/>
        </w:numPr>
        <w:spacing w:line="276" w:lineRule="auto"/>
        <w:rPr>
          <w:rFonts w:ascii="Arial" w:hAnsi="Arial" w:cs="Arial"/>
          <w:sz w:val="22"/>
          <w:szCs w:val="21"/>
        </w:rPr>
      </w:pPr>
      <w:r>
        <w:rPr>
          <w:rFonts w:ascii="Arial" w:hAnsi="Arial" w:cs="Arial"/>
          <w:sz w:val="22"/>
          <w:szCs w:val="21"/>
        </w:rPr>
        <w:t xml:space="preserve">Effective </w:t>
      </w:r>
      <w:r>
        <w:rPr>
          <w:rFonts w:ascii="Arial" w:hAnsi="Arial" w:cs="Arial"/>
          <w:color w:val="auto"/>
          <w:sz w:val="22"/>
          <w:szCs w:val="22"/>
        </w:rPr>
        <w:t>May 11, 2026</w:t>
      </w:r>
      <w:r>
        <w:rPr>
          <w:rFonts w:ascii="Arial" w:hAnsi="Arial" w:cs="Arial"/>
          <w:sz w:val="22"/>
          <w:szCs w:val="22"/>
        </w:rPr>
        <w:t>, the following agents will no longer be allowed or mandated to be dispensed in up to a 90-day supply, as indicated below</w:t>
      </w:r>
      <w:r>
        <w:rPr>
          <w:rFonts w:ascii="Arial" w:hAnsi="Arial" w:cs="Arial"/>
          <w:sz w:val="22"/>
          <w:szCs w:val="21"/>
        </w:rPr>
        <w:t>.</w:t>
      </w:r>
    </w:p>
    <w:p w14:paraId="6C29B676" w14:textId="77777777" w:rsidR="00944B84" w:rsidRDefault="00944B84" w:rsidP="00944B84">
      <w:pPr>
        <w:pStyle w:val="ListParagraph"/>
        <w:numPr>
          <w:ilvl w:val="1"/>
          <w:numId w:val="38"/>
        </w:numPr>
        <w:spacing w:after="160" w:line="256" w:lineRule="auto"/>
        <w:contextualSpacing/>
        <w:rPr>
          <w:rFonts w:cs="Arial"/>
          <w:color w:val="000000"/>
          <w:szCs w:val="21"/>
        </w:rPr>
      </w:pPr>
      <w:r>
        <w:rPr>
          <w:rFonts w:cs="Arial"/>
          <w:color w:val="000000"/>
          <w:szCs w:val="21"/>
        </w:rPr>
        <w:t xml:space="preserve">dihydroergotamine nasal spray – </w:t>
      </w:r>
      <w:r>
        <w:rPr>
          <w:rFonts w:cs="Arial"/>
          <w:b/>
          <w:bCs/>
          <w:color w:val="000000"/>
          <w:szCs w:val="21"/>
        </w:rPr>
        <w:t>PA</w:t>
      </w:r>
    </w:p>
    <w:p w14:paraId="1749C6C7" w14:textId="77777777" w:rsidR="00944B84" w:rsidRDefault="00944B84" w:rsidP="00944B84">
      <w:pPr>
        <w:pStyle w:val="ListParagraph"/>
        <w:numPr>
          <w:ilvl w:val="1"/>
          <w:numId w:val="38"/>
        </w:numPr>
        <w:spacing w:after="160" w:line="256" w:lineRule="auto"/>
        <w:contextualSpacing/>
        <w:rPr>
          <w:rFonts w:cs="Arial"/>
          <w:szCs w:val="21"/>
        </w:rPr>
      </w:pPr>
      <w:r>
        <w:rPr>
          <w:rFonts w:cs="Arial"/>
          <w:color w:val="000000"/>
          <w:szCs w:val="21"/>
        </w:rPr>
        <w:t xml:space="preserve">ergotamine/caffeine suppository – </w:t>
      </w:r>
      <w:r>
        <w:rPr>
          <w:rFonts w:cs="Arial"/>
          <w:b/>
          <w:bCs/>
          <w:color w:val="000000"/>
          <w:szCs w:val="21"/>
        </w:rPr>
        <w:t>PA</w:t>
      </w:r>
    </w:p>
    <w:p w14:paraId="045B8827" w14:textId="77777777" w:rsidR="00944B84" w:rsidRDefault="00944B84" w:rsidP="00944B84">
      <w:pPr>
        <w:pStyle w:val="ListParagraph"/>
        <w:numPr>
          <w:ilvl w:val="1"/>
          <w:numId w:val="38"/>
        </w:numPr>
        <w:spacing w:line="256" w:lineRule="auto"/>
        <w:contextualSpacing/>
        <w:rPr>
          <w:rFonts w:cs="Arial"/>
          <w:szCs w:val="21"/>
        </w:rPr>
      </w:pPr>
      <w:proofErr w:type="spellStart"/>
      <w:r>
        <w:rPr>
          <w:rFonts w:cs="Arial"/>
          <w:color w:val="000000"/>
          <w:szCs w:val="21"/>
        </w:rPr>
        <w:t>Golytely</w:t>
      </w:r>
      <w:proofErr w:type="spellEnd"/>
      <w:r>
        <w:rPr>
          <w:rFonts w:cs="Arial"/>
          <w:color w:val="000000"/>
          <w:szCs w:val="21"/>
        </w:rPr>
        <w:t xml:space="preserve"> (polyethylene glycol-electrolyte solution</w:t>
      </w:r>
      <w:proofErr w:type="gramStart"/>
      <w:r>
        <w:rPr>
          <w:rFonts w:cs="Arial"/>
          <w:color w:val="000000"/>
          <w:szCs w:val="21"/>
        </w:rPr>
        <w:t>); #</w:t>
      </w:r>
      <w:proofErr w:type="gramEnd"/>
    </w:p>
    <w:p w14:paraId="4682FB10" w14:textId="77777777" w:rsidR="00944B84" w:rsidRDefault="00944B84" w:rsidP="00944B84">
      <w:pPr>
        <w:pStyle w:val="Default"/>
        <w:numPr>
          <w:ilvl w:val="1"/>
          <w:numId w:val="38"/>
        </w:numPr>
        <w:spacing w:line="276" w:lineRule="auto"/>
        <w:rPr>
          <w:rFonts w:ascii="Arial" w:hAnsi="Arial" w:cs="Arial"/>
          <w:sz w:val="22"/>
          <w:szCs w:val="21"/>
        </w:rPr>
      </w:pPr>
      <w:r>
        <w:rPr>
          <w:rFonts w:ascii="Arial" w:hAnsi="Arial" w:cs="Arial"/>
          <w:sz w:val="22"/>
          <w:szCs w:val="21"/>
        </w:rPr>
        <w:t xml:space="preserve">palonosetron 0.25 mg/2 mL injection – </w:t>
      </w:r>
      <w:r>
        <w:rPr>
          <w:rFonts w:ascii="Arial" w:hAnsi="Arial" w:cs="Arial"/>
          <w:b/>
          <w:bCs/>
          <w:sz w:val="22"/>
          <w:szCs w:val="21"/>
        </w:rPr>
        <w:t>PA &gt; 2 injections/28 days</w:t>
      </w:r>
    </w:p>
    <w:p w14:paraId="29E665D0" w14:textId="77777777" w:rsidR="00944B84" w:rsidRDefault="00944B84" w:rsidP="00944B84">
      <w:pPr>
        <w:pStyle w:val="Default"/>
        <w:numPr>
          <w:ilvl w:val="1"/>
          <w:numId w:val="38"/>
        </w:numPr>
        <w:spacing w:line="276" w:lineRule="auto"/>
        <w:rPr>
          <w:rFonts w:ascii="Arial" w:hAnsi="Arial" w:cs="Arial"/>
          <w:sz w:val="22"/>
          <w:szCs w:val="21"/>
        </w:rPr>
      </w:pPr>
      <w:r>
        <w:rPr>
          <w:rFonts w:ascii="Arial" w:hAnsi="Arial" w:cs="Arial"/>
          <w:sz w:val="22"/>
          <w:szCs w:val="21"/>
        </w:rPr>
        <w:t>polyethylene glycol-electrolyte solution</w:t>
      </w:r>
    </w:p>
    <w:p w14:paraId="06DC9D9B" w14:textId="77777777" w:rsidR="00944B84" w:rsidRDefault="00944B84" w:rsidP="00944B84">
      <w:pPr>
        <w:pStyle w:val="Default"/>
        <w:numPr>
          <w:ilvl w:val="1"/>
          <w:numId w:val="38"/>
        </w:numPr>
        <w:spacing w:line="276" w:lineRule="auto"/>
        <w:rPr>
          <w:rFonts w:ascii="Arial" w:hAnsi="Arial" w:cs="Arial"/>
          <w:sz w:val="22"/>
          <w:szCs w:val="21"/>
        </w:rPr>
      </w:pPr>
      <w:proofErr w:type="spellStart"/>
      <w:r>
        <w:rPr>
          <w:rFonts w:ascii="Arial" w:hAnsi="Arial" w:cs="Arial"/>
          <w:sz w:val="22"/>
          <w:szCs w:val="21"/>
        </w:rPr>
        <w:t>Suprep</w:t>
      </w:r>
      <w:proofErr w:type="spellEnd"/>
      <w:r>
        <w:rPr>
          <w:rFonts w:ascii="Arial" w:hAnsi="Arial" w:cs="Arial"/>
          <w:sz w:val="22"/>
          <w:szCs w:val="21"/>
        </w:rPr>
        <w:t xml:space="preserve"> (sodium sulfate/potassium sulfate/magnesium sulfate); BP</w:t>
      </w:r>
    </w:p>
    <w:p w14:paraId="6582AE90" w14:textId="77777777" w:rsidR="00944B84" w:rsidRDefault="00944B84" w:rsidP="00944B84">
      <w:pPr>
        <w:keepNext/>
        <w:keepLines/>
        <w:outlineLvl w:val="0"/>
        <w:rPr>
          <w:rFonts w:eastAsiaTheme="majorEastAsia" w:cstheme="majorBidi"/>
          <w:b/>
          <w:sz w:val="24"/>
          <w:szCs w:val="32"/>
        </w:rPr>
      </w:pPr>
    </w:p>
    <w:p w14:paraId="3CAA4BD3" w14:textId="74DD368D" w:rsidR="00944B84" w:rsidRPr="00944B84" w:rsidRDefault="00944B84" w:rsidP="00944B84">
      <w:pPr>
        <w:keepNext/>
        <w:keepLines/>
        <w:outlineLvl w:val="0"/>
        <w:rPr>
          <w:rFonts w:ascii="Arial Black" w:eastAsiaTheme="majorEastAsia" w:hAnsi="Arial Black" w:cstheme="majorBidi"/>
          <w:szCs w:val="26"/>
        </w:rPr>
      </w:pPr>
      <w:r w:rsidRPr="00944B84">
        <w:rPr>
          <w:rFonts w:ascii="Arial Black" w:eastAsiaTheme="majorEastAsia" w:hAnsi="Arial Black" w:cstheme="majorBidi"/>
          <w:szCs w:val="26"/>
        </w:rPr>
        <w:t>Updated MassHealth Over-the-Counter Drug List</w:t>
      </w:r>
    </w:p>
    <w:p w14:paraId="6C2BA68E" w14:textId="77777777" w:rsidR="00944B84" w:rsidRDefault="00944B84" w:rsidP="00944B84">
      <w:pPr>
        <w:rPr>
          <w:rFonts w:eastAsiaTheme="minorHAnsi" w:cstheme="minorBidi"/>
          <w:szCs w:val="21"/>
        </w:rPr>
      </w:pPr>
      <w:r>
        <w:rPr>
          <w:sz w:val="21"/>
          <w:szCs w:val="21"/>
        </w:rPr>
        <w:t xml:space="preserve">The </w:t>
      </w:r>
      <w:r>
        <w:rPr>
          <w:szCs w:val="21"/>
        </w:rPr>
        <w:t>MassHealth Over-the-Counter Drug List has been updated to reflect recent changes to the MassHealth Drug List.</w:t>
      </w:r>
    </w:p>
    <w:p w14:paraId="61A18BAC" w14:textId="77777777" w:rsidR="00944B84" w:rsidRDefault="00944B84" w:rsidP="00944B84">
      <w:pPr>
        <w:pStyle w:val="ListParagraph"/>
        <w:numPr>
          <w:ilvl w:val="0"/>
          <w:numId w:val="39"/>
        </w:numPr>
        <w:autoSpaceDE w:val="0"/>
        <w:autoSpaceDN w:val="0"/>
        <w:adjustRightInd w:val="0"/>
        <w:contextualSpacing/>
        <w:rPr>
          <w:rFonts w:cs="Arial"/>
          <w:color w:val="000000"/>
          <w:szCs w:val="21"/>
        </w:rPr>
      </w:pPr>
      <w:r>
        <w:rPr>
          <w:rFonts w:cs="Arial"/>
          <w:color w:val="000000"/>
          <w:szCs w:val="21"/>
        </w:rPr>
        <w:t xml:space="preserve">Effective </w:t>
      </w:r>
      <w:r>
        <w:rPr>
          <w:rFonts w:cs="Arial"/>
        </w:rPr>
        <w:t xml:space="preserve">May 11, 2026, </w:t>
      </w:r>
      <w:r>
        <w:rPr>
          <w:rFonts w:cs="Arial"/>
          <w:color w:val="000000"/>
          <w:szCs w:val="21"/>
        </w:rPr>
        <w:t xml:space="preserve">the following topical antifungal agent will be added to the MassHealth Over-the-Counter Drug List. </w:t>
      </w:r>
    </w:p>
    <w:p w14:paraId="0D782984" w14:textId="77777777" w:rsidR="00944B84" w:rsidRDefault="00944B84" w:rsidP="00944B84">
      <w:pPr>
        <w:numPr>
          <w:ilvl w:val="0"/>
          <w:numId w:val="36"/>
        </w:numPr>
        <w:autoSpaceDE w:val="0"/>
        <w:autoSpaceDN w:val="0"/>
        <w:adjustRightInd w:val="0"/>
        <w:rPr>
          <w:rFonts w:cstheme="minorBidi"/>
          <w:szCs w:val="21"/>
        </w:rPr>
      </w:pPr>
      <w:r>
        <w:rPr>
          <w:rFonts w:cs="Arial"/>
          <w:color w:val="000000"/>
          <w:szCs w:val="21"/>
        </w:rPr>
        <w:t xml:space="preserve"> butenafine; *</w:t>
      </w:r>
    </w:p>
    <w:p w14:paraId="55DD733C" w14:textId="77777777" w:rsidR="00944B84" w:rsidRDefault="00944B84" w:rsidP="00944B84">
      <w:pPr>
        <w:pStyle w:val="ListParagraph"/>
        <w:numPr>
          <w:ilvl w:val="0"/>
          <w:numId w:val="39"/>
        </w:numPr>
        <w:autoSpaceDE w:val="0"/>
        <w:autoSpaceDN w:val="0"/>
        <w:adjustRightInd w:val="0"/>
        <w:contextualSpacing/>
        <w:rPr>
          <w:rFonts w:cs="Arial"/>
          <w:color w:val="000000"/>
          <w:szCs w:val="21"/>
        </w:rPr>
      </w:pPr>
      <w:r>
        <w:rPr>
          <w:rFonts w:cs="Arial"/>
          <w:color w:val="000000"/>
          <w:szCs w:val="21"/>
        </w:rPr>
        <w:t xml:space="preserve">Effective </w:t>
      </w:r>
      <w:r>
        <w:rPr>
          <w:rFonts w:cs="Arial"/>
        </w:rPr>
        <w:t>May 11, 2026</w:t>
      </w:r>
      <w:r>
        <w:rPr>
          <w:rFonts w:cs="Arial"/>
          <w:color w:val="000000"/>
          <w:szCs w:val="21"/>
        </w:rPr>
        <w:t>, the following agents were removed from the MassHealth Over-the-Counter Drug List</w:t>
      </w:r>
      <w:r>
        <w:rPr>
          <w:rFonts w:cs="Arial"/>
        </w:rPr>
        <w:t>.</w:t>
      </w:r>
      <w:r>
        <w:rPr>
          <w:rFonts w:cs="Arial"/>
          <w:color w:val="000000"/>
          <w:szCs w:val="21"/>
        </w:rPr>
        <w:t xml:space="preserve"> </w:t>
      </w:r>
    </w:p>
    <w:p w14:paraId="2B9AAD2C" w14:textId="77777777" w:rsidR="00944B84" w:rsidRDefault="00944B84" w:rsidP="00944B84">
      <w:pPr>
        <w:pStyle w:val="ListParagraph"/>
        <w:numPr>
          <w:ilvl w:val="1"/>
          <w:numId w:val="39"/>
        </w:numPr>
        <w:autoSpaceDE w:val="0"/>
        <w:autoSpaceDN w:val="0"/>
        <w:adjustRightInd w:val="0"/>
        <w:contextualSpacing/>
        <w:rPr>
          <w:rFonts w:cstheme="minorBidi"/>
          <w:szCs w:val="21"/>
        </w:rPr>
      </w:pPr>
      <w:r>
        <w:rPr>
          <w:rFonts w:cs="Arial"/>
          <w:color w:val="000000"/>
          <w:szCs w:val="21"/>
        </w:rPr>
        <w:t>cod liver oil; *, M90</w:t>
      </w:r>
    </w:p>
    <w:p w14:paraId="67F24BCC" w14:textId="77777777" w:rsidR="00944B84" w:rsidRDefault="00944B84" w:rsidP="00944B84">
      <w:pPr>
        <w:pStyle w:val="ListParagraph"/>
        <w:numPr>
          <w:ilvl w:val="1"/>
          <w:numId w:val="39"/>
        </w:numPr>
        <w:autoSpaceDE w:val="0"/>
        <w:autoSpaceDN w:val="0"/>
        <w:adjustRightInd w:val="0"/>
        <w:contextualSpacing/>
        <w:rPr>
          <w:szCs w:val="21"/>
        </w:rPr>
      </w:pPr>
      <w:r>
        <w:rPr>
          <w:rFonts w:cs="Arial"/>
          <w:color w:val="000000"/>
          <w:szCs w:val="21"/>
        </w:rPr>
        <w:t>magaldrate; *, M90</w:t>
      </w:r>
    </w:p>
    <w:p w14:paraId="5552B0A4" w14:textId="77777777" w:rsidR="00944B84" w:rsidRDefault="00944B84" w:rsidP="00944B84">
      <w:pPr>
        <w:pStyle w:val="ListParagraph"/>
        <w:numPr>
          <w:ilvl w:val="1"/>
          <w:numId w:val="39"/>
        </w:numPr>
        <w:autoSpaceDE w:val="0"/>
        <w:autoSpaceDN w:val="0"/>
        <w:adjustRightInd w:val="0"/>
        <w:contextualSpacing/>
        <w:rPr>
          <w:szCs w:val="21"/>
        </w:rPr>
      </w:pPr>
      <w:r>
        <w:rPr>
          <w:rFonts w:cs="Arial"/>
          <w:color w:val="000000"/>
          <w:szCs w:val="21"/>
        </w:rPr>
        <w:t>witch hazel; *, A90</w:t>
      </w:r>
    </w:p>
    <w:p w14:paraId="2867835A" w14:textId="77777777" w:rsidR="00354588" w:rsidRDefault="00354588" w:rsidP="003D7A5F">
      <w:pPr>
        <w:spacing w:line="259" w:lineRule="auto"/>
        <w:contextualSpacing/>
        <w:rPr>
          <w:rFonts w:cs="Arial"/>
        </w:rPr>
      </w:pPr>
    </w:p>
    <w:p w14:paraId="0A34878E" w14:textId="77777777" w:rsidR="00354588" w:rsidRPr="005C3BE9" w:rsidRDefault="00354588" w:rsidP="003D7A5F">
      <w:pPr>
        <w:spacing w:line="259" w:lineRule="auto"/>
        <w:contextualSpacing/>
        <w:rPr>
          <w:rFonts w:cs="Arial"/>
        </w:rPr>
        <w:sectPr w:rsidR="00354588" w:rsidRPr="005C3BE9" w:rsidSect="003D7A5F">
          <w:headerReference w:type="default" r:id="rId13"/>
          <w:footerReference w:type="default" r:id="rId14"/>
          <w:type w:val="continuous"/>
          <w:pgSz w:w="12240" w:h="15840" w:code="1"/>
          <w:pgMar w:top="360" w:right="907" w:bottom="446" w:left="907" w:header="0" w:footer="576" w:gutter="0"/>
          <w:cols w:space="720"/>
          <w:docGrid w:linePitch="360"/>
        </w:sectPr>
      </w:pPr>
    </w:p>
    <w:p w14:paraId="3CB2EE89" w14:textId="659BC612" w:rsidR="00354588" w:rsidRPr="005C3BE9" w:rsidRDefault="00354588" w:rsidP="00354588">
      <w:pPr>
        <w:pStyle w:val="Heading2"/>
      </w:pPr>
      <w:r w:rsidRPr="00E64440">
        <w:lastRenderedPageBreak/>
        <w:t xml:space="preserve">Abbreviations, Acronyms, and Symbols </w:t>
      </w:r>
    </w:p>
    <w:p w14:paraId="3775D3F0"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 xml:space="preserve"># Designates a brand-name drug with FDA “A”-rated generic equivalents. Prior authorization is required for the brand, unless a particular form of that drug (for example, tablet, capsule, or liquid) does not have an FDA “A”-rated generic equivalent. </w:t>
      </w:r>
    </w:p>
    <w:p w14:paraId="3E5073AE" w14:textId="77777777" w:rsidR="00354588" w:rsidRPr="006D72AD" w:rsidRDefault="00354588" w:rsidP="00354588">
      <w:pPr>
        <w:shd w:val="clear" w:color="auto" w:fill="FFFFFF"/>
        <w:tabs>
          <w:tab w:val="left" w:pos="180"/>
          <w:tab w:val="left" w:pos="360"/>
        </w:tabs>
        <w:spacing w:after="160"/>
        <w:ind w:left="274" w:hanging="360"/>
        <w:rPr>
          <w:sz w:val="18"/>
          <w:szCs w:val="18"/>
        </w:rPr>
      </w:pPr>
      <w:r w:rsidRPr="006D72AD">
        <w:rPr>
          <w:sz w:val="18"/>
          <w:szCs w:val="18"/>
        </w:rPr>
        <w:t>MB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44CEE7AD" w14:textId="77777777" w:rsidR="00944B84" w:rsidRPr="00944B84" w:rsidRDefault="00944B84" w:rsidP="00944B84">
      <w:pPr>
        <w:shd w:val="clear" w:color="auto" w:fill="FFFFFF"/>
        <w:tabs>
          <w:tab w:val="left" w:pos="180"/>
          <w:tab w:val="left" w:pos="360"/>
        </w:tabs>
        <w:spacing w:after="160" w:line="240" w:lineRule="auto"/>
        <w:ind w:left="274" w:hanging="360"/>
        <w:rPr>
          <w:bCs/>
          <w:sz w:val="18"/>
          <w:szCs w:val="18"/>
        </w:rPr>
      </w:pPr>
      <w:r w:rsidRPr="00944B84">
        <w:rPr>
          <w:b/>
          <w:bCs/>
          <w:sz w:val="18"/>
          <w:szCs w:val="18"/>
        </w:rPr>
        <w:t>*</w:t>
      </w:r>
      <w:r w:rsidRPr="00944B84">
        <w:rPr>
          <w:bCs/>
          <w:sz w:val="18"/>
          <w:szCs w:val="18"/>
        </w:rPr>
        <w:t xml:space="preserve"> The generic OTC and, if any, generic prescription versions of the drug are payable under MassHealth without PA.</w:t>
      </w:r>
    </w:p>
    <w:p w14:paraId="2F72BDB8"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 xml:space="preserve">PA Prior authorization is required. The prescriber must obtain PA for the drug in order for the provider to receive reimbursement. Note: PA applies to both the brand-name and the FDA “A”-rated generic equivalent of listed product. </w:t>
      </w:r>
    </w:p>
    <w:p w14:paraId="5FE4F7B6"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A90</w:t>
      </w:r>
      <w:r w:rsidRPr="00BB1FDB">
        <w:rPr>
          <w:sz w:val="18"/>
          <w:szCs w:val="18"/>
        </w:rPr>
        <w:t xml:space="preserve"> </w:t>
      </w:r>
      <w:r w:rsidRPr="006D72AD">
        <w:rPr>
          <w:sz w:val="18"/>
          <w:szCs w:val="18"/>
        </w:rPr>
        <w:t xml:space="preserve">Allowable 90-day supply. </w:t>
      </w:r>
      <w:proofErr w:type="gramStart"/>
      <w:r w:rsidRPr="006D72AD">
        <w:rPr>
          <w:sz w:val="18"/>
          <w:szCs w:val="18"/>
        </w:rPr>
        <w:t>Dispensing in</w:t>
      </w:r>
      <w:proofErr w:type="gramEnd"/>
      <w:r w:rsidRPr="006D72AD">
        <w:rPr>
          <w:sz w:val="18"/>
          <w:szCs w:val="18"/>
        </w:rPr>
        <w:t xml:space="preserve"> up to a 90-day supply is allowed. May not include all strengths or formulations. Quantity limits and other restrictions may apply. </w:t>
      </w:r>
    </w:p>
    <w:p w14:paraId="6DFFDFF9"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BP Brand Preferred over generic equivalents. In general, MassHealth requires a trial of the preferred drug or clinical rationale for prescribing the non-preferred drug generic equivalent.</w:t>
      </w:r>
    </w:p>
    <w:p w14:paraId="0C405204"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bookmarkStart w:id="8" w:name="_Hlk99013636"/>
      <w:r w:rsidRPr="006D72AD">
        <w:rPr>
          <w:sz w:val="18"/>
          <w:szCs w:val="18"/>
        </w:rPr>
        <w:t xml:space="preserve">M90 Mandatory 90-day supply. After dispensing up to a 30-day supply initial fill, dispensing in a 90-day supply is required. May not include all strengths or formulations. Quantity limits and other restrictions may also apply. </w:t>
      </w:r>
    </w:p>
    <w:p w14:paraId="0441F113" w14:textId="77777777" w:rsidR="00944B84" w:rsidRDefault="00944B84" w:rsidP="00354588">
      <w:pPr>
        <w:spacing w:after="120" w:line="240" w:lineRule="auto"/>
        <w:ind w:left="270" w:hanging="360"/>
        <w:rPr>
          <w:rFonts w:eastAsia="Calibri" w:cs="Arial"/>
          <w:bCs/>
          <w:sz w:val="18"/>
          <w:szCs w:val="18"/>
        </w:rPr>
      </w:pPr>
      <w:r w:rsidRPr="00944B84">
        <w:rPr>
          <w:rFonts w:eastAsia="Calibri" w:cs="Arial"/>
          <w:b/>
          <w:bCs/>
          <w:sz w:val="18"/>
          <w:szCs w:val="18"/>
          <w:vertAlign w:val="superscript"/>
        </w:rPr>
        <w:t>CO</w:t>
      </w:r>
      <w:r w:rsidRPr="00944B84">
        <w:rPr>
          <w:rFonts w:eastAsia="Calibri" w:cs="Arial"/>
          <w:bCs/>
          <w:sz w:val="18"/>
          <w:szCs w:val="18"/>
        </w:rPr>
        <w:t xml:space="preserve"> Carve-Out. This agent is listed on the Acute Hospital Carve-Out Drugs List and is subject to additional monitoring and billing requirements</w:t>
      </w:r>
    </w:p>
    <w:p w14:paraId="1A970EFD" w14:textId="512B46A4" w:rsidR="00354588" w:rsidRDefault="00354588" w:rsidP="00354588">
      <w:pPr>
        <w:spacing w:after="120" w:line="240" w:lineRule="auto"/>
        <w:ind w:left="270" w:hanging="360"/>
        <w:rPr>
          <w:sz w:val="18"/>
          <w:szCs w:val="18"/>
        </w:rPr>
      </w:pPr>
      <w:r w:rsidRPr="006D72AD">
        <w:rPr>
          <w:rFonts w:eastAsia="Calibri" w:cs="Arial"/>
          <w:bCs/>
          <w:sz w:val="18"/>
          <w:szCs w:val="18"/>
        </w:rPr>
        <w:t>PD</w:t>
      </w:r>
      <w:r w:rsidRPr="006D72AD">
        <w:rPr>
          <w:rFonts w:eastAsia="Calibri" w:cs="Arial"/>
          <w:bCs/>
          <w:szCs w:val="22"/>
        </w:rPr>
        <w:t xml:space="preserve"> </w:t>
      </w:r>
      <w:r w:rsidRPr="006D72AD">
        <w:rPr>
          <w:rFonts w:eastAsia="Calibri" w:cs="Arial"/>
          <w:sz w:val="18"/>
          <w:szCs w:val="18"/>
        </w:rPr>
        <w:t xml:space="preserve">Preferred Drug. In general, MassHealth requires a trial of the preferred drug or clinical rationale for prescribing a non-preferred </w:t>
      </w:r>
      <w:r w:rsidRPr="00BB1FDB">
        <w:rPr>
          <w:sz w:val="18"/>
          <w:szCs w:val="18"/>
        </w:rPr>
        <w:t>drug within a therapeutic class.</w:t>
      </w:r>
      <w:bookmarkEnd w:id="8"/>
    </w:p>
    <w:p w14:paraId="3026C7D8" w14:textId="77777777" w:rsidR="00354588" w:rsidRDefault="00354588" w:rsidP="00354588">
      <w:pPr>
        <w:spacing w:after="120" w:line="240" w:lineRule="auto"/>
        <w:ind w:left="270" w:hanging="360"/>
        <w:rPr>
          <w:rFonts w:eastAsia="Calibri" w:cs="Arial"/>
          <w:bCs/>
          <w:sz w:val="18"/>
          <w:szCs w:val="18"/>
        </w:rPr>
        <w:sectPr w:rsidR="00354588" w:rsidSect="00354588">
          <w:footerReference w:type="default" r:id="rId15"/>
          <w:type w:val="continuous"/>
          <w:pgSz w:w="12240" w:h="15840" w:code="1"/>
          <w:pgMar w:top="360" w:right="907" w:bottom="446" w:left="907" w:header="0" w:footer="576" w:gutter="0"/>
          <w:cols w:space="720"/>
          <w:docGrid w:linePitch="360"/>
        </w:sectPr>
      </w:pPr>
    </w:p>
    <w:p w14:paraId="5ACD6B54" w14:textId="77777777" w:rsidR="00354588" w:rsidRPr="00A52375" w:rsidRDefault="00354588" w:rsidP="00354588">
      <w:pPr>
        <w:spacing w:after="120" w:line="240" w:lineRule="auto"/>
        <w:ind w:left="270" w:hanging="360"/>
        <w:rPr>
          <w:rFonts w:eastAsia="Calibri" w:cs="Arial"/>
          <w:bCs/>
          <w:sz w:val="18"/>
          <w:szCs w:val="18"/>
        </w:rPr>
      </w:pPr>
    </w:p>
    <w:p w14:paraId="713969F9" w14:textId="77777777" w:rsidR="00A650DC" w:rsidRPr="001721D8" w:rsidRDefault="00A650DC" w:rsidP="00354588">
      <w:pPr>
        <w:shd w:val="clear" w:color="auto" w:fill="FFFFFF"/>
        <w:tabs>
          <w:tab w:val="left" w:pos="180"/>
          <w:tab w:val="left" w:pos="360"/>
        </w:tabs>
        <w:ind w:left="270" w:hanging="360"/>
      </w:pPr>
    </w:p>
    <w:sectPr w:rsidR="00A650DC" w:rsidRPr="001721D8" w:rsidSect="00354588">
      <w:headerReference w:type="default" r:id="rId16"/>
      <w:footerReference w:type="default" r:id="rId17"/>
      <w:type w:val="continuous"/>
      <w:pgSz w:w="12240" w:h="15840" w:code="1"/>
      <w:pgMar w:top="360" w:right="907" w:bottom="72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7386" w14:textId="77777777" w:rsidR="00C91431" w:rsidRDefault="00C91431" w:rsidP="00492602">
      <w:r>
        <w:separator/>
      </w:r>
    </w:p>
  </w:endnote>
  <w:endnote w:type="continuationSeparator" w:id="0">
    <w:p w14:paraId="6B9D332A" w14:textId="77777777" w:rsidR="00C91431" w:rsidRDefault="00C91431"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0A79" w14:textId="77777777" w:rsidR="003D7A5F" w:rsidRPr="00D11DC6" w:rsidRDefault="003D7A5F" w:rsidP="00B507AA">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68C2" w14:textId="77777777" w:rsidR="00354588" w:rsidRPr="00D11DC6" w:rsidRDefault="00354588"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r>
      <w:tab/>
    </w:r>
    <w:r w:rsidRPr="00D11DC6">
      <w:rPr>
        <w:rFonts w:cs="Arial"/>
        <w:iCs/>
        <w:sz w:val="18"/>
        <w:szCs w:val="18"/>
      </w:rPr>
      <w:t>Please direct any questions or comments (or to be removed from this fax distribution) to</w:t>
    </w:r>
  </w:p>
  <w:p w14:paraId="060E9BE5" w14:textId="77777777" w:rsidR="00354588" w:rsidRPr="00D11DC6" w:rsidRDefault="00354588"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hyperlink r:id="rId1" w:history="1">
      <w:r w:rsidRPr="00473CC9">
        <w:rPr>
          <w:rStyle w:val="Hyperlink"/>
          <w:rFonts w:cs="Arial"/>
          <w:iCs/>
          <w:sz w:val="18"/>
          <w:szCs w:val="18"/>
        </w:rPr>
        <w:t>PharmFactsMA@Conduent.com</w:t>
      </w:r>
    </w:hyperlink>
    <w:r>
      <w:rPr>
        <w:rFonts w:cs="Arial"/>
        <w:iCs/>
        <w:sz w:val="18"/>
        <w:szCs w:val="18"/>
      </w:rPr>
      <w:t>.</w:t>
    </w:r>
    <w:r w:rsidRPr="00D11DC6">
      <w:rPr>
        <w:rFonts w:cs="Arial"/>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0CE2" w14:textId="77777777" w:rsidR="00FE5811" w:rsidRDefault="00FE5811" w:rsidP="00FE5811">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080F3C14" w14:textId="0F4FAACF" w:rsidR="00637A67" w:rsidRPr="00FE5811" w:rsidRDefault="00FE5811" w:rsidP="00FE5811">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FB60" w14:textId="77777777" w:rsidR="00C91431" w:rsidRDefault="00C91431" w:rsidP="00492602">
      <w:r>
        <w:separator/>
      </w:r>
    </w:p>
  </w:footnote>
  <w:footnote w:type="continuationSeparator" w:id="0">
    <w:p w14:paraId="496630EC" w14:textId="77777777" w:rsidR="00C91431" w:rsidRDefault="00C91431"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0C35" w14:textId="13402865" w:rsidR="003D7A5F" w:rsidRDefault="003D7A5F" w:rsidP="00BB1FDB">
    <w:pPr>
      <w:pStyle w:val="Default"/>
      <w:pBdr>
        <w:bottom w:val="single" w:sz="18" w:space="1" w:color="auto"/>
      </w:pBdr>
      <w:tabs>
        <w:tab w:val="right" w:pos="10440"/>
      </w:tabs>
      <w:spacing w:before="480" w:after="240"/>
      <w:rPr>
        <w:color w:val="FF0000"/>
        <w:sz w:val="18"/>
        <w:szCs w:val="18"/>
      </w:rPr>
    </w:pPr>
    <w:r w:rsidRPr="00AD18B8">
      <w:rPr>
        <w:sz w:val="18"/>
        <w:szCs w:val="18"/>
      </w:rPr>
      <w:t>P</w:t>
    </w:r>
    <w:r>
      <w:rPr>
        <w:sz w:val="18"/>
        <w:szCs w:val="18"/>
      </w:rPr>
      <w:t xml:space="preserve">harmacy Facts, </w:t>
    </w:r>
    <w:r w:rsidRPr="009437DF">
      <w:rPr>
        <w:color w:val="auto"/>
        <w:sz w:val="18"/>
        <w:szCs w:val="18"/>
      </w:rPr>
      <w:t xml:space="preserve">Number </w:t>
    </w:r>
    <w:r w:rsidR="00F3158E">
      <w:rPr>
        <w:color w:val="auto"/>
        <w:sz w:val="18"/>
        <w:szCs w:val="18"/>
      </w:rPr>
      <w:t>27</w:t>
    </w:r>
    <w:r w:rsidR="005201F1">
      <w:rPr>
        <w:color w:val="auto"/>
        <w:sz w:val="18"/>
        <w:szCs w:val="18"/>
      </w:rPr>
      <w:t>3</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noProof/>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DF9" w14:textId="77777777"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8474A5" w:rsidRPr="008474A5">
      <w:rPr>
        <w:color w:val="FF0000"/>
        <w:sz w:val="18"/>
        <w:szCs w:val="18"/>
      </w:rPr>
      <w:t>[xxx]</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01D2D"/>
    <w:multiLevelType w:val="hybridMultilevel"/>
    <w:tmpl w:val="458A4820"/>
    <w:lvl w:ilvl="0" w:tplc="6FF2F14A">
      <w:start w:val="1"/>
      <w:numFmt w:val="lowerLetter"/>
      <w:lvlText w:val="%1."/>
      <w:lvlJc w:val="left"/>
      <w:pPr>
        <w:ind w:left="720" w:hanging="360"/>
      </w:pPr>
      <w:rPr>
        <w:rFonts w:ascii="Arial" w:eastAsiaTheme="minorHAnsi" w:hAnsi="Arial" w:cs="Arial"/>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861E34"/>
    <w:multiLevelType w:val="hybridMultilevel"/>
    <w:tmpl w:val="12F0E11C"/>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C09CA"/>
    <w:multiLevelType w:val="hybridMultilevel"/>
    <w:tmpl w:val="A24CDB18"/>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27707"/>
    <w:multiLevelType w:val="hybridMultilevel"/>
    <w:tmpl w:val="4880B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456482787">
    <w:abstractNumId w:val="11"/>
  </w:num>
  <w:num w:numId="2" w16cid:durableId="678387703">
    <w:abstractNumId w:val="17"/>
  </w:num>
  <w:num w:numId="3" w16cid:durableId="171258805">
    <w:abstractNumId w:val="21"/>
  </w:num>
  <w:num w:numId="4" w16cid:durableId="933971704">
    <w:abstractNumId w:val="7"/>
  </w:num>
  <w:num w:numId="5" w16cid:durableId="1146894553">
    <w:abstractNumId w:val="10"/>
  </w:num>
  <w:num w:numId="6" w16cid:durableId="1099835229">
    <w:abstractNumId w:val="16"/>
  </w:num>
  <w:num w:numId="7" w16cid:durableId="1091773746">
    <w:abstractNumId w:val="22"/>
  </w:num>
  <w:num w:numId="8" w16cid:durableId="775977178">
    <w:abstractNumId w:val="3"/>
  </w:num>
  <w:num w:numId="9" w16cid:durableId="1192911353">
    <w:abstractNumId w:val="0"/>
  </w:num>
  <w:num w:numId="10" w16cid:durableId="1998994280">
    <w:abstractNumId w:val="19"/>
  </w:num>
  <w:num w:numId="11" w16cid:durableId="7752956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5"/>
  </w:num>
  <w:num w:numId="13" w16cid:durableId="489909912">
    <w:abstractNumId w:val="21"/>
  </w:num>
  <w:num w:numId="14" w16cid:durableId="12777144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6"/>
  </w:num>
  <w:num w:numId="16" w16cid:durableId="1632830456">
    <w:abstractNumId w:val="18"/>
  </w:num>
  <w:num w:numId="17" w16cid:durableId="1271858877">
    <w:abstractNumId w:val="2"/>
  </w:num>
  <w:num w:numId="18" w16cid:durableId="1285695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6"/>
  </w:num>
  <w:num w:numId="20" w16cid:durableId="155609916">
    <w:abstractNumId w:val="4"/>
  </w:num>
  <w:num w:numId="21" w16cid:durableId="749011242">
    <w:abstractNumId w:val="9"/>
  </w:num>
  <w:num w:numId="22" w16cid:durableId="2135520725">
    <w:abstractNumId w:val="23"/>
  </w:num>
  <w:num w:numId="23" w16cid:durableId="1269894124">
    <w:abstractNumId w:val="25"/>
  </w:num>
  <w:num w:numId="24" w16cid:durableId="1534229008">
    <w:abstractNumId w:val="15"/>
  </w:num>
  <w:num w:numId="25" w16cid:durableId="480999597">
    <w:abstractNumId w:val="20"/>
  </w:num>
  <w:num w:numId="26" w16cid:durableId="1484080441">
    <w:abstractNumId w:val="7"/>
    <w:lvlOverride w:ilvl="0">
      <w:startOverride w:val="1"/>
    </w:lvlOverride>
  </w:num>
  <w:num w:numId="27" w16cid:durableId="339738625">
    <w:abstractNumId w:val="7"/>
  </w:num>
  <w:num w:numId="28" w16cid:durableId="337193572">
    <w:abstractNumId w:val="8"/>
  </w:num>
  <w:num w:numId="29" w16cid:durableId="552739578">
    <w:abstractNumId w:val="1"/>
  </w:num>
  <w:num w:numId="30" w16cid:durableId="373234596">
    <w:abstractNumId w:val="14"/>
  </w:num>
  <w:num w:numId="31" w16cid:durableId="544561988">
    <w:abstractNumId w:val="13"/>
  </w:num>
  <w:num w:numId="32" w16cid:durableId="661933519">
    <w:abstractNumId w:val="17"/>
  </w:num>
  <w:num w:numId="33" w16cid:durableId="199251375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508407">
    <w:abstractNumId w:val="26"/>
  </w:num>
  <w:num w:numId="35" w16cid:durableId="1394163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4220024">
    <w:abstractNumId w:val="16"/>
  </w:num>
  <w:num w:numId="37" w16cid:durableId="638072038">
    <w:abstractNumId w:val="18"/>
  </w:num>
  <w:num w:numId="38" w16cid:durableId="212318372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636960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37CC5"/>
    <w:rsid w:val="00054839"/>
    <w:rsid w:val="00061F50"/>
    <w:rsid w:val="000658A5"/>
    <w:rsid w:val="000713D3"/>
    <w:rsid w:val="00074014"/>
    <w:rsid w:val="00074716"/>
    <w:rsid w:val="00081E8E"/>
    <w:rsid w:val="000A622F"/>
    <w:rsid w:val="000A6318"/>
    <w:rsid w:val="000D1502"/>
    <w:rsid w:val="00102EDF"/>
    <w:rsid w:val="00123D58"/>
    <w:rsid w:val="00124EAA"/>
    <w:rsid w:val="0012682D"/>
    <w:rsid w:val="001378CB"/>
    <w:rsid w:val="00137D3D"/>
    <w:rsid w:val="00140D08"/>
    <w:rsid w:val="00147437"/>
    <w:rsid w:val="00157A49"/>
    <w:rsid w:val="00171445"/>
    <w:rsid w:val="001721D8"/>
    <w:rsid w:val="0018357E"/>
    <w:rsid w:val="001864A9"/>
    <w:rsid w:val="001924D3"/>
    <w:rsid w:val="001A125B"/>
    <w:rsid w:val="001C1481"/>
    <w:rsid w:val="001C6362"/>
    <w:rsid w:val="001E779F"/>
    <w:rsid w:val="001F6F0B"/>
    <w:rsid w:val="0021214A"/>
    <w:rsid w:val="00212477"/>
    <w:rsid w:val="00212622"/>
    <w:rsid w:val="002275AE"/>
    <w:rsid w:val="002509E9"/>
    <w:rsid w:val="00267FBD"/>
    <w:rsid w:val="00274F3E"/>
    <w:rsid w:val="00276F3A"/>
    <w:rsid w:val="00286CBE"/>
    <w:rsid w:val="00291397"/>
    <w:rsid w:val="002C7C67"/>
    <w:rsid w:val="002D390F"/>
    <w:rsid w:val="002D738C"/>
    <w:rsid w:val="002E2F9E"/>
    <w:rsid w:val="002F459B"/>
    <w:rsid w:val="003152DA"/>
    <w:rsid w:val="003240F1"/>
    <w:rsid w:val="0033053B"/>
    <w:rsid w:val="00332874"/>
    <w:rsid w:val="00351497"/>
    <w:rsid w:val="00354588"/>
    <w:rsid w:val="00360067"/>
    <w:rsid w:val="00361733"/>
    <w:rsid w:val="0036343A"/>
    <w:rsid w:val="00372195"/>
    <w:rsid w:val="0037373E"/>
    <w:rsid w:val="00375713"/>
    <w:rsid w:val="00382054"/>
    <w:rsid w:val="003911FC"/>
    <w:rsid w:val="003B6839"/>
    <w:rsid w:val="003C45A1"/>
    <w:rsid w:val="003D3B27"/>
    <w:rsid w:val="003D7A5F"/>
    <w:rsid w:val="003F533B"/>
    <w:rsid w:val="004233B0"/>
    <w:rsid w:val="00447A5F"/>
    <w:rsid w:val="004555D9"/>
    <w:rsid w:val="00456B5A"/>
    <w:rsid w:val="00457528"/>
    <w:rsid w:val="004664D3"/>
    <w:rsid w:val="00490561"/>
    <w:rsid w:val="00492602"/>
    <w:rsid w:val="0049423D"/>
    <w:rsid w:val="00494D38"/>
    <w:rsid w:val="004A3BAA"/>
    <w:rsid w:val="004A7395"/>
    <w:rsid w:val="004C1DAD"/>
    <w:rsid w:val="004D1BC7"/>
    <w:rsid w:val="004D20D7"/>
    <w:rsid w:val="004D79B2"/>
    <w:rsid w:val="004E2B38"/>
    <w:rsid w:val="004F5506"/>
    <w:rsid w:val="004F5612"/>
    <w:rsid w:val="005052D9"/>
    <w:rsid w:val="00516394"/>
    <w:rsid w:val="005201F1"/>
    <w:rsid w:val="0052118E"/>
    <w:rsid w:val="00527F95"/>
    <w:rsid w:val="005314A6"/>
    <w:rsid w:val="005502E1"/>
    <w:rsid w:val="0055514F"/>
    <w:rsid w:val="0056481B"/>
    <w:rsid w:val="0057156C"/>
    <w:rsid w:val="00571898"/>
    <w:rsid w:val="00574ECE"/>
    <w:rsid w:val="00574F07"/>
    <w:rsid w:val="0057528C"/>
    <w:rsid w:val="00581E50"/>
    <w:rsid w:val="005835F0"/>
    <w:rsid w:val="005842A0"/>
    <w:rsid w:val="005958DD"/>
    <w:rsid w:val="005A57BA"/>
    <w:rsid w:val="005B15B3"/>
    <w:rsid w:val="005B3002"/>
    <w:rsid w:val="005D723D"/>
    <w:rsid w:val="005E3688"/>
    <w:rsid w:val="005F2371"/>
    <w:rsid w:val="00623469"/>
    <w:rsid w:val="00634C49"/>
    <w:rsid w:val="00637A67"/>
    <w:rsid w:val="00644AAF"/>
    <w:rsid w:val="00650095"/>
    <w:rsid w:val="00651CA7"/>
    <w:rsid w:val="00656A01"/>
    <w:rsid w:val="00657D21"/>
    <w:rsid w:val="006615EC"/>
    <w:rsid w:val="00665EB7"/>
    <w:rsid w:val="00666597"/>
    <w:rsid w:val="00673F96"/>
    <w:rsid w:val="00674418"/>
    <w:rsid w:val="00674428"/>
    <w:rsid w:val="006753A6"/>
    <w:rsid w:val="00686C26"/>
    <w:rsid w:val="00690023"/>
    <w:rsid w:val="00696F48"/>
    <w:rsid w:val="0069772F"/>
    <w:rsid w:val="006A1AD3"/>
    <w:rsid w:val="006A767B"/>
    <w:rsid w:val="006A7D28"/>
    <w:rsid w:val="006D3B5F"/>
    <w:rsid w:val="006E0C20"/>
    <w:rsid w:val="006E22A3"/>
    <w:rsid w:val="006F35F9"/>
    <w:rsid w:val="00705200"/>
    <w:rsid w:val="007319D7"/>
    <w:rsid w:val="00731FAF"/>
    <w:rsid w:val="007426BF"/>
    <w:rsid w:val="00760FDF"/>
    <w:rsid w:val="00763358"/>
    <w:rsid w:val="007757E7"/>
    <w:rsid w:val="00781D3B"/>
    <w:rsid w:val="007A038A"/>
    <w:rsid w:val="007A41F5"/>
    <w:rsid w:val="007B2F2D"/>
    <w:rsid w:val="007B33B4"/>
    <w:rsid w:val="007B4429"/>
    <w:rsid w:val="007B7425"/>
    <w:rsid w:val="007F5417"/>
    <w:rsid w:val="00804116"/>
    <w:rsid w:val="00812480"/>
    <w:rsid w:val="00816C8D"/>
    <w:rsid w:val="00816CE2"/>
    <w:rsid w:val="00821937"/>
    <w:rsid w:val="008340D0"/>
    <w:rsid w:val="008403CA"/>
    <w:rsid w:val="008474A5"/>
    <w:rsid w:val="0085395A"/>
    <w:rsid w:val="00853F8E"/>
    <w:rsid w:val="0086142C"/>
    <w:rsid w:val="00870F52"/>
    <w:rsid w:val="00872E7F"/>
    <w:rsid w:val="00880FA9"/>
    <w:rsid w:val="008930F1"/>
    <w:rsid w:val="00893F45"/>
    <w:rsid w:val="008C1341"/>
    <w:rsid w:val="008C5414"/>
    <w:rsid w:val="008C66D8"/>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44B84"/>
    <w:rsid w:val="00956812"/>
    <w:rsid w:val="0095770E"/>
    <w:rsid w:val="009725E5"/>
    <w:rsid w:val="00974CFD"/>
    <w:rsid w:val="00981567"/>
    <w:rsid w:val="009C0B43"/>
    <w:rsid w:val="009C3981"/>
    <w:rsid w:val="009D1341"/>
    <w:rsid w:val="009D6D73"/>
    <w:rsid w:val="009D79C6"/>
    <w:rsid w:val="009F0440"/>
    <w:rsid w:val="009F0526"/>
    <w:rsid w:val="00A01DE3"/>
    <w:rsid w:val="00A06542"/>
    <w:rsid w:val="00A11371"/>
    <w:rsid w:val="00A120E1"/>
    <w:rsid w:val="00A2577C"/>
    <w:rsid w:val="00A31FAA"/>
    <w:rsid w:val="00A343A9"/>
    <w:rsid w:val="00A4007E"/>
    <w:rsid w:val="00A5239C"/>
    <w:rsid w:val="00A571F6"/>
    <w:rsid w:val="00A650DC"/>
    <w:rsid w:val="00A6764A"/>
    <w:rsid w:val="00A84255"/>
    <w:rsid w:val="00A853D9"/>
    <w:rsid w:val="00AC1AC7"/>
    <w:rsid w:val="00AD18B8"/>
    <w:rsid w:val="00AD33D5"/>
    <w:rsid w:val="00AE21FC"/>
    <w:rsid w:val="00B01BAA"/>
    <w:rsid w:val="00B05470"/>
    <w:rsid w:val="00B07BD7"/>
    <w:rsid w:val="00B10600"/>
    <w:rsid w:val="00B11497"/>
    <w:rsid w:val="00B13AA5"/>
    <w:rsid w:val="00B219CA"/>
    <w:rsid w:val="00B3099B"/>
    <w:rsid w:val="00B40A71"/>
    <w:rsid w:val="00B45236"/>
    <w:rsid w:val="00B503C7"/>
    <w:rsid w:val="00B54AB5"/>
    <w:rsid w:val="00B645C9"/>
    <w:rsid w:val="00B86F04"/>
    <w:rsid w:val="00B92C96"/>
    <w:rsid w:val="00BA64D7"/>
    <w:rsid w:val="00BA68F0"/>
    <w:rsid w:val="00BB185B"/>
    <w:rsid w:val="00BD08CA"/>
    <w:rsid w:val="00BE0808"/>
    <w:rsid w:val="00BF0DF4"/>
    <w:rsid w:val="00C00CF2"/>
    <w:rsid w:val="00C15672"/>
    <w:rsid w:val="00C21680"/>
    <w:rsid w:val="00C24EF5"/>
    <w:rsid w:val="00C304E6"/>
    <w:rsid w:val="00C31421"/>
    <w:rsid w:val="00C33753"/>
    <w:rsid w:val="00C35B94"/>
    <w:rsid w:val="00C37DFB"/>
    <w:rsid w:val="00C559C9"/>
    <w:rsid w:val="00C82FA4"/>
    <w:rsid w:val="00C91431"/>
    <w:rsid w:val="00CA0669"/>
    <w:rsid w:val="00CA1E7C"/>
    <w:rsid w:val="00CB0030"/>
    <w:rsid w:val="00CB7521"/>
    <w:rsid w:val="00CC57AC"/>
    <w:rsid w:val="00CC776C"/>
    <w:rsid w:val="00CD6D68"/>
    <w:rsid w:val="00CE6D58"/>
    <w:rsid w:val="00CF2057"/>
    <w:rsid w:val="00D0584B"/>
    <w:rsid w:val="00D2695E"/>
    <w:rsid w:val="00D450C8"/>
    <w:rsid w:val="00D521FA"/>
    <w:rsid w:val="00D66801"/>
    <w:rsid w:val="00D67F8C"/>
    <w:rsid w:val="00D76C6E"/>
    <w:rsid w:val="00D779F2"/>
    <w:rsid w:val="00D81121"/>
    <w:rsid w:val="00D939D0"/>
    <w:rsid w:val="00DA6A55"/>
    <w:rsid w:val="00DB423E"/>
    <w:rsid w:val="00DE11BB"/>
    <w:rsid w:val="00DF73DB"/>
    <w:rsid w:val="00E06F7D"/>
    <w:rsid w:val="00E24139"/>
    <w:rsid w:val="00E3616D"/>
    <w:rsid w:val="00E50862"/>
    <w:rsid w:val="00E60ABB"/>
    <w:rsid w:val="00E62D91"/>
    <w:rsid w:val="00E67611"/>
    <w:rsid w:val="00E67713"/>
    <w:rsid w:val="00E72DFF"/>
    <w:rsid w:val="00E92E47"/>
    <w:rsid w:val="00E9576D"/>
    <w:rsid w:val="00EA3650"/>
    <w:rsid w:val="00EC08AC"/>
    <w:rsid w:val="00EC1948"/>
    <w:rsid w:val="00ED4639"/>
    <w:rsid w:val="00EE54D2"/>
    <w:rsid w:val="00EF7C8A"/>
    <w:rsid w:val="00F2514F"/>
    <w:rsid w:val="00F25E7F"/>
    <w:rsid w:val="00F274DE"/>
    <w:rsid w:val="00F3158E"/>
    <w:rsid w:val="00F6038A"/>
    <w:rsid w:val="00F643E6"/>
    <w:rsid w:val="00F76D69"/>
    <w:rsid w:val="00F9012C"/>
    <w:rsid w:val="00F9097E"/>
    <w:rsid w:val="00F93C6C"/>
    <w:rsid w:val="00FA5147"/>
    <w:rsid w:val="00FB0C11"/>
    <w:rsid w:val="00FB5301"/>
    <w:rsid w:val="00FD4894"/>
    <w:rsid w:val="00FE5811"/>
    <w:rsid w:val="00FE6B9E"/>
    <w:rsid w:val="00FF2520"/>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D84F4812-5AD1-4D51-AB40-B2DEF679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paragraph" w:styleId="Revision">
    <w:name w:val="Revision"/>
    <w:hidden/>
    <w:uiPriority w:val="99"/>
    <w:semiHidden/>
    <w:rsid w:val="004E2B38"/>
    <w:rPr>
      <w:rFonts w:ascii="Arial" w:hAnsi="Arial"/>
      <w:sz w:val="22"/>
      <w:szCs w:val="24"/>
    </w:rPr>
  </w:style>
  <w:style w:type="character" w:styleId="FollowedHyperlink">
    <w:name w:val="FollowedHyperlink"/>
    <w:basedOn w:val="DefaultParagraphFont"/>
    <w:semiHidden/>
    <w:unhideWhenUsed/>
    <w:rsid w:val="005201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dl.pharmacy.services.conduent.com/MHDL/pubdruglist.do?category=MassHealth+Drug+List+A+-+Z"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Luca, Joseph (EHS)</cp:lastModifiedBy>
  <cp:revision>2</cp:revision>
  <dcterms:created xsi:type="dcterms:W3CDTF">2026-05-01T19:45:00Z</dcterms:created>
  <dcterms:modified xsi:type="dcterms:W3CDTF">2026-05-01T19:45:00Z</dcterms:modified>
</cp:coreProperties>
</file>