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C92D3" w14:textId="0A08F14D" w:rsidR="00074716" w:rsidRPr="00FB36AD" w:rsidRDefault="00A079FC" w:rsidP="00FB36AD">
      <w:pPr>
        <w:pStyle w:val="Heading1"/>
        <w:spacing w:before="0"/>
        <w:rPr>
          <w:color w:val="FF0000"/>
          <w:sz w:val="18"/>
          <w:szCs w:val="18"/>
        </w:rPr>
      </w:pPr>
      <w:r>
        <w:rPr>
          <w:rFonts w:ascii="Times New Roman"/>
          <w:noProof/>
        </w:rPr>
        <w:drawing>
          <wp:anchor distT="0" distB="0" distL="114300" distR="114300" simplePos="0" relativeHeight="251660288" behindDoc="1" locked="0" layoutInCell="1" allowOverlap="1" wp14:anchorId="1F1EE51A" wp14:editId="6E4E4313">
            <wp:simplePos x="0" y="0"/>
            <wp:positionH relativeFrom="column">
              <wp:posOffset>-69215</wp:posOffset>
            </wp:positionH>
            <wp:positionV relativeFrom="paragraph">
              <wp:posOffset>19050</wp:posOffset>
            </wp:positionV>
            <wp:extent cx="6829425" cy="1901825"/>
            <wp:effectExtent l="0" t="0" r="9525" b="3175"/>
            <wp:wrapNone/>
            <wp:docPr id="860030456" name="Image 4" descr="Text  Description automatically generated"/>
            <wp:cNvGraphicFramePr/>
            <a:graphic xmlns:a="http://schemas.openxmlformats.org/drawingml/2006/main">
              <a:graphicData uri="http://schemas.openxmlformats.org/drawingml/2006/picture">
                <pic:pic xmlns:pic="http://schemas.openxmlformats.org/drawingml/2006/picture">
                  <pic:nvPicPr>
                    <pic:cNvPr id="1740100812" name="Image 4" descr="Text  Description automatically generated"/>
                    <pic:cNvPicPr/>
                  </pic:nvPicPr>
                  <pic:blipFill>
                    <a:blip r:embed="rId8" cstate="print"/>
                    <a:stretch>
                      <a:fillRect/>
                    </a:stretch>
                  </pic:blipFill>
                  <pic:spPr>
                    <a:xfrm>
                      <a:off x="0" y="0"/>
                      <a:ext cx="6829425" cy="1901825"/>
                    </a:xfrm>
                    <a:prstGeom prst="rect">
                      <a:avLst/>
                    </a:prstGeom>
                    <a:solidFill>
                      <a:schemeClr val="bg1"/>
                    </a:solidFill>
                  </pic:spPr>
                </pic:pic>
              </a:graphicData>
            </a:graphic>
          </wp:anchor>
        </w:drawing>
      </w:r>
      <w:r w:rsidR="00FB36AD" w:rsidRPr="00FB36AD">
        <w:rPr>
          <w:sz w:val="18"/>
          <w:szCs w:val="18"/>
        </w:rPr>
        <w:t>Number 278, June 25, 2026</w:t>
      </w:r>
    </w:p>
    <w:p w14:paraId="32BF3DE7" w14:textId="2B0CFFEB" w:rsidR="00074716" w:rsidRDefault="00074716" w:rsidP="00FB36AD">
      <w:pPr>
        <w:pStyle w:val="Noparagraphstyle"/>
        <w:ind w:firstLine="720"/>
        <w:rPr>
          <w:rFonts w:ascii="Arial Narrow" w:hAnsi="Arial Narrow"/>
          <w:b/>
          <w:color w:val="FF0000"/>
          <w:sz w:val="20"/>
          <w:szCs w:val="20"/>
        </w:rPr>
      </w:pPr>
    </w:p>
    <w:p w14:paraId="0858B47B" w14:textId="71D9A845" w:rsidR="00074716" w:rsidRDefault="00074716" w:rsidP="00FB36AD"/>
    <w:p w14:paraId="6A5C6B8C" w14:textId="77777777" w:rsidR="00074716" w:rsidRDefault="00074716" w:rsidP="00C559C9">
      <w:pPr>
        <w:pStyle w:val="Noparagraphstyle"/>
        <w:rPr>
          <w:rFonts w:ascii="Arial Narrow" w:hAnsi="Arial Narrow"/>
          <w:b/>
          <w:color w:val="FF0000"/>
          <w:sz w:val="20"/>
          <w:szCs w:val="20"/>
        </w:rPr>
      </w:pPr>
    </w:p>
    <w:p w14:paraId="1301F774" w14:textId="77777777" w:rsidR="00074716" w:rsidRDefault="00074716" w:rsidP="00C559C9">
      <w:pPr>
        <w:pStyle w:val="Noparagraphstyle"/>
        <w:rPr>
          <w:rFonts w:ascii="Arial Narrow" w:hAnsi="Arial Narrow"/>
          <w:b/>
          <w:color w:val="FF0000"/>
          <w:sz w:val="20"/>
          <w:szCs w:val="20"/>
        </w:rPr>
      </w:pPr>
    </w:p>
    <w:p w14:paraId="187FE7C2" w14:textId="77777777" w:rsidR="00074716" w:rsidRDefault="00074716" w:rsidP="00C559C9">
      <w:pPr>
        <w:pStyle w:val="Noparagraphstyle"/>
        <w:rPr>
          <w:rFonts w:ascii="Arial Narrow" w:hAnsi="Arial Narrow"/>
          <w:b/>
          <w:color w:val="FF0000"/>
          <w:sz w:val="20"/>
          <w:szCs w:val="20"/>
        </w:rPr>
      </w:pPr>
    </w:p>
    <w:p w14:paraId="317BFC54" w14:textId="77777777" w:rsidR="00074716" w:rsidRDefault="00074716" w:rsidP="00C559C9">
      <w:pPr>
        <w:pStyle w:val="Noparagraphstyle"/>
        <w:rPr>
          <w:rFonts w:ascii="Arial Narrow" w:hAnsi="Arial Narrow"/>
          <w:b/>
          <w:color w:val="FF0000"/>
          <w:sz w:val="20"/>
          <w:szCs w:val="20"/>
        </w:rPr>
      </w:pPr>
    </w:p>
    <w:p w14:paraId="1FCA92D7" w14:textId="77777777" w:rsidR="00074716" w:rsidRDefault="00074716" w:rsidP="00C559C9">
      <w:pPr>
        <w:pStyle w:val="Noparagraphstyle"/>
        <w:rPr>
          <w:rFonts w:ascii="Arial Narrow" w:hAnsi="Arial Narrow"/>
          <w:b/>
          <w:color w:val="FF0000"/>
          <w:sz w:val="20"/>
          <w:szCs w:val="20"/>
        </w:rPr>
      </w:pPr>
    </w:p>
    <w:p w14:paraId="175B24BC" w14:textId="141DC38F" w:rsidR="00074716" w:rsidRDefault="00A079FC" w:rsidP="00C559C9">
      <w:pPr>
        <w:pStyle w:val="Noparagraphstyle"/>
        <w:rPr>
          <w:rFonts w:ascii="Arial Narrow" w:hAnsi="Arial Narrow"/>
          <w:b/>
          <w:color w:val="FF0000"/>
          <w:sz w:val="20"/>
          <w:szCs w:val="20"/>
        </w:rPr>
      </w:pPr>
      <w:r>
        <w:rPr>
          <w:noProof/>
          <w:sz w:val="28"/>
        </w:rPr>
        <mc:AlternateContent>
          <mc:Choice Requires="wps">
            <w:drawing>
              <wp:anchor distT="0" distB="0" distL="114300" distR="114300" simplePos="0" relativeHeight="251659264" behindDoc="0" locked="0" layoutInCell="1" allowOverlap="1" wp14:anchorId="40406D9A" wp14:editId="4C2A3C3C">
                <wp:simplePos x="0" y="0"/>
                <wp:positionH relativeFrom="column">
                  <wp:posOffset>-69850</wp:posOffset>
                </wp:positionH>
                <wp:positionV relativeFrom="paragraph">
                  <wp:posOffset>101600</wp:posOffset>
                </wp:positionV>
                <wp:extent cx="6829425" cy="415925"/>
                <wp:effectExtent l="0" t="0" r="0" b="3175"/>
                <wp:wrapNone/>
                <wp:docPr id="12409683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415925"/>
                        </a:xfrm>
                        <a:prstGeom prst="rect">
                          <a:avLst/>
                        </a:prstGeom>
                        <a:noFill/>
                        <a:ln w="9525">
                          <a:noFill/>
                          <a:miter lim="800000"/>
                          <a:headEnd/>
                          <a:tailEnd/>
                        </a:ln>
                      </wps:spPr>
                      <wps:txbx>
                        <w:txbxContent>
                          <w:p w14:paraId="7BB58B34" w14:textId="3CDB339D" w:rsidR="00A079FC" w:rsidRPr="008C331F" w:rsidRDefault="00A079FC" w:rsidP="00A079FC">
                            <w:pPr>
                              <w:tabs>
                                <w:tab w:val="left" w:pos="2520"/>
                                <w:tab w:val="left" w:pos="3690"/>
                              </w:tabs>
                              <w:spacing w:line="360" w:lineRule="auto"/>
                              <w:ind w:left="2880" w:hanging="2790"/>
                              <w:rPr>
                                <w:b/>
                                <w:bCs/>
                                <w:color w:val="FFFFFF" w:themeColor="background1"/>
                                <w:sz w:val="16"/>
                                <w:szCs w:val="16"/>
                              </w:rPr>
                            </w:pPr>
                            <w:r w:rsidRPr="008C331F">
                              <w:rPr>
                                <w:b/>
                                <w:bCs/>
                                <w:color w:val="FFFFFF" w:themeColor="background1"/>
                                <w:sz w:val="16"/>
                                <w:szCs w:val="16"/>
                              </w:rPr>
                              <w:t xml:space="preserve">Editor: Ryan Bettencourt </w:t>
                            </w:r>
                            <w:r w:rsidRPr="008C331F">
                              <w:rPr>
                                <w:b/>
                                <w:bCs/>
                                <w:color w:val="FFFFFF" w:themeColor="background1"/>
                                <w:sz w:val="16"/>
                                <w:szCs w:val="16"/>
                              </w:rPr>
                              <w:tab/>
                              <w:t>Contributors:</w:t>
                            </w:r>
                            <w:r>
                              <w:rPr>
                                <w:b/>
                                <w:bCs/>
                                <w:color w:val="FFFFFF" w:themeColor="background1"/>
                                <w:sz w:val="16"/>
                                <w:szCs w:val="16"/>
                              </w:rPr>
                              <w:tab/>
                            </w:r>
                            <w:r w:rsidRPr="008C331F">
                              <w:rPr>
                                <w:b/>
                                <w:bCs/>
                                <w:color w:val="FFFFFF" w:themeColor="background1"/>
                                <w:sz w:val="16"/>
                                <w:szCs w:val="16"/>
                              </w:rPr>
                              <w:t>Eliza Anderson, Sarah Dube, Aimee Evers, Breeyn Green, Neha</w:t>
                            </w:r>
                            <w:r>
                              <w:rPr>
                                <w:b/>
                                <w:bCs/>
                                <w:color w:val="FFFFFF" w:themeColor="background1"/>
                                <w:sz w:val="16"/>
                                <w:szCs w:val="16"/>
                              </w:rPr>
                              <w:t xml:space="preserve"> </w:t>
                            </w:r>
                            <w:r w:rsidRPr="008C331F">
                              <w:rPr>
                                <w:b/>
                                <w:bCs/>
                                <w:color w:val="FFFFFF" w:themeColor="background1"/>
                                <w:sz w:val="16"/>
                                <w:szCs w:val="16"/>
                              </w:rPr>
                              <w:t>Kashalikar,</w:t>
                            </w:r>
                            <w:r>
                              <w:rPr>
                                <w:b/>
                                <w:bCs/>
                                <w:color w:val="FFFFFF" w:themeColor="background1"/>
                                <w:sz w:val="16"/>
                                <w:szCs w:val="16"/>
                              </w:rPr>
                              <w:br/>
                            </w:r>
                            <w:r>
                              <w:rPr>
                                <w:b/>
                                <w:bCs/>
                                <w:color w:val="FFFFFF" w:themeColor="background1"/>
                                <w:sz w:val="16"/>
                                <w:szCs w:val="16"/>
                              </w:rPr>
                              <w:tab/>
                            </w:r>
                            <w:r w:rsidRPr="008C331F">
                              <w:rPr>
                                <w:b/>
                                <w:bCs/>
                                <w:color w:val="FFFFFF" w:themeColor="background1"/>
                                <w:sz w:val="16"/>
                                <w:szCs w:val="16"/>
                              </w:rPr>
                              <w:t>Kim Lenz, Mckenzie McVeigh, Katelyn Meyer, Kyle Semmel</w:t>
                            </w:r>
                          </w:p>
                        </w:txbxContent>
                      </wps:txbx>
                      <wps:bodyPr rot="0" vert="horz" wrap="square" lIns="91440" tIns="45720" rIns="91440" bIns="45720" anchor="t" anchorCtr="0">
                        <a:noAutofit/>
                      </wps:bodyPr>
                    </wps:wsp>
                  </a:graphicData>
                </a:graphic>
              </wp:anchor>
            </w:drawing>
          </mc:Choice>
          <mc:Fallback>
            <w:pict>
              <v:shapetype w14:anchorId="40406D9A" id="_x0000_t202" coordsize="21600,21600" o:spt="202" path="m,l,21600r21600,l21600,xe">
                <v:stroke joinstyle="miter"/>
                <v:path gradientshapeok="t" o:connecttype="rect"/>
              </v:shapetype>
              <v:shape id="Text Box 2" o:spid="_x0000_s1026" type="#_x0000_t202" style="position:absolute;margin-left:-5.5pt;margin-top:8pt;width:537.75pt;height:32.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" filled="f" stroked="f">
                <v:textbox>
                  <w:txbxContent>
                    <w:p w14:paraId="7BB58B34" w14:textId="3CDB339D" w:rsidR="00A079FC" w:rsidRPr="008C331F" w:rsidRDefault="00A079FC" w:rsidP="00A079FC">
                      <w:pPr>
                        <w:tabs>
                          <w:tab w:val="left" w:pos="2520"/>
                          <w:tab w:val="left" w:pos="3690"/>
                        </w:tabs>
                        <w:spacing w:line="360" w:lineRule="auto"/>
                        <w:ind w:left="2880" w:hanging="2790"/>
                        <w:rPr>
                          <w:b/>
                          <w:bCs/>
                          <w:color w:val="FFFFFF" w:themeColor="background1"/>
                          <w:sz w:val="16"/>
                          <w:szCs w:val="16"/>
                        </w:rPr>
                      </w:pPr>
                      <w:r w:rsidRPr="008C331F">
                        <w:rPr>
                          <w:b/>
                          <w:bCs/>
                          <w:color w:val="FFFFFF" w:themeColor="background1"/>
                          <w:sz w:val="16"/>
                          <w:szCs w:val="16"/>
                        </w:rPr>
                        <w:t xml:space="preserve">Editor: Ryan Bettencourt </w:t>
                      </w:r>
                      <w:r w:rsidRPr="008C331F">
                        <w:rPr>
                          <w:b/>
                          <w:bCs/>
                          <w:color w:val="FFFFFF" w:themeColor="background1"/>
                          <w:sz w:val="16"/>
                          <w:szCs w:val="16"/>
                        </w:rPr>
                        <w:tab/>
                        <w:t>Contributors:</w:t>
                      </w:r>
                      <w:r>
                        <w:rPr>
                          <w:b/>
                          <w:bCs/>
                          <w:color w:val="FFFFFF" w:themeColor="background1"/>
                          <w:sz w:val="16"/>
                          <w:szCs w:val="16"/>
                        </w:rPr>
                        <w:tab/>
                      </w:r>
                      <w:r w:rsidRPr="008C331F">
                        <w:rPr>
                          <w:b/>
                          <w:bCs/>
                          <w:color w:val="FFFFFF" w:themeColor="background1"/>
                          <w:sz w:val="16"/>
                          <w:szCs w:val="16"/>
                        </w:rPr>
                        <w:t xml:space="preserve">Eliza Anderson, Sarah Dube, Aimee Evers, </w:t>
                      </w:r>
                      <w:proofErr w:type="spellStart"/>
                      <w:r w:rsidRPr="008C331F">
                        <w:rPr>
                          <w:b/>
                          <w:bCs/>
                          <w:color w:val="FFFFFF" w:themeColor="background1"/>
                          <w:sz w:val="16"/>
                          <w:szCs w:val="16"/>
                        </w:rPr>
                        <w:t>Breeyn</w:t>
                      </w:r>
                      <w:proofErr w:type="spellEnd"/>
                      <w:r w:rsidRPr="008C331F">
                        <w:rPr>
                          <w:b/>
                          <w:bCs/>
                          <w:color w:val="FFFFFF" w:themeColor="background1"/>
                          <w:sz w:val="16"/>
                          <w:szCs w:val="16"/>
                        </w:rPr>
                        <w:t xml:space="preserve"> Green, Neha</w:t>
                      </w:r>
                      <w:r>
                        <w:rPr>
                          <w:b/>
                          <w:bCs/>
                          <w:color w:val="FFFFFF" w:themeColor="background1"/>
                          <w:sz w:val="16"/>
                          <w:szCs w:val="16"/>
                        </w:rPr>
                        <w:t xml:space="preserve"> </w:t>
                      </w:r>
                      <w:r w:rsidRPr="008C331F">
                        <w:rPr>
                          <w:b/>
                          <w:bCs/>
                          <w:color w:val="FFFFFF" w:themeColor="background1"/>
                          <w:sz w:val="16"/>
                          <w:szCs w:val="16"/>
                        </w:rPr>
                        <w:t>Kashalikar,</w:t>
                      </w:r>
                      <w:r>
                        <w:rPr>
                          <w:b/>
                          <w:bCs/>
                          <w:color w:val="FFFFFF" w:themeColor="background1"/>
                          <w:sz w:val="16"/>
                          <w:szCs w:val="16"/>
                        </w:rPr>
                        <w:br/>
                      </w:r>
                      <w:r>
                        <w:rPr>
                          <w:b/>
                          <w:bCs/>
                          <w:color w:val="FFFFFF" w:themeColor="background1"/>
                          <w:sz w:val="16"/>
                          <w:szCs w:val="16"/>
                        </w:rPr>
                        <w:tab/>
                      </w:r>
                      <w:r w:rsidRPr="008C331F">
                        <w:rPr>
                          <w:b/>
                          <w:bCs/>
                          <w:color w:val="FFFFFF" w:themeColor="background1"/>
                          <w:sz w:val="16"/>
                          <w:szCs w:val="16"/>
                        </w:rPr>
                        <w:t>Kim Lenz, Mckenzie McVeigh, Katelyn Meyer, Kyle Semmel</w:t>
                      </w:r>
                    </w:p>
                  </w:txbxContent>
                </v:textbox>
              </v:shape>
            </w:pict>
          </mc:Fallback>
        </mc:AlternateContent>
      </w:r>
    </w:p>
    <w:p w14:paraId="07CD72C2" w14:textId="77777777" w:rsidR="00074716" w:rsidRDefault="00074716" w:rsidP="00C559C9">
      <w:pPr>
        <w:pStyle w:val="Noparagraphstyle"/>
        <w:rPr>
          <w:rFonts w:ascii="Arial Narrow" w:hAnsi="Arial Narrow"/>
          <w:b/>
          <w:color w:val="FF0000"/>
          <w:sz w:val="20"/>
          <w:szCs w:val="20"/>
        </w:rPr>
      </w:pPr>
    </w:p>
    <w:p w14:paraId="0905EA74" w14:textId="47EF44CD" w:rsidR="00074716" w:rsidRDefault="00074716" w:rsidP="00C559C9">
      <w:pPr>
        <w:pStyle w:val="Noparagraphstyle"/>
        <w:rPr>
          <w:rFonts w:ascii="Arial Narrow" w:hAnsi="Arial Narrow"/>
          <w:b/>
          <w:color w:val="FF0000"/>
          <w:sz w:val="20"/>
          <w:szCs w:val="20"/>
        </w:rPr>
      </w:pPr>
    </w:p>
    <w:p w14:paraId="7568DC23" w14:textId="19BB4040" w:rsidR="00074716" w:rsidRDefault="00074716" w:rsidP="00C559C9">
      <w:pPr>
        <w:pStyle w:val="Noparagraphstyle"/>
        <w:rPr>
          <w:rFonts w:ascii="Arial Narrow" w:hAnsi="Arial Narrow"/>
          <w:b/>
          <w:color w:val="FF0000"/>
          <w:sz w:val="20"/>
          <w:szCs w:val="20"/>
        </w:rPr>
      </w:pPr>
    </w:p>
    <w:p w14:paraId="539B08B0" w14:textId="11024760" w:rsidR="00074716" w:rsidRDefault="00074716" w:rsidP="00074716">
      <w:pPr>
        <w:pStyle w:val="NormalWeb"/>
        <w:shd w:val="clear" w:color="auto" w:fill="FFFFFF"/>
        <w:spacing w:before="0" w:beforeAutospacing="0" w:after="225" w:afterAutospacing="0"/>
        <w:jc w:val="both"/>
        <w:rPr>
          <w:rFonts w:cs="Arial"/>
          <w:color w:val="000000"/>
          <w:sz w:val="21"/>
          <w:szCs w:val="21"/>
        </w:rPr>
        <w:sectPr w:rsidR="00074716" w:rsidSect="001721D8">
          <w:footerReference w:type="default" r:id="rId9"/>
          <w:footerReference w:type="first" r:id="rId10"/>
          <w:pgSz w:w="12240" w:h="15840" w:code="1"/>
          <w:pgMar w:top="360" w:right="907" w:bottom="446" w:left="907" w:header="0" w:footer="288" w:gutter="0"/>
          <w:cols w:space="720"/>
          <w:docGrid w:linePitch="360"/>
        </w:sectPr>
      </w:pPr>
    </w:p>
    <w:p w14:paraId="6667059F" w14:textId="77777777" w:rsidR="00B11497" w:rsidRPr="003949A9" w:rsidRDefault="00B11497" w:rsidP="00FB36AD">
      <w:pPr>
        <w:pStyle w:val="Heading2"/>
        <w:spacing w:before="480"/>
        <w:rPr>
          <w:sz w:val="28"/>
          <w:szCs w:val="28"/>
        </w:rPr>
      </w:pPr>
      <w:r w:rsidRPr="003949A9">
        <w:rPr>
          <w:sz w:val="28"/>
          <w:szCs w:val="28"/>
        </w:rPr>
        <w:t>MassHealth Drug List Update</w:t>
      </w:r>
    </w:p>
    <w:p w14:paraId="638D3332" w14:textId="11961210" w:rsidR="00705200" w:rsidRDefault="00705200" w:rsidP="00705200">
      <w:pPr>
        <w:rPr>
          <w:rFonts w:cs="Arial"/>
          <w:szCs w:val="22"/>
        </w:rPr>
      </w:pPr>
      <w:r w:rsidRPr="00E37E21">
        <w:rPr>
          <w:rFonts w:cs="Arial"/>
          <w:szCs w:val="22"/>
        </w:rPr>
        <w:t xml:space="preserve">Below are updates to the </w:t>
      </w:r>
      <w:hyperlink r:id="rId11" w:history="1">
        <w:r w:rsidRPr="005F40D5">
          <w:rPr>
            <w:rStyle w:val="Hyperlink"/>
            <w:rFonts w:cs="Arial"/>
            <w:szCs w:val="22"/>
          </w:rPr>
          <w:t>MassHealth Drug List</w:t>
        </w:r>
      </w:hyperlink>
      <w:r w:rsidRPr="00E37E21">
        <w:rPr>
          <w:rFonts w:cs="Arial"/>
          <w:szCs w:val="22"/>
        </w:rPr>
        <w:t xml:space="preserve"> (MHDL). See </w:t>
      </w:r>
      <w:proofErr w:type="gramStart"/>
      <w:r w:rsidRPr="00E37E21">
        <w:rPr>
          <w:rFonts w:cs="Arial"/>
          <w:szCs w:val="22"/>
        </w:rPr>
        <w:t xml:space="preserve">the </w:t>
      </w:r>
      <w:r w:rsidRPr="00CD2047">
        <w:rPr>
          <w:rFonts w:cs="Arial"/>
          <w:szCs w:val="22"/>
        </w:rPr>
        <w:t>MHDL</w:t>
      </w:r>
      <w:proofErr w:type="gramEnd"/>
      <w:r>
        <w:rPr>
          <w:rFonts w:cs="Arial"/>
          <w:szCs w:val="22"/>
        </w:rPr>
        <w:t xml:space="preserve"> </w:t>
      </w:r>
      <w:r w:rsidRPr="00E37E21">
        <w:rPr>
          <w:rFonts w:cs="Arial"/>
          <w:szCs w:val="22"/>
        </w:rPr>
        <w:t>for a complete listing of updates</w:t>
      </w:r>
      <w:r w:rsidR="004E2B38">
        <w:rPr>
          <w:rFonts w:cs="Arial"/>
          <w:szCs w:val="22"/>
        </w:rPr>
        <w:t>.</w:t>
      </w:r>
    </w:p>
    <w:p w14:paraId="1DD5CAC6" w14:textId="77777777" w:rsidR="003D7A5F" w:rsidRPr="00E24E22" w:rsidRDefault="003D7A5F" w:rsidP="003949A9">
      <w:pPr>
        <w:pStyle w:val="Heading3"/>
      </w:pPr>
      <w:r w:rsidRPr="00E24E22">
        <w:t>Additions</w:t>
      </w:r>
    </w:p>
    <w:p w14:paraId="11B309C5" w14:textId="77777777" w:rsidR="00C50DA3" w:rsidRDefault="00C50DA3" w:rsidP="006167FE">
      <w:r>
        <w:rPr>
          <w:szCs w:val="22"/>
        </w:rPr>
        <w:t>Effective July 1, 2026, the</w:t>
      </w:r>
      <w:r>
        <w:t xml:space="preserve"> following newly marketed drugs have been added to the MassHealth Drug List. </w:t>
      </w:r>
    </w:p>
    <w:p w14:paraId="1C8A8F5A" w14:textId="77777777" w:rsidR="00C50DA3" w:rsidRPr="00A079FC" w:rsidRDefault="00C50DA3" w:rsidP="003949A9">
      <w:pPr>
        <w:pStyle w:val="Bulletedlist"/>
        <w:rPr>
          <w:lang w:val="es-US"/>
        </w:rPr>
      </w:pPr>
      <w:bookmarkStart w:id="0" w:name="_Hlk86933353"/>
      <w:proofErr w:type="spellStart"/>
      <w:r w:rsidRPr="00A079FC">
        <w:rPr>
          <w:lang w:val="es-US"/>
        </w:rPr>
        <w:t>Avtozma</w:t>
      </w:r>
      <w:proofErr w:type="spellEnd"/>
      <w:r w:rsidRPr="00A079FC">
        <w:rPr>
          <w:lang w:val="es-US"/>
        </w:rPr>
        <w:t xml:space="preserve"> (</w:t>
      </w:r>
      <w:proofErr w:type="spellStart"/>
      <w:r w:rsidRPr="00A079FC">
        <w:rPr>
          <w:lang w:val="es-US"/>
        </w:rPr>
        <w:t>tocilizumab-anoh</w:t>
      </w:r>
      <w:proofErr w:type="spellEnd"/>
      <w:r w:rsidRPr="00A079FC">
        <w:rPr>
          <w:lang w:val="es-US"/>
        </w:rPr>
        <w:t xml:space="preserve"> vial) – </w:t>
      </w:r>
      <w:r w:rsidRPr="00A079FC">
        <w:rPr>
          <w:b/>
          <w:bCs/>
          <w:lang w:val="es-US"/>
        </w:rPr>
        <w:t>PA</w:t>
      </w:r>
      <w:r w:rsidRPr="00A079FC">
        <w:rPr>
          <w:lang w:val="es-US"/>
        </w:rPr>
        <w:t>; MB</w:t>
      </w:r>
    </w:p>
    <w:p w14:paraId="405E2F41" w14:textId="77777777" w:rsidR="00C50DA3" w:rsidRDefault="00C50DA3" w:rsidP="003949A9">
      <w:pPr>
        <w:pStyle w:val="Bulletedlist"/>
      </w:pPr>
      <w:r>
        <w:t xml:space="preserve">buspirone capsule – </w:t>
      </w:r>
      <w:r>
        <w:rPr>
          <w:b/>
          <w:bCs/>
        </w:rPr>
        <w:t>PA</w:t>
      </w:r>
      <w:r>
        <w:t>; A90</w:t>
      </w:r>
    </w:p>
    <w:p w14:paraId="7847A8A7" w14:textId="77777777" w:rsidR="00C50DA3" w:rsidRDefault="00C50DA3" w:rsidP="003949A9">
      <w:pPr>
        <w:pStyle w:val="Bulletedlist"/>
      </w:pPr>
      <w:proofErr w:type="spellStart"/>
      <w:r>
        <w:t>Enbumyst</w:t>
      </w:r>
      <w:proofErr w:type="spellEnd"/>
      <w:r>
        <w:t xml:space="preserve"> (bumetanide nasal spray) – </w:t>
      </w:r>
      <w:r>
        <w:rPr>
          <w:b/>
          <w:bCs/>
        </w:rPr>
        <w:t>PA</w:t>
      </w:r>
    </w:p>
    <w:p w14:paraId="701DF8EA" w14:textId="77777777" w:rsidR="00C50DA3" w:rsidRDefault="00C50DA3" w:rsidP="003949A9">
      <w:pPr>
        <w:pStyle w:val="Bulletedlist"/>
      </w:pPr>
      <w:r>
        <w:t xml:space="preserve">escitalopram capsule – </w:t>
      </w:r>
      <w:r>
        <w:rPr>
          <w:b/>
          <w:bCs/>
        </w:rPr>
        <w:t>PA</w:t>
      </w:r>
      <w:r>
        <w:t>; A90</w:t>
      </w:r>
      <w:r>
        <w:rPr>
          <w:b/>
          <w:bCs/>
        </w:rPr>
        <w:t xml:space="preserve"> </w:t>
      </w:r>
    </w:p>
    <w:p w14:paraId="48E318BA" w14:textId="77777777" w:rsidR="00C50DA3" w:rsidRDefault="00C50DA3" w:rsidP="003949A9">
      <w:pPr>
        <w:pStyle w:val="Bulletedlist"/>
      </w:pPr>
      <w:proofErr w:type="spellStart"/>
      <w:r>
        <w:t>Exdensur</w:t>
      </w:r>
      <w:proofErr w:type="spellEnd"/>
      <w:r>
        <w:t xml:space="preserve"> (</w:t>
      </w:r>
      <w:proofErr w:type="spellStart"/>
      <w:r>
        <w:t>depemokimab-ulaa</w:t>
      </w:r>
      <w:proofErr w:type="spellEnd"/>
      <w:r>
        <w:t xml:space="preserve">) – </w:t>
      </w:r>
      <w:r>
        <w:rPr>
          <w:b/>
          <w:bCs/>
        </w:rPr>
        <w:t>PA</w:t>
      </w:r>
      <w:r>
        <w:t>;</w:t>
      </w:r>
      <w:r>
        <w:rPr>
          <w:b/>
          <w:bCs/>
        </w:rPr>
        <w:t xml:space="preserve"> </w:t>
      </w:r>
      <w:r>
        <w:t>MB</w:t>
      </w:r>
    </w:p>
    <w:p w14:paraId="4B386AD1" w14:textId="77777777" w:rsidR="00C50DA3" w:rsidRDefault="00C50DA3" w:rsidP="003949A9">
      <w:pPr>
        <w:pStyle w:val="Bulletedlist"/>
      </w:pPr>
      <w:proofErr w:type="spellStart"/>
      <w:r>
        <w:t>Exxua</w:t>
      </w:r>
      <w:proofErr w:type="spellEnd"/>
      <w:r>
        <w:t> (</w:t>
      </w:r>
      <w:proofErr w:type="spellStart"/>
      <w:r>
        <w:t>gepirone</w:t>
      </w:r>
      <w:proofErr w:type="spellEnd"/>
      <w:r>
        <w:t>) – </w:t>
      </w:r>
      <w:r>
        <w:rPr>
          <w:b/>
          <w:bCs/>
        </w:rPr>
        <w:t>PA</w:t>
      </w:r>
    </w:p>
    <w:p w14:paraId="4E66A632" w14:textId="77777777" w:rsidR="00C50DA3" w:rsidRDefault="00C50DA3" w:rsidP="003949A9">
      <w:pPr>
        <w:pStyle w:val="Bulletedlist"/>
      </w:pPr>
      <w:proofErr w:type="spellStart"/>
      <w:r>
        <w:t>Fesilty</w:t>
      </w:r>
      <w:proofErr w:type="spellEnd"/>
      <w:r>
        <w:t xml:space="preserve"> (fibrinogen, human-</w:t>
      </w:r>
      <w:proofErr w:type="spellStart"/>
      <w:r>
        <w:t>chmt</w:t>
      </w:r>
      <w:proofErr w:type="spellEnd"/>
      <w:r>
        <w:t>)</w:t>
      </w:r>
    </w:p>
    <w:p w14:paraId="5302B6F0" w14:textId="77777777" w:rsidR="00C50DA3" w:rsidRDefault="00C50DA3" w:rsidP="003949A9">
      <w:pPr>
        <w:pStyle w:val="Bulletedlist"/>
      </w:pPr>
      <w:proofErr w:type="spellStart"/>
      <w:r>
        <w:t>Forzinity</w:t>
      </w:r>
      <w:proofErr w:type="spellEnd"/>
      <w:r>
        <w:t xml:space="preserve"> (</w:t>
      </w:r>
      <w:proofErr w:type="spellStart"/>
      <w:r>
        <w:t>elamipretide</w:t>
      </w:r>
      <w:proofErr w:type="spellEnd"/>
      <w:r>
        <w:t xml:space="preserve">) – </w:t>
      </w:r>
      <w:r>
        <w:rPr>
          <w:b/>
          <w:bCs/>
        </w:rPr>
        <w:t>PA</w:t>
      </w:r>
    </w:p>
    <w:p w14:paraId="2A30E8CF" w14:textId="77777777" w:rsidR="00C50DA3" w:rsidRDefault="00C50DA3" w:rsidP="003949A9">
      <w:pPr>
        <w:pStyle w:val="Bulletedlist"/>
      </w:pPr>
      <w:proofErr w:type="spellStart"/>
      <w:r>
        <w:t>Hyrnuo</w:t>
      </w:r>
      <w:proofErr w:type="spellEnd"/>
      <w:r>
        <w:t xml:space="preserve"> (</w:t>
      </w:r>
      <w:proofErr w:type="spellStart"/>
      <w:r>
        <w:t>sevabertinib</w:t>
      </w:r>
      <w:proofErr w:type="spellEnd"/>
      <w:r>
        <w:t xml:space="preserve">) – </w:t>
      </w:r>
      <w:r>
        <w:rPr>
          <w:b/>
          <w:bCs/>
        </w:rPr>
        <w:t>PA</w:t>
      </w:r>
    </w:p>
    <w:p w14:paraId="31601BF3" w14:textId="77777777" w:rsidR="00C50DA3" w:rsidRDefault="00C50DA3" w:rsidP="003949A9">
      <w:pPr>
        <w:pStyle w:val="Bulletedlist"/>
      </w:pPr>
      <w:proofErr w:type="spellStart"/>
      <w:r>
        <w:t>Inluriyo</w:t>
      </w:r>
      <w:proofErr w:type="spellEnd"/>
      <w:r>
        <w:t xml:space="preserve"> (</w:t>
      </w:r>
      <w:proofErr w:type="spellStart"/>
      <w:r>
        <w:t>imlunestrant</w:t>
      </w:r>
      <w:proofErr w:type="spellEnd"/>
      <w:r>
        <w:t xml:space="preserve">) – </w:t>
      </w:r>
      <w:r>
        <w:rPr>
          <w:b/>
          <w:bCs/>
        </w:rPr>
        <w:t>PA</w:t>
      </w:r>
    </w:p>
    <w:p w14:paraId="4F1D0F72" w14:textId="77777777" w:rsidR="00C50DA3" w:rsidRDefault="00C50DA3" w:rsidP="003949A9">
      <w:pPr>
        <w:pStyle w:val="Bulletedlist"/>
      </w:pPr>
      <w:proofErr w:type="spellStart"/>
      <w:r>
        <w:t>Javadin</w:t>
      </w:r>
      <w:proofErr w:type="spellEnd"/>
      <w:r>
        <w:t xml:space="preserve"> (clonidine oral solution) – </w:t>
      </w:r>
      <w:r>
        <w:rPr>
          <w:b/>
          <w:bCs/>
        </w:rPr>
        <w:t xml:space="preserve">PA </w:t>
      </w:r>
    </w:p>
    <w:p w14:paraId="28E65DE9" w14:textId="77777777" w:rsidR="00C50DA3" w:rsidRDefault="00C50DA3" w:rsidP="003949A9">
      <w:pPr>
        <w:pStyle w:val="Bulletedlist"/>
      </w:pPr>
      <w:proofErr w:type="spellStart"/>
      <w:r>
        <w:t>Komzifti</w:t>
      </w:r>
      <w:proofErr w:type="spellEnd"/>
      <w:r>
        <w:t xml:space="preserve"> (</w:t>
      </w:r>
      <w:proofErr w:type="spellStart"/>
      <w:r>
        <w:t>ziftomenib</w:t>
      </w:r>
      <w:proofErr w:type="spellEnd"/>
      <w:r>
        <w:t xml:space="preserve">) – </w:t>
      </w:r>
      <w:r>
        <w:rPr>
          <w:b/>
          <w:bCs/>
        </w:rPr>
        <w:t>PA</w:t>
      </w:r>
    </w:p>
    <w:p w14:paraId="28AD70CA" w14:textId="77777777" w:rsidR="00C50DA3" w:rsidRDefault="00C50DA3" w:rsidP="003949A9">
      <w:pPr>
        <w:pStyle w:val="Bulletedlist"/>
      </w:pPr>
      <w:r>
        <w:t xml:space="preserve">Lasix </w:t>
      </w:r>
      <w:proofErr w:type="spellStart"/>
      <w:r>
        <w:t>Onyu</w:t>
      </w:r>
      <w:proofErr w:type="spellEnd"/>
      <w:r>
        <w:t xml:space="preserve"> (furosemide on-body </w:t>
      </w:r>
      <w:proofErr w:type="spellStart"/>
      <w:r>
        <w:t>infusor</w:t>
      </w:r>
      <w:proofErr w:type="spellEnd"/>
      <w:r>
        <w:t xml:space="preserve">) – </w:t>
      </w:r>
      <w:r>
        <w:rPr>
          <w:b/>
          <w:bCs/>
        </w:rPr>
        <w:t>PA</w:t>
      </w:r>
    </w:p>
    <w:p w14:paraId="20CCB141" w14:textId="77777777" w:rsidR="00C50DA3" w:rsidRDefault="00C50DA3" w:rsidP="003949A9">
      <w:pPr>
        <w:pStyle w:val="Bulletedlist"/>
      </w:pPr>
      <w:r>
        <w:t xml:space="preserve">Lopressor (metoprolol immediate-release 12.5 mg tablet) – </w:t>
      </w:r>
      <w:r>
        <w:rPr>
          <w:b/>
          <w:bCs/>
        </w:rPr>
        <w:t>PA</w:t>
      </w:r>
    </w:p>
    <w:p w14:paraId="67B8C31B" w14:textId="77777777" w:rsidR="00C50DA3" w:rsidRDefault="00C50DA3" w:rsidP="003949A9">
      <w:pPr>
        <w:pStyle w:val="Bulletedlist"/>
      </w:pPr>
      <w:r>
        <w:t xml:space="preserve">Lopressor (metoprolol immediate-release oral solution) – </w:t>
      </w:r>
      <w:r>
        <w:rPr>
          <w:b/>
          <w:bCs/>
        </w:rPr>
        <w:t>PA</w:t>
      </w:r>
    </w:p>
    <w:p w14:paraId="3621E15D" w14:textId="77777777" w:rsidR="00C50DA3" w:rsidRDefault="00C50DA3" w:rsidP="003949A9">
      <w:pPr>
        <w:pStyle w:val="Bulletedlist"/>
      </w:pPr>
      <w:proofErr w:type="spellStart"/>
      <w:r>
        <w:t>Pokonza</w:t>
      </w:r>
      <w:proofErr w:type="spellEnd"/>
      <w:r>
        <w:t xml:space="preserve"> (potassium chloride oral solution) – </w:t>
      </w:r>
      <w:r>
        <w:rPr>
          <w:b/>
          <w:bCs/>
        </w:rPr>
        <w:t>PA</w:t>
      </w:r>
    </w:p>
    <w:p w14:paraId="4CCF7E9B" w14:textId="77777777" w:rsidR="00C50DA3" w:rsidRDefault="00C50DA3" w:rsidP="003949A9">
      <w:pPr>
        <w:pStyle w:val="Bulletedlist"/>
      </w:pPr>
      <w:r>
        <w:t xml:space="preserve">potassium chloride 40 </w:t>
      </w:r>
      <w:proofErr w:type="spellStart"/>
      <w:r>
        <w:t>mEq</w:t>
      </w:r>
      <w:proofErr w:type="spellEnd"/>
      <w:r>
        <w:t xml:space="preserve"> powder packet –</w:t>
      </w:r>
      <w:r>
        <w:rPr>
          <w:b/>
          <w:bCs/>
        </w:rPr>
        <w:t xml:space="preserve"> PA</w:t>
      </w:r>
      <w:r>
        <w:t>; A90</w:t>
      </w:r>
    </w:p>
    <w:p w14:paraId="4F38E7A2" w14:textId="77777777" w:rsidR="00C50DA3" w:rsidRDefault="00C50DA3" w:rsidP="003949A9">
      <w:pPr>
        <w:pStyle w:val="Bulletedlist"/>
      </w:pPr>
      <w:proofErr w:type="spellStart"/>
      <w:r>
        <w:t>Rybrevant</w:t>
      </w:r>
      <w:proofErr w:type="spellEnd"/>
      <w:r>
        <w:t xml:space="preserve"> </w:t>
      </w:r>
      <w:proofErr w:type="spellStart"/>
      <w:r>
        <w:t>Faspro</w:t>
      </w:r>
      <w:proofErr w:type="spellEnd"/>
      <w:r>
        <w:t xml:space="preserve"> (</w:t>
      </w:r>
      <w:proofErr w:type="spellStart"/>
      <w:r>
        <w:t>amivantamab</w:t>
      </w:r>
      <w:proofErr w:type="spellEnd"/>
      <w:r>
        <w:t>/hyaluronidase-</w:t>
      </w:r>
      <w:proofErr w:type="spellStart"/>
      <w:r>
        <w:t>lpuj</w:t>
      </w:r>
      <w:proofErr w:type="spellEnd"/>
      <w:r>
        <w:t xml:space="preserve">) – </w:t>
      </w:r>
      <w:r>
        <w:rPr>
          <w:b/>
          <w:bCs/>
        </w:rPr>
        <w:t>PA</w:t>
      </w:r>
      <w:r>
        <w:t>; MB</w:t>
      </w:r>
    </w:p>
    <w:p w14:paraId="551B1E32" w14:textId="77777777" w:rsidR="00C50DA3" w:rsidRDefault="00C50DA3" w:rsidP="003949A9">
      <w:pPr>
        <w:pStyle w:val="Bulletedlist"/>
        <w:rPr>
          <w:b/>
          <w:bCs/>
        </w:rPr>
      </w:pPr>
      <w:proofErr w:type="spellStart"/>
      <w:r>
        <w:t>Starjemza</w:t>
      </w:r>
      <w:proofErr w:type="spellEnd"/>
      <w:r>
        <w:t xml:space="preserve"> (</w:t>
      </w:r>
      <w:proofErr w:type="spellStart"/>
      <w:r>
        <w:t>ustekinumab-hmny</w:t>
      </w:r>
      <w:proofErr w:type="spellEnd"/>
      <w:r>
        <w:t xml:space="preserve"> prefilled syringe, 45 mg/0.5 mL vial) –</w:t>
      </w:r>
      <w:r>
        <w:rPr>
          <w:b/>
          <w:bCs/>
        </w:rPr>
        <w:t xml:space="preserve"> PA</w:t>
      </w:r>
    </w:p>
    <w:p w14:paraId="0C625708" w14:textId="77777777" w:rsidR="00C50DA3" w:rsidRPr="00A079FC" w:rsidRDefault="00C50DA3" w:rsidP="003949A9">
      <w:pPr>
        <w:pStyle w:val="Bulletedlist"/>
        <w:rPr>
          <w:lang w:val="es-US"/>
        </w:rPr>
      </w:pPr>
      <w:proofErr w:type="spellStart"/>
      <w:r w:rsidRPr="00A079FC">
        <w:rPr>
          <w:lang w:val="es-US"/>
        </w:rPr>
        <w:t>Starjemza</w:t>
      </w:r>
      <w:proofErr w:type="spellEnd"/>
      <w:r w:rsidRPr="00A079FC">
        <w:rPr>
          <w:lang w:val="es-US"/>
        </w:rPr>
        <w:t xml:space="preserve"> (</w:t>
      </w:r>
      <w:proofErr w:type="spellStart"/>
      <w:r w:rsidRPr="00A079FC">
        <w:rPr>
          <w:lang w:val="es-US"/>
        </w:rPr>
        <w:t>ustekinumab-hmny</w:t>
      </w:r>
      <w:proofErr w:type="spellEnd"/>
      <w:r w:rsidRPr="00A079FC">
        <w:rPr>
          <w:lang w:val="es-US"/>
        </w:rPr>
        <w:t xml:space="preserve"> 130 mg/26 </w:t>
      </w:r>
      <w:proofErr w:type="spellStart"/>
      <w:r w:rsidRPr="00A079FC">
        <w:rPr>
          <w:lang w:val="es-US"/>
        </w:rPr>
        <w:t>mL</w:t>
      </w:r>
      <w:proofErr w:type="spellEnd"/>
      <w:r w:rsidRPr="00A079FC">
        <w:rPr>
          <w:lang w:val="es-US"/>
        </w:rPr>
        <w:t xml:space="preserve"> vial) –</w:t>
      </w:r>
      <w:r w:rsidRPr="00A079FC">
        <w:rPr>
          <w:b/>
          <w:bCs/>
          <w:lang w:val="es-US"/>
        </w:rPr>
        <w:t xml:space="preserve"> PA</w:t>
      </w:r>
      <w:r w:rsidRPr="00A079FC">
        <w:rPr>
          <w:lang w:val="es-US"/>
        </w:rPr>
        <w:t>; MB</w:t>
      </w:r>
    </w:p>
    <w:p w14:paraId="33B192D7" w14:textId="77777777" w:rsidR="00C50DA3" w:rsidRDefault="00C50DA3" w:rsidP="003949A9">
      <w:pPr>
        <w:pStyle w:val="Bulletedlist"/>
      </w:pPr>
      <w:proofErr w:type="spellStart"/>
      <w:r>
        <w:t>Unloxcyt</w:t>
      </w:r>
      <w:proofErr w:type="spellEnd"/>
      <w:r>
        <w:t xml:space="preserve"> (</w:t>
      </w:r>
      <w:proofErr w:type="spellStart"/>
      <w:r>
        <w:t>cosibelimab-ipdl</w:t>
      </w:r>
      <w:proofErr w:type="spellEnd"/>
      <w:r>
        <w:t xml:space="preserve">) – </w:t>
      </w:r>
      <w:r>
        <w:rPr>
          <w:b/>
          <w:bCs/>
        </w:rPr>
        <w:t>PA</w:t>
      </w:r>
      <w:r>
        <w:t>; MB</w:t>
      </w:r>
    </w:p>
    <w:p w14:paraId="3E5B2024" w14:textId="77777777" w:rsidR="00C50DA3" w:rsidRDefault="00C50DA3" w:rsidP="003949A9">
      <w:pPr>
        <w:pStyle w:val="Bulletedlist"/>
        <w:rPr>
          <w:b/>
          <w:bCs/>
        </w:rPr>
      </w:pPr>
      <w:proofErr w:type="spellStart"/>
      <w:r>
        <w:t>ustekinumab-aauz</w:t>
      </w:r>
      <w:proofErr w:type="spellEnd"/>
      <w:r>
        <w:t xml:space="preserve">, unbranded – </w:t>
      </w:r>
      <w:r>
        <w:rPr>
          <w:b/>
          <w:bCs/>
        </w:rPr>
        <w:t>PA</w:t>
      </w:r>
    </w:p>
    <w:p w14:paraId="48ECDD58" w14:textId="77777777" w:rsidR="00C50DA3" w:rsidRDefault="00C50DA3" w:rsidP="003949A9">
      <w:pPr>
        <w:pStyle w:val="Bulletedlist"/>
        <w:rPr>
          <w:b/>
          <w:bCs/>
        </w:rPr>
      </w:pPr>
      <w:proofErr w:type="spellStart"/>
      <w:r>
        <w:t>Veltassa</w:t>
      </w:r>
      <w:proofErr w:type="spellEnd"/>
      <w:r>
        <w:t xml:space="preserve"> (</w:t>
      </w:r>
      <w:proofErr w:type="spellStart"/>
      <w:r>
        <w:t>patiromer</w:t>
      </w:r>
      <w:proofErr w:type="spellEnd"/>
      <w:r>
        <w:t xml:space="preserve"> 1 g packet) – </w:t>
      </w:r>
      <w:r>
        <w:rPr>
          <w:b/>
          <w:bCs/>
        </w:rPr>
        <w:t>PA ≥ 18 years and PA &gt; 4 unit/day</w:t>
      </w:r>
    </w:p>
    <w:p w14:paraId="5F033FAA" w14:textId="1AAE53E5" w:rsidR="00B56E48" w:rsidRDefault="00C50DA3" w:rsidP="003949A9">
      <w:pPr>
        <w:pStyle w:val="Bulletedlist"/>
        <w:sectPr w:rsidR="00B56E48" w:rsidSect="00354588">
          <w:footerReference w:type="default" r:id="rId12"/>
          <w:type w:val="continuous"/>
          <w:pgSz w:w="12240" w:h="15840" w:code="1"/>
          <w:pgMar w:top="360" w:right="907" w:bottom="446" w:left="907" w:header="0" w:footer="576" w:gutter="0"/>
          <w:cols w:space="720"/>
          <w:docGrid w:linePitch="360"/>
        </w:sectPr>
      </w:pPr>
      <w:proofErr w:type="spellStart"/>
      <w:r>
        <w:t>Voyxact</w:t>
      </w:r>
      <w:proofErr w:type="spellEnd"/>
      <w:r>
        <w:t xml:space="preserve"> (</w:t>
      </w:r>
      <w:proofErr w:type="spellStart"/>
      <w:r>
        <w:t>sibeprenlimab-szsi</w:t>
      </w:r>
      <w:proofErr w:type="spellEnd"/>
      <w:r>
        <w:t xml:space="preserve">) – </w:t>
      </w:r>
      <w:r>
        <w:rPr>
          <w:b/>
          <w:bCs/>
        </w:rPr>
        <w:t>PA</w:t>
      </w:r>
      <w:bookmarkEnd w:id="0"/>
    </w:p>
    <w:p w14:paraId="6FD48BA0" w14:textId="77777777" w:rsidR="003D7A5F" w:rsidRPr="00E24E22" w:rsidRDefault="003D7A5F" w:rsidP="003949A9">
      <w:pPr>
        <w:pStyle w:val="Heading3"/>
      </w:pPr>
      <w:r>
        <w:lastRenderedPageBreak/>
        <w:t>Change in Prior Authorization Status</w:t>
      </w:r>
    </w:p>
    <w:p w14:paraId="23C70F7F" w14:textId="77777777" w:rsidR="00A92226" w:rsidRDefault="00A92226" w:rsidP="00A92226">
      <w:pPr>
        <w:pStyle w:val="ListParagraph"/>
        <w:numPr>
          <w:ilvl w:val="0"/>
          <w:numId w:val="42"/>
        </w:numPr>
        <w:ind w:left="720"/>
        <w:contextualSpacing/>
        <w:rPr>
          <w:rFonts w:cs="Arial"/>
          <w:szCs w:val="22"/>
        </w:rPr>
      </w:pPr>
      <w:bookmarkStart w:id="1" w:name="_Hlk98931753"/>
      <w:bookmarkStart w:id="2" w:name="_Hlk30086979"/>
      <w:bookmarkStart w:id="3" w:name="_Hlk527542045"/>
      <w:r>
        <w:rPr>
          <w:rFonts w:cs="Arial"/>
        </w:rPr>
        <w:t xml:space="preserve">Effective July 1, 2026, the following antitubercular agent will require PA. </w:t>
      </w:r>
    </w:p>
    <w:p w14:paraId="26AA3655" w14:textId="77777777" w:rsidR="00A92226" w:rsidRDefault="00A92226" w:rsidP="003949A9">
      <w:pPr>
        <w:pStyle w:val="subbullet"/>
      </w:pPr>
      <w:proofErr w:type="spellStart"/>
      <w:r>
        <w:t>cycloserine</w:t>
      </w:r>
      <w:proofErr w:type="spellEnd"/>
      <w:r>
        <w:t xml:space="preserve"> – </w:t>
      </w:r>
      <w:r>
        <w:rPr>
          <w:b/>
          <w:bCs/>
        </w:rPr>
        <w:t>PA</w:t>
      </w:r>
      <w:r>
        <w:t>; A90</w:t>
      </w:r>
    </w:p>
    <w:p w14:paraId="6AF32162" w14:textId="77777777" w:rsidR="00A92226" w:rsidRDefault="00A92226" w:rsidP="00A92226">
      <w:pPr>
        <w:pStyle w:val="ListParagraph"/>
        <w:numPr>
          <w:ilvl w:val="0"/>
          <w:numId w:val="42"/>
        </w:numPr>
        <w:ind w:left="720"/>
        <w:contextualSpacing/>
        <w:rPr>
          <w:rFonts w:cs="Arial"/>
        </w:rPr>
      </w:pPr>
      <w:r>
        <w:rPr>
          <w:rFonts w:cs="Arial"/>
        </w:rPr>
        <w:t xml:space="preserve">Effective July 1, 2026, the following hematinic agent will require PA. </w:t>
      </w:r>
    </w:p>
    <w:p w14:paraId="0C54A9E3" w14:textId="77777777" w:rsidR="00A92226" w:rsidRDefault="00A92226" w:rsidP="003949A9">
      <w:pPr>
        <w:pStyle w:val="subbullet"/>
      </w:pPr>
      <w:proofErr w:type="spellStart"/>
      <w:r>
        <w:t>Velphoro</w:t>
      </w:r>
      <w:proofErr w:type="spellEnd"/>
      <w:r>
        <w:t xml:space="preserve"> (</w:t>
      </w:r>
      <w:proofErr w:type="spellStart"/>
      <w:r>
        <w:t>sucroferric</w:t>
      </w:r>
      <w:proofErr w:type="spellEnd"/>
      <w:r>
        <w:t xml:space="preserve"> oxyhydroxide) – </w:t>
      </w:r>
      <w:r>
        <w:rPr>
          <w:b/>
          <w:bCs/>
        </w:rPr>
        <w:t>PA</w:t>
      </w:r>
    </w:p>
    <w:p w14:paraId="2706118E" w14:textId="77777777" w:rsidR="00A92226" w:rsidRDefault="00A92226" w:rsidP="00A92226">
      <w:pPr>
        <w:pStyle w:val="ListParagraph"/>
        <w:numPr>
          <w:ilvl w:val="0"/>
          <w:numId w:val="42"/>
        </w:numPr>
        <w:ind w:left="720"/>
        <w:contextualSpacing/>
        <w:rPr>
          <w:rFonts w:cs="Arial"/>
        </w:rPr>
      </w:pPr>
      <w:r>
        <w:rPr>
          <w:rFonts w:cs="Arial"/>
        </w:rPr>
        <w:t xml:space="preserve">Effective July 1, 2026, the following </w:t>
      </w:r>
      <w:r>
        <w:rPr>
          <w:rFonts w:cs="Arial"/>
          <w:color w:val="000000"/>
        </w:rPr>
        <w:t xml:space="preserve">hormone </w:t>
      </w:r>
      <w:r>
        <w:rPr>
          <w:rFonts w:cs="Arial"/>
        </w:rPr>
        <w:t xml:space="preserve">agent will require PA. </w:t>
      </w:r>
    </w:p>
    <w:p w14:paraId="2EDC2EE2" w14:textId="77777777" w:rsidR="00A92226" w:rsidRDefault="00A92226" w:rsidP="003949A9">
      <w:pPr>
        <w:pStyle w:val="subbullet"/>
      </w:pPr>
      <w:r>
        <w:t xml:space="preserve">desmopressin acetate 1.5 mg/mL nasal spray – </w:t>
      </w:r>
      <w:r>
        <w:rPr>
          <w:b/>
          <w:bCs/>
        </w:rPr>
        <w:t>PA</w:t>
      </w:r>
    </w:p>
    <w:bookmarkEnd w:id="1"/>
    <w:bookmarkEnd w:id="2"/>
    <w:p w14:paraId="4FFF53B7" w14:textId="77777777" w:rsidR="00A92226" w:rsidRDefault="00A92226" w:rsidP="00A92226">
      <w:pPr>
        <w:pStyle w:val="ListParagraph"/>
        <w:numPr>
          <w:ilvl w:val="0"/>
          <w:numId w:val="42"/>
        </w:numPr>
        <w:ind w:left="720"/>
        <w:contextualSpacing/>
        <w:rPr>
          <w:rFonts w:cs="Arial"/>
        </w:rPr>
      </w:pPr>
      <w:r>
        <w:rPr>
          <w:rFonts w:cs="Arial"/>
        </w:rPr>
        <w:t xml:space="preserve">Effective July 1, 2026, the following cardiovascular agent will no longer require PA within established quantity limits. </w:t>
      </w:r>
    </w:p>
    <w:p w14:paraId="113B757D" w14:textId="77777777" w:rsidR="00A92226" w:rsidRDefault="00A92226" w:rsidP="003949A9">
      <w:pPr>
        <w:pStyle w:val="subbullet"/>
      </w:pPr>
      <w:r>
        <w:t xml:space="preserve">Entresto (sacubitril/valsartan tablet) – </w:t>
      </w:r>
      <w:r>
        <w:rPr>
          <w:b/>
          <w:bCs/>
        </w:rPr>
        <w:t>PA &gt; 2 units/day</w:t>
      </w:r>
    </w:p>
    <w:p w14:paraId="3117065E" w14:textId="75C81041" w:rsidR="00A92226" w:rsidRDefault="00A92226" w:rsidP="00A92226">
      <w:pPr>
        <w:pStyle w:val="ListParagraph"/>
        <w:numPr>
          <w:ilvl w:val="0"/>
          <w:numId w:val="42"/>
        </w:numPr>
        <w:ind w:left="720"/>
        <w:contextualSpacing/>
        <w:rPr>
          <w:rFonts w:cs="Arial"/>
        </w:rPr>
      </w:pPr>
      <w:r>
        <w:rPr>
          <w:rFonts w:cs="Arial"/>
        </w:rPr>
        <w:t xml:space="preserve">Effective July 1, 2026, the following cardiovascular agent will no longer require PA. Pediatric Behavioral Health Medication Initiative criteria will apply. For additional information, please see the </w:t>
      </w:r>
      <w:hyperlink r:id="rId13" w:history="1">
        <w:r w:rsidRPr="00E905E5">
          <w:rPr>
            <w:rStyle w:val="Hyperlink"/>
            <w:rFonts w:cs="Arial"/>
          </w:rPr>
          <w:t>Pediatric Behavioral Health Initiative</w:t>
        </w:r>
      </w:hyperlink>
      <w:r w:rsidR="00740CF9">
        <w:rPr>
          <w:rFonts w:cs="Arial"/>
        </w:rPr>
        <w:t>.</w:t>
      </w:r>
      <w:r>
        <w:rPr>
          <w:rFonts w:cs="Arial"/>
        </w:rPr>
        <w:t xml:space="preserve"> </w:t>
      </w:r>
    </w:p>
    <w:p w14:paraId="5B5C0256" w14:textId="77777777" w:rsidR="00A92226" w:rsidRDefault="00A92226" w:rsidP="003949A9">
      <w:pPr>
        <w:pStyle w:val="subbullet"/>
      </w:pPr>
      <w:r>
        <w:t xml:space="preserve">clonidine patch – </w:t>
      </w:r>
      <w:r>
        <w:rPr>
          <w:b/>
          <w:bCs/>
        </w:rPr>
        <w:t>PA &lt; 3 years</w:t>
      </w:r>
      <w:r>
        <w:t>; A90</w:t>
      </w:r>
    </w:p>
    <w:p w14:paraId="73D2944D" w14:textId="77777777" w:rsidR="00A92226" w:rsidRDefault="00A92226" w:rsidP="00527553">
      <w:pPr>
        <w:pStyle w:val="ListParagraph"/>
        <w:numPr>
          <w:ilvl w:val="0"/>
          <w:numId w:val="42"/>
        </w:numPr>
        <w:ind w:left="720"/>
        <w:contextualSpacing/>
        <w:rPr>
          <w:rFonts w:cs="Arial"/>
        </w:rPr>
      </w:pPr>
      <w:r>
        <w:rPr>
          <w:rFonts w:cs="Arial"/>
        </w:rPr>
        <w:t>Effective July 1, 2026, the following cardiovascular agent will no longer require PA within updated age limits.</w:t>
      </w:r>
    </w:p>
    <w:p w14:paraId="70903FDC" w14:textId="77777777" w:rsidR="00A92226" w:rsidRDefault="00A92226" w:rsidP="003949A9">
      <w:pPr>
        <w:pStyle w:val="subbullet"/>
        <w:rPr>
          <w:b/>
          <w:bCs/>
        </w:rPr>
      </w:pPr>
      <w:proofErr w:type="spellStart"/>
      <w:r>
        <w:t>Inzirqo</w:t>
      </w:r>
      <w:proofErr w:type="spellEnd"/>
      <w:r>
        <w:t xml:space="preserve"> (hydrochlorothiazide suspension) – </w:t>
      </w:r>
      <w:r>
        <w:rPr>
          <w:b/>
          <w:bCs/>
        </w:rPr>
        <w:t>PA ≥ 13 years</w:t>
      </w:r>
    </w:p>
    <w:p w14:paraId="68EEDEB8" w14:textId="77777777" w:rsidR="00A92226" w:rsidRDefault="00A92226" w:rsidP="00527553">
      <w:pPr>
        <w:pStyle w:val="ListParagraph"/>
        <w:numPr>
          <w:ilvl w:val="0"/>
          <w:numId w:val="42"/>
        </w:numPr>
        <w:ind w:left="720"/>
        <w:contextualSpacing/>
        <w:rPr>
          <w:rFonts w:cs="Arial"/>
        </w:rPr>
      </w:pPr>
      <w:r>
        <w:rPr>
          <w:rFonts w:cs="Arial"/>
        </w:rPr>
        <w:t>Effective July 1, 2026, the following cardiovascular agents will require PA.</w:t>
      </w:r>
    </w:p>
    <w:p w14:paraId="2EE3262A" w14:textId="77777777" w:rsidR="00A92226" w:rsidRDefault="00A92226" w:rsidP="003949A9">
      <w:pPr>
        <w:pStyle w:val="subbullet"/>
      </w:pPr>
      <w:proofErr w:type="spellStart"/>
      <w:r>
        <w:t>Exforge</w:t>
      </w:r>
      <w:proofErr w:type="spellEnd"/>
      <w:r>
        <w:t xml:space="preserve"> HCT (amlodipine/valsartan/hydrochlorothiazide) – </w:t>
      </w:r>
      <w:r>
        <w:rPr>
          <w:b/>
          <w:bCs/>
        </w:rPr>
        <w:t>PA</w:t>
      </w:r>
      <w:r>
        <w:t>; M90</w:t>
      </w:r>
    </w:p>
    <w:p w14:paraId="5B3BF39F" w14:textId="77777777" w:rsidR="00A92226" w:rsidRDefault="00A92226" w:rsidP="003949A9">
      <w:pPr>
        <w:pStyle w:val="subbullet"/>
      </w:pPr>
      <w:r>
        <w:t xml:space="preserve">Inspra (eplerenone) – </w:t>
      </w:r>
      <w:r>
        <w:rPr>
          <w:b/>
          <w:bCs/>
        </w:rPr>
        <w:t>PA</w:t>
      </w:r>
      <w:r>
        <w:t>; M90</w:t>
      </w:r>
    </w:p>
    <w:p w14:paraId="25FDF6DA" w14:textId="77777777" w:rsidR="00A92226" w:rsidRDefault="00A92226" w:rsidP="003949A9">
      <w:pPr>
        <w:pStyle w:val="subbullet"/>
      </w:pPr>
      <w:r>
        <w:t xml:space="preserve">quinidine sulfate – </w:t>
      </w:r>
      <w:r>
        <w:rPr>
          <w:b/>
          <w:bCs/>
        </w:rPr>
        <w:t>PA</w:t>
      </w:r>
      <w:r>
        <w:t xml:space="preserve">; M90 </w:t>
      </w:r>
    </w:p>
    <w:p w14:paraId="1AF3C5BD" w14:textId="77777777" w:rsidR="00A92226" w:rsidRDefault="00A92226" w:rsidP="00527553">
      <w:pPr>
        <w:pStyle w:val="ListParagraph"/>
        <w:numPr>
          <w:ilvl w:val="0"/>
          <w:numId w:val="42"/>
        </w:numPr>
        <w:ind w:left="720"/>
        <w:contextualSpacing/>
        <w:rPr>
          <w:rFonts w:cs="Arial"/>
        </w:rPr>
      </w:pPr>
      <w:r>
        <w:rPr>
          <w:rFonts w:cs="Arial"/>
        </w:rPr>
        <w:t>Effective July 1, 2026, the following insulin agent will no longer require PA.</w:t>
      </w:r>
    </w:p>
    <w:p w14:paraId="14F5B483" w14:textId="77777777" w:rsidR="00A92226" w:rsidRDefault="00A92226" w:rsidP="003949A9">
      <w:pPr>
        <w:pStyle w:val="subbullet"/>
      </w:pPr>
      <w:r>
        <w:t>Humulin N (insulin NPH)</w:t>
      </w:r>
    </w:p>
    <w:p w14:paraId="311AB8B1" w14:textId="77777777" w:rsidR="00A92226" w:rsidRDefault="00A92226" w:rsidP="00A92226">
      <w:pPr>
        <w:pStyle w:val="ListParagraph"/>
        <w:numPr>
          <w:ilvl w:val="0"/>
          <w:numId w:val="42"/>
        </w:numPr>
        <w:ind w:left="720"/>
        <w:contextualSpacing/>
        <w:rPr>
          <w:rFonts w:cs="Arial"/>
        </w:rPr>
      </w:pPr>
      <w:r>
        <w:rPr>
          <w:rFonts w:cs="Arial"/>
        </w:rPr>
        <w:t>Effective July 1, 2026, the following insulin agent will require PA.</w:t>
      </w:r>
    </w:p>
    <w:p w14:paraId="692C337E" w14:textId="77777777" w:rsidR="00A92226" w:rsidRDefault="00A92226" w:rsidP="007B7FC3">
      <w:pPr>
        <w:pStyle w:val="subbullet"/>
      </w:pPr>
      <w:r>
        <w:t xml:space="preserve">Novolin N (insulin NPH) – </w:t>
      </w:r>
      <w:r>
        <w:rPr>
          <w:b/>
          <w:bCs/>
        </w:rPr>
        <w:t>PA</w:t>
      </w:r>
      <w:r>
        <w:t xml:space="preserve"> </w:t>
      </w:r>
    </w:p>
    <w:p w14:paraId="2A33F9E7" w14:textId="77777777" w:rsidR="00944B84" w:rsidRPr="00944B84" w:rsidRDefault="00944B84" w:rsidP="003949A9">
      <w:pPr>
        <w:pStyle w:val="Heading3"/>
      </w:pPr>
      <w:r w:rsidRPr="00944B84">
        <w:t>Change in Coverage Status</w:t>
      </w:r>
    </w:p>
    <w:p w14:paraId="69043D67" w14:textId="77777777" w:rsidR="00721C37" w:rsidRDefault="00721C37" w:rsidP="007B7FC3">
      <w:r>
        <w:t xml:space="preserve">Effective July 3, 2026, the following anti-obesity agents are excluded </w:t>
      </w:r>
      <w:proofErr w:type="gramStart"/>
      <w:r>
        <w:t>per</w:t>
      </w:r>
      <w:proofErr w:type="gramEnd"/>
      <w:r>
        <w:t xml:space="preserve"> MassHealth regulation 130 CMR 406.413(B)(7) and will no longer be covered.</w:t>
      </w:r>
    </w:p>
    <w:p w14:paraId="62B4776D" w14:textId="77777777" w:rsidR="00721C37" w:rsidRDefault="00721C37" w:rsidP="007B7FC3">
      <w:pPr>
        <w:pStyle w:val="Bulletedlist"/>
      </w:pPr>
      <w:proofErr w:type="spellStart"/>
      <w:r>
        <w:t>Adipex</w:t>
      </w:r>
      <w:proofErr w:type="spellEnd"/>
      <w:r>
        <w:t xml:space="preserve">-P (phentermine 37.5 mg capsule, tablet) – </w:t>
      </w:r>
      <w:r>
        <w:rPr>
          <w:b/>
        </w:rPr>
        <w:t xml:space="preserve">PA </w:t>
      </w:r>
      <w:r>
        <w:rPr>
          <w:b/>
          <w:bCs/>
        </w:rPr>
        <w:t>&lt; 12 years</w:t>
      </w:r>
      <w:r>
        <w:rPr>
          <w:bCs/>
        </w:rPr>
        <w:t>; #</w:t>
      </w:r>
    </w:p>
    <w:p w14:paraId="405676BA" w14:textId="77777777" w:rsidR="00721C37" w:rsidRDefault="00721C37" w:rsidP="007B7FC3">
      <w:pPr>
        <w:pStyle w:val="Bulletedlist"/>
      </w:pPr>
      <w:proofErr w:type="spellStart"/>
      <w:r>
        <w:t>benzphetamine</w:t>
      </w:r>
      <w:proofErr w:type="spellEnd"/>
      <w:r>
        <w:t xml:space="preserve"> – </w:t>
      </w:r>
      <w:r>
        <w:rPr>
          <w:b/>
        </w:rPr>
        <w:t>PA</w:t>
      </w:r>
    </w:p>
    <w:p w14:paraId="50158726" w14:textId="77777777" w:rsidR="00721C37" w:rsidRDefault="00721C37" w:rsidP="007B7FC3">
      <w:pPr>
        <w:pStyle w:val="Bulletedlist"/>
      </w:pPr>
      <w:r>
        <w:t xml:space="preserve">diethylpropion – </w:t>
      </w:r>
      <w:r>
        <w:rPr>
          <w:b/>
        </w:rPr>
        <w:t>PA</w:t>
      </w:r>
    </w:p>
    <w:p w14:paraId="64EEA4E1" w14:textId="77777777" w:rsidR="00721C37" w:rsidRDefault="00721C37" w:rsidP="007B7FC3">
      <w:pPr>
        <w:pStyle w:val="Bulletedlist"/>
      </w:pPr>
      <w:r>
        <w:t xml:space="preserve">diethylpropion extended-release – </w:t>
      </w:r>
      <w:r>
        <w:rPr>
          <w:b/>
        </w:rPr>
        <w:t>PA</w:t>
      </w:r>
    </w:p>
    <w:p w14:paraId="3238310B" w14:textId="77777777" w:rsidR="00721C37" w:rsidRDefault="00721C37" w:rsidP="007B7FC3">
      <w:pPr>
        <w:pStyle w:val="Bulletedlist"/>
      </w:pPr>
      <w:r>
        <w:t xml:space="preserve">phendimetrazine – </w:t>
      </w:r>
      <w:r>
        <w:rPr>
          <w:b/>
        </w:rPr>
        <w:t>PA</w:t>
      </w:r>
    </w:p>
    <w:p w14:paraId="30BE3CA7" w14:textId="77777777" w:rsidR="00721C37" w:rsidRDefault="00721C37" w:rsidP="007B7FC3">
      <w:pPr>
        <w:pStyle w:val="Bulletedlist"/>
      </w:pPr>
      <w:r>
        <w:t xml:space="preserve">phendimetrazine extended-release – </w:t>
      </w:r>
      <w:r>
        <w:rPr>
          <w:b/>
        </w:rPr>
        <w:t>PA</w:t>
      </w:r>
    </w:p>
    <w:p w14:paraId="0D299B5A" w14:textId="77777777" w:rsidR="00721C37" w:rsidRDefault="00721C37" w:rsidP="007B7FC3">
      <w:pPr>
        <w:pStyle w:val="Bulletedlist"/>
      </w:pPr>
      <w:r>
        <w:t xml:space="preserve">phentermine 15 mg, 30 mg capsule – </w:t>
      </w:r>
      <w:r>
        <w:rPr>
          <w:b/>
        </w:rPr>
        <w:t xml:space="preserve">PA </w:t>
      </w:r>
      <w:r>
        <w:rPr>
          <w:b/>
          <w:bCs/>
        </w:rPr>
        <w:t>&lt; 12 years</w:t>
      </w:r>
    </w:p>
    <w:p w14:paraId="10398684" w14:textId="77777777" w:rsidR="00721C37" w:rsidRDefault="00721C37" w:rsidP="007B7FC3">
      <w:pPr>
        <w:pStyle w:val="Bulletedlist"/>
      </w:pPr>
      <w:r>
        <w:t xml:space="preserve">phentermine 8 mg tablet – </w:t>
      </w:r>
      <w:r>
        <w:rPr>
          <w:b/>
        </w:rPr>
        <w:t xml:space="preserve">PA </w:t>
      </w:r>
      <w:r>
        <w:rPr>
          <w:b/>
          <w:bCs/>
        </w:rPr>
        <w:t>&lt; 12 years or ≥ 18 years</w:t>
      </w:r>
    </w:p>
    <w:p w14:paraId="09EA3FFC" w14:textId="77777777" w:rsidR="00721C37" w:rsidRDefault="00721C37" w:rsidP="007B7FC3">
      <w:pPr>
        <w:pStyle w:val="Bulletedlist"/>
      </w:pPr>
      <w:r>
        <w:t xml:space="preserve">phentermine/topiramate extended-release – </w:t>
      </w:r>
      <w:r>
        <w:rPr>
          <w:b/>
          <w:bCs/>
        </w:rPr>
        <w:t>PA</w:t>
      </w:r>
    </w:p>
    <w:p w14:paraId="7AA56BB4" w14:textId="77777777" w:rsidR="00721C37" w:rsidRDefault="00721C37" w:rsidP="007B7FC3">
      <w:pPr>
        <w:pStyle w:val="Bulletedlist"/>
      </w:pPr>
      <w:proofErr w:type="spellStart"/>
      <w:r>
        <w:t>Saxenda</w:t>
      </w:r>
      <w:proofErr w:type="spellEnd"/>
      <w:r>
        <w:t xml:space="preserve"> (liraglutide) – </w:t>
      </w:r>
      <w:r>
        <w:rPr>
          <w:b/>
        </w:rPr>
        <w:t>PA</w:t>
      </w:r>
    </w:p>
    <w:p w14:paraId="3721CB55" w14:textId="77777777" w:rsidR="00721C37" w:rsidRDefault="00721C37" w:rsidP="007B7FC3">
      <w:pPr>
        <w:pStyle w:val="Bulletedlist"/>
      </w:pPr>
      <w:r>
        <w:t xml:space="preserve">Xenical (orlistat) – </w:t>
      </w:r>
      <w:r>
        <w:rPr>
          <w:b/>
        </w:rPr>
        <w:t>PA</w:t>
      </w:r>
    </w:p>
    <w:p w14:paraId="125AF4BF" w14:textId="3ED76DF2" w:rsidR="003D7A5F" w:rsidRPr="00E24E22" w:rsidRDefault="003D7A5F" w:rsidP="003949A9">
      <w:pPr>
        <w:pStyle w:val="Heading3"/>
      </w:pPr>
      <w:r w:rsidRPr="00E24E22">
        <w:t>Updated MassHealth Brand Name Preferred Over Generic Drug List</w:t>
      </w:r>
    </w:p>
    <w:bookmarkEnd w:id="3"/>
    <w:p w14:paraId="5EEE9A2F" w14:textId="77777777" w:rsidR="00B56E48" w:rsidRDefault="00944B84" w:rsidP="00944B84">
      <w:pPr>
        <w:rPr>
          <w:szCs w:val="21"/>
        </w:rPr>
        <w:sectPr w:rsidR="00B56E48" w:rsidSect="00B56E48">
          <w:headerReference w:type="default" r:id="rId14"/>
          <w:footerReference w:type="default" r:id="rId15"/>
          <w:pgSz w:w="12240" w:h="15840" w:code="1"/>
          <w:pgMar w:top="360" w:right="907" w:bottom="446" w:left="907" w:header="0" w:footer="576" w:gutter="0"/>
          <w:cols w:space="720"/>
          <w:docGrid w:linePitch="360"/>
        </w:sectPr>
      </w:pPr>
      <w:r>
        <w:rPr>
          <w:sz w:val="21"/>
          <w:szCs w:val="21"/>
        </w:rPr>
        <w:t xml:space="preserve">The </w:t>
      </w:r>
      <w:r>
        <w:rPr>
          <w:szCs w:val="21"/>
        </w:rPr>
        <w:t>MassHealth Brand Name Preferred Over Generic Drug List has been updated to reflect recent changes to the MassHealth Drug List.</w:t>
      </w:r>
    </w:p>
    <w:p w14:paraId="60DD4D28" w14:textId="2BE6C128" w:rsidR="00345DC5" w:rsidRPr="006E2C41" w:rsidRDefault="00345DC5" w:rsidP="006E2C41">
      <w:pPr>
        <w:pStyle w:val="ListParagraph"/>
        <w:numPr>
          <w:ilvl w:val="0"/>
          <w:numId w:val="48"/>
        </w:numPr>
        <w:tabs>
          <w:tab w:val="left" w:pos="720"/>
        </w:tabs>
        <w:rPr>
          <w:szCs w:val="21"/>
        </w:rPr>
      </w:pPr>
      <w:r w:rsidRPr="006E2C41">
        <w:rPr>
          <w:rFonts w:cs="Arial"/>
        </w:rPr>
        <w:lastRenderedPageBreak/>
        <w:t>Effective July 1, 2026, the following agents will be added to the MassHealth Brand Name</w:t>
      </w:r>
      <w:r w:rsidRPr="00527553">
        <w:t xml:space="preserve"> Preferred</w:t>
      </w:r>
      <w:r w:rsidRPr="006E2C41">
        <w:rPr>
          <w:szCs w:val="21"/>
        </w:rPr>
        <w:t xml:space="preserve"> Over Generic Drug List. </w:t>
      </w:r>
    </w:p>
    <w:p w14:paraId="24E5EA40" w14:textId="77777777" w:rsidR="00345DC5" w:rsidRDefault="00345DC5" w:rsidP="006E2C41">
      <w:pPr>
        <w:pStyle w:val="subbullet"/>
        <w:rPr>
          <w:szCs w:val="21"/>
        </w:rPr>
      </w:pPr>
      <w:bookmarkStart w:id="4" w:name="_Hlk11399419"/>
      <w:bookmarkStart w:id="5" w:name="_Hlk527542710"/>
      <w:proofErr w:type="spellStart"/>
      <w:r>
        <w:t>Belbuca</w:t>
      </w:r>
      <w:proofErr w:type="spellEnd"/>
      <w:r>
        <w:t xml:space="preserve"> (buprenorphine buccal film) – </w:t>
      </w:r>
      <w:r>
        <w:rPr>
          <w:b/>
          <w:bCs/>
        </w:rPr>
        <w:t>PA</w:t>
      </w:r>
      <w:r>
        <w:t>; BP</w:t>
      </w:r>
    </w:p>
    <w:p w14:paraId="23585040" w14:textId="77777777" w:rsidR="00345DC5" w:rsidRDefault="00345DC5" w:rsidP="006E2C41">
      <w:pPr>
        <w:pStyle w:val="subbullet"/>
      </w:pPr>
      <w:proofErr w:type="spellStart"/>
      <w:r>
        <w:t>Endometrin</w:t>
      </w:r>
      <w:proofErr w:type="spellEnd"/>
      <w:r>
        <w:t xml:space="preserve"> (progesterone vaginal insert) – </w:t>
      </w:r>
      <w:r>
        <w:rPr>
          <w:b/>
        </w:rPr>
        <w:t>PA</w:t>
      </w:r>
      <w:r>
        <w:t>; BP</w:t>
      </w:r>
    </w:p>
    <w:p w14:paraId="0E0B672B" w14:textId="77777777" w:rsidR="00345DC5" w:rsidRDefault="00345DC5" w:rsidP="006E2C41">
      <w:pPr>
        <w:pStyle w:val="subbullet"/>
      </w:pPr>
      <w:bookmarkStart w:id="6" w:name="_Hlk14249184"/>
      <w:bookmarkStart w:id="7" w:name="_Hlk536624120"/>
      <w:bookmarkEnd w:id="4"/>
      <w:bookmarkEnd w:id="5"/>
      <w:r>
        <w:t>Humulin N (insulin NPH); BP</w:t>
      </w:r>
    </w:p>
    <w:p w14:paraId="66818DC6" w14:textId="77777777" w:rsidR="00345DC5" w:rsidRDefault="00345DC5" w:rsidP="006E2C41">
      <w:pPr>
        <w:pStyle w:val="subbullet"/>
      </w:pPr>
      <w:proofErr w:type="spellStart"/>
      <w:r>
        <w:t>Incruse</w:t>
      </w:r>
      <w:proofErr w:type="spellEnd"/>
      <w:r>
        <w:t xml:space="preserve"> (umeclidinium); BP, A90</w:t>
      </w:r>
    </w:p>
    <w:p w14:paraId="1328C4C4" w14:textId="77777777" w:rsidR="00345DC5" w:rsidRDefault="00345DC5" w:rsidP="006E2C41">
      <w:pPr>
        <w:pStyle w:val="subbullet"/>
        <w:rPr>
          <w:color w:val="000000"/>
        </w:rPr>
      </w:pPr>
      <w:r>
        <w:rPr>
          <w:color w:val="000000"/>
        </w:rPr>
        <w:t>Lumigan (</w:t>
      </w:r>
      <w:proofErr w:type="spellStart"/>
      <w:r>
        <w:rPr>
          <w:color w:val="000000"/>
        </w:rPr>
        <w:t>bimatoprost</w:t>
      </w:r>
      <w:proofErr w:type="spellEnd"/>
      <w:r>
        <w:rPr>
          <w:color w:val="000000"/>
        </w:rPr>
        <w:t xml:space="preserve"> 0.01% ophthalmic solution); BP, M90</w:t>
      </w:r>
      <w:r>
        <w:t xml:space="preserve"> </w:t>
      </w:r>
    </w:p>
    <w:p w14:paraId="1E1152E5" w14:textId="38908695" w:rsidR="00345DC5" w:rsidRPr="006E2C41" w:rsidRDefault="00345DC5" w:rsidP="006E2C41">
      <w:pPr>
        <w:pStyle w:val="ListParagraph"/>
        <w:numPr>
          <w:ilvl w:val="0"/>
          <w:numId w:val="48"/>
        </w:numPr>
        <w:spacing w:line="256" w:lineRule="auto"/>
        <w:contextualSpacing/>
        <w:rPr>
          <w:rFonts w:cs="Arial"/>
          <w:color w:val="000000"/>
        </w:rPr>
      </w:pPr>
      <w:r w:rsidRPr="006E2C41">
        <w:rPr>
          <w:rFonts w:cs="Arial"/>
          <w:szCs w:val="21"/>
        </w:rPr>
        <w:t xml:space="preserve">Effective </w:t>
      </w:r>
      <w:r w:rsidRPr="006E2C41">
        <w:rPr>
          <w:rFonts w:cs="Arial"/>
        </w:rPr>
        <w:t xml:space="preserve">July 1, 2026, </w:t>
      </w:r>
      <w:r w:rsidRPr="006E2C41">
        <w:rPr>
          <w:rFonts w:cs="Arial"/>
          <w:szCs w:val="21"/>
        </w:rPr>
        <w:t xml:space="preserve">the following agents will be removed from the MassHealth Brand Name Preferred Over Generic Drug List. </w:t>
      </w:r>
      <w:bookmarkEnd w:id="6"/>
    </w:p>
    <w:p w14:paraId="19A5DDCE" w14:textId="77777777" w:rsidR="00345DC5" w:rsidRDefault="00345DC5" w:rsidP="006E2C41">
      <w:pPr>
        <w:pStyle w:val="subbullet"/>
        <w:rPr>
          <w:color w:val="000000"/>
        </w:rPr>
      </w:pPr>
      <w:proofErr w:type="spellStart"/>
      <w:r>
        <w:t>Fabior</w:t>
      </w:r>
      <w:proofErr w:type="spellEnd"/>
      <w:r>
        <w:t xml:space="preserve"> (tazarotene foam) – </w:t>
      </w:r>
      <w:r>
        <w:rPr>
          <w:b/>
          <w:bCs/>
        </w:rPr>
        <w:t>PA</w:t>
      </w:r>
      <w:bookmarkEnd w:id="7"/>
    </w:p>
    <w:p w14:paraId="0B3AEDAC" w14:textId="77777777" w:rsidR="00345DC5" w:rsidRDefault="00345DC5" w:rsidP="006E2C41">
      <w:pPr>
        <w:pStyle w:val="subbullet"/>
        <w:rPr>
          <w:color w:val="000000"/>
        </w:rPr>
      </w:pPr>
      <w:r>
        <w:rPr>
          <w:color w:val="000000"/>
        </w:rPr>
        <w:t>Xenical (orlistat)</w:t>
      </w:r>
      <w:r>
        <w:t xml:space="preserve"> </w:t>
      </w:r>
      <w:r>
        <w:rPr>
          <w:rFonts w:eastAsia="Calibri"/>
        </w:rPr>
        <w:t xml:space="preserve">– </w:t>
      </w:r>
      <w:r>
        <w:rPr>
          <w:rFonts w:eastAsia="Calibri"/>
          <w:b/>
          <w:bCs/>
        </w:rPr>
        <w:t>PA</w:t>
      </w:r>
    </w:p>
    <w:p w14:paraId="676E6A93" w14:textId="77777777" w:rsidR="003D7A5F" w:rsidRPr="00E24E22" w:rsidRDefault="003D7A5F" w:rsidP="003949A9">
      <w:pPr>
        <w:pStyle w:val="Heading3"/>
      </w:pPr>
      <w:r w:rsidRPr="00E24E22">
        <w:t>Updated MassHealth 90-day Initiative</w:t>
      </w:r>
    </w:p>
    <w:p w14:paraId="0340A98E" w14:textId="13DCD2DF" w:rsidR="00344247" w:rsidRPr="00344247" w:rsidRDefault="00344247" w:rsidP="006E2C41">
      <w:pPr>
        <w:pStyle w:val="ListParagraph"/>
        <w:numPr>
          <w:ilvl w:val="0"/>
          <w:numId w:val="47"/>
        </w:numPr>
      </w:pPr>
      <w:r w:rsidRPr="00344247">
        <w:t xml:space="preserve">Effective July 1, 2026, the following agents may be allowed or mandated to be dispensed in up to a 90-day supply, as indicated below. </w:t>
      </w:r>
    </w:p>
    <w:p w14:paraId="62B54C94" w14:textId="77777777" w:rsidR="00344247" w:rsidRPr="00344247" w:rsidRDefault="00344247" w:rsidP="006E2C41">
      <w:pPr>
        <w:pStyle w:val="subbullet"/>
      </w:pPr>
      <w:proofErr w:type="spellStart"/>
      <w:r w:rsidRPr="00344247">
        <w:t>Astagraf</w:t>
      </w:r>
      <w:proofErr w:type="spellEnd"/>
      <w:r w:rsidRPr="00344247">
        <w:t xml:space="preserve"> XL (tacrolimus extended-release capsule); #, A90</w:t>
      </w:r>
    </w:p>
    <w:p w14:paraId="6047B91C" w14:textId="77777777" w:rsidR="00344247" w:rsidRPr="00344247" w:rsidRDefault="00344247" w:rsidP="006E2C41">
      <w:pPr>
        <w:pStyle w:val="subbullet"/>
      </w:pPr>
      <w:proofErr w:type="spellStart"/>
      <w:r w:rsidRPr="00344247">
        <w:t>Incruse</w:t>
      </w:r>
      <w:proofErr w:type="spellEnd"/>
      <w:r w:rsidRPr="00344247">
        <w:t xml:space="preserve"> (umeclidinium); BP, A90</w:t>
      </w:r>
    </w:p>
    <w:p w14:paraId="3A9554DE" w14:textId="77777777" w:rsidR="00344247" w:rsidRPr="00344247" w:rsidRDefault="00344247" w:rsidP="006E2C41">
      <w:pPr>
        <w:pStyle w:val="subbullet"/>
      </w:pPr>
      <w:r w:rsidRPr="00344247">
        <w:t>Lumigan (</w:t>
      </w:r>
      <w:proofErr w:type="spellStart"/>
      <w:r w:rsidRPr="00344247">
        <w:t>bimatoprost</w:t>
      </w:r>
      <w:proofErr w:type="spellEnd"/>
      <w:r w:rsidRPr="00344247">
        <w:t xml:space="preserve"> 0.01% ophthalmic solution); BP, M90</w:t>
      </w:r>
    </w:p>
    <w:p w14:paraId="0DE59F7E" w14:textId="1889009A" w:rsidR="00344247" w:rsidRPr="00344247" w:rsidRDefault="00344247" w:rsidP="006E2C41">
      <w:pPr>
        <w:pStyle w:val="ListParagraph"/>
        <w:numPr>
          <w:ilvl w:val="0"/>
          <w:numId w:val="47"/>
        </w:numPr>
      </w:pPr>
      <w:r w:rsidRPr="00344247">
        <w:t>Effective July 1, 2026, the following agents will no longer be allowed or mandated to be dispensed in up to a 90-day supply, as indicated below.</w:t>
      </w:r>
    </w:p>
    <w:p w14:paraId="3D246C41" w14:textId="77777777" w:rsidR="00344247" w:rsidRPr="00344247" w:rsidRDefault="00344247" w:rsidP="006E2C41">
      <w:pPr>
        <w:pStyle w:val="subbullet"/>
      </w:pPr>
      <w:r w:rsidRPr="00344247">
        <w:t xml:space="preserve">Revlimid (lenalidomide) – </w:t>
      </w:r>
      <w:r w:rsidRPr="00344247">
        <w:rPr>
          <w:b/>
          <w:bCs/>
        </w:rPr>
        <w:t>PA</w:t>
      </w:r>
      <w:r w:rsidRPr="00344247">
        <w:t>;</w:t>
      </w:r>
      <w:r w:rsidRPr="00344247">
        <w:rPr>
          <w:b/>
          <w:bCs/>
        </w:rPr>
        <w:t xml:space="preserve"> </w:t>
      </w:r>
      <w:r w:rsidRPr="00344247">
        <w:t>BP</w:t>
      </w:r>
    </w:p>
    <w:p w14:paraId="3959DE64" w14:textId="77777777" w:rsidR="00344247" w:rsidRPr="00344247" w:rsidRDefault="00344247" w:rsidP="006E2C41">
      <w:pPr>
        <w:pStyle w:val="subbullet"/>
      </w:pPr>
      <w:r w:rsidRPr="00344247">
        <w:t xml:space="preserve">Samsca (tolvaptan) – </w:t>
      </w:r>
      <w:r w:rsidRPr="00344247">
        <w:rPr>
          <w:b/>
          <w:bCs/>
        </w:rPr>
        <w:t xml:space="preserve">PA </w:t>
      </w:r>
    </w:p>
    <w:p w14:paraId="6582AE90" w14:textId="2E0BC1A1" w:rsidR="00944B84" w:rsidRPr="003949A9" w:rsidRDefault="00344247" w:rsidP="006E2C41">
      <w:pPr>
        <w:pStyle w:val="subbullet"/>
      </w:pPr>
      <w:r w:rsidRPr="00344247">
        <w:t xml:space="preserve">Xenical (orlistat) – </w:t>
      </w:r>
      <w:r w:rsidRPr="00344247">
        <w:rPr>
          <w:b/>
          <w:bCs/>
        </w:rPr>
        <w:t>PA</w:t>
      </w:r>
    </w:p>
    <w:p w14:paraId="3CB2EE89" w14:textId="659BC612" w:rsidR="00354588" w:rsidRPr="005C3BE9" w:rsidRDefault="00354588" w:rsidP="003949A9">
      <w:pPr>
        <w:pStyle w:val="Heading3"/>
      </w:pPr>
      <w:r w:rsidRPr="00E64440">
        <w:t xml:space="preserve">Abbreviations, Acronyms, and Symbols </w:t>
      </w:r>
    </w:p>
    <w:p w14:paraId="3775D3F0" w14:textId="77777777" w:rsidR="00354588" w:rsidRPr="006D72AD" w:rsidRDefault="00354588" w:rsidP="00354588">
      <w:pPr>
        <w:shd w:val="clear" w:color="auto" w:fill="FFFFFF"/>
        <w:tabs>
          <w:tab w:val="left" w:pos="180"/>
          <w:tab w:val="left" w:pos="360"/>
        </w:tabs>
        <w:spacing w:after="160" w:line="240" w:lineRule="auto"/>
        <w:ind w:left="274" w:hanging="360"/>
        <w:rPr>
          <w:sz w:val="18"/>
          <w:szCs w:val="18"/>
        </w:rPr>
      </w:pPr>
      <w:r w:rsidRPr="006D72AD">
        <w:rPr>
          <w:sz w:val="18"/>
          <w:szCs w:val="18"/>
        </w:rPr>
        <w:t xml:space="preserve"># Designates a brand-name drug with FDA “A”-rated generic equivalents. Prior authorization is required for the brand, unless a particular form of that drug (for example, tablet, capsule, or liquid) does not have an FDA “A”-rated generic equivalent. </w:t>
      </w:r>
    </w:p>
    <w:p w14:paraId="3E5073AE" w14:textId="77777777" w:rsidR="00354588" w:rsidRPr="006D72AD" w:rsidRDefault="00354588" w:rsidP="00354588">
      <w:pPr>
        <w:shd w:val="clear" w:color="auto" w:fill="FFFFFF"/>
        <w:tabs>
          <w:tab w:val="left" w:pos="180"/>
          <w:tab w:val="left" w:pos="360"/>
        </w:tabs>
        <w:spacing w:after="160"/>
        <w:ind w:left="274" w:hanging="360"/>
        <w:rPr>
          <w:sz w:val="18"/>
          <w:szCs w:val="18"/>
        </w:rPr>
      </w:pPr>
      <w:r w:rsidRPr="006D72AD">
        <w:rPr>
          <w:sz w:val="18"/>
          <w:szCs w:val="18"/>
        </w:rPr>
        <w:t>MB This drug is available through the healthcare professional who administers the drug or in an outpatient or inpatient hospital setting. MassHealth does not pay for this drug to be dispensed through the retail pharmacy. If listed, PA does not apply through the hospital outpatient and inpatient settings. Please refer to 130 CMR 433.408 for PA requirements for other healthcare professionals. Notwithstanding the above, this drug may be an exception to the unified pharmacy policy; please refer to respective MassHealth Accountable Care Partnership Plans (ACPPs) and Managed Care Organizations (MCOs) for PA status and criteria, if applicable.</w:t>
      </w:r>
    </w:p>
    <w:p w14:paraId="2F72BDB8" w14:textId="77777777" w:rsidR="00354588" w:rsidRPr="006D72AD" w:rsidRDefault="00354588" w:rsidP="00354588">
      <w:pPr>
        <w:shd w:val="clear" w:color="auto" w:fill="FFFFFF"/>
        <w:tabs>
          <w:tab w:val="left" w:pos="180"/>
          <w:tab w:val="left" w:pos="360"/>
        </w:tabs>
        <w:spacing w:after="160" w:line="240" w:lineRule="auto"/>
        <w:ind w:left="274" w:hanging="360"/>
        <w:rPr>
          <w:sz w:val="18"/>
          <w:szCs w:val="18"/>
        </w:rPr>
      </w:pPr>
      <w:r w:rsidRPr="006D72AD">
        <w:rPr>
          <w:sz w:val="18"/>
          <w:szCs w:val="18"/>
        </w:rPr>
        <w:t xml:space="preserve">PA Prior authorization is required. The prescriber must obtain PA for the drug </w:t>
      </w:r>
      <w:proofErr w:type="gramStart"/>
      <w:r w:rsidRPr="006D72AD">
        <w:rPr>
          <w:sz w:val="18"/>
          <w:szCs w:val="18"/>
        </w:rPr>
        <w:t>in order for</w:t>
      </w:r>
      <w:proofErr w:type="gramEnd"/>
      <w:r w:rsidRPr="006D72AD">
        <w:rPr>
          <w:sz w:val="18"/>
          <w:szCs w:val="18"/>
        </w:rPr>
        <w:t xml:space="preserve"> the provider to receive reimbursement. Note: PA applies to both the brand-name and the FDA “A”-rated generic equivalent of listed product. </w:t>
      </w:r>
    </w:p>
    <w:p w14:paraId="5FE4F7B6" w14:textId="77777777" w:rsidR="00354588" w:rsidRPr="006D72AD" w:rsidRDefault="00354588" w:rsidP="00354588">
      <w:pPr>
        <w:shd w:val="clear" w:color="auto" w:fill="FFFFFF"/>
        <w:tabs>
          <w:tab w:val="left" w:pos="180"/>
          <w:tab w:val="left" w:pos="360"/>
        </w:tabs>
        <w:spacing w:after="160" w:line="240" w:lineRule="auto"/>
        <w:ind w:left="274" w:hanging="360"/>
        <w:rPr>
          <w:sz w:val="18"/>
          <w:szCs w:val="18"/>
        </w:rPr>
      </w:pPr>
      <w:r w:rsidRPr="006D72AD">
        <w:rPr>
          <w:sz w:val="18"/>
          <w:szCs w:val="18"/>
        </w:rPr>
        <w:t>A90</w:t>
      </w:r>
      <w:r w:rsidRPr="00BB1FDB">
        <w:rPr>
          <w:sz w:val="18"/>
          <w:szCs w:val="18"/>
        </w:rPr>
        <w:t xml:space="preserve"> </w:t>
      </w:r>
      <w:r w:rsidRPr="006D72AD">
        <w:rPr>
          <w:sz w:val="18"/>
          <w:szCs w:val="18"/>
        </w:rPr>
        <w:t xml:space="preserve">Allowable 90-day supply. </w:t>
      </w:r>
      <w:proofErr w:type="gramStart"/>
      <w:r w:rsidRPr="006D72AD">
        <w:rPr>
          <w:sz w:val="18"/>
          <w:szCs w:val="18"/>
        </w:rPr>
        <w:t>Dispensing in</w:t>
      </w:r>
      <w:proofErr w:type="gramEnd"/>
      <w:r w:rsidRPr="006D72AD">
        <w:rPr>
          <w:sz w:val="18"/>
          <w:szCs w:val="18"/>
        </w:rPr>
        <w:t xml:space="preserve"> up to a 90-day supply is allowed. May not include all strengths or formulations. Quantity limits and other restrictions may apply. </w:t>
      </w:r>
    </w:p>
    <w:p w14:paraId="6DFFDFF9" w14:textId="77777777" w:rsidR="00354588" w:rsidRPr="006D72AD" w:rsidRDefault="00354588" w:rsidP="00354588">
      <w:pPr>
        <w:shd w:val="clear" w:color="auto" w:fill="FFFFFF"/>
        <w:tabs>
          <w:tab w:val="left" w:pos="180"/>
          <w:tab w:val="left" w:pos="360"/>
        </w:tabs>
        <w:spacing w:after="160" w:line="240" w:lineRule="auto"/>
        <w:ind w:left="274" w:hanging="360"/>
        <w:rPr>
          <w:sz w:val="18"/>
          <w:szCs w:val="18"/>
        </w:rPr>
      </w:pPr>
      <w:r w:rsidRPr="006D72AD">
        <w:rPr>
          <w:sz w:val="18"/>
          <w:szCs w:val="18"/>
        </w:rPr>
        <w:t>BP Brand Preferred over generic equivalents. In general, MassHealth requires a trial of the preferred drug or clinical rationale for prescribing the non-preferred drug generic equivalent.</w:t>
      </w:r>
    </w:p>
    <w:p w14:paraId="0C405204" w14:textId="77777777" w:rsidR="00354588" w:rsidRPr="006D72AD" w:rsidRDefault="00354588" w:rsidP="00354588">
      <w:pPr>
        <w:shd w:val="clear" w:color="auto" w:fill="FFFFFF"/>
        <w:tabs>
          <w:tab w:val="left" w:pos="180"/>
          <w:tab w:val="left" w:pos="360"/>
        </w:tabs>
        <w:spacing w:after="160" w:line="240" w:lineRule="auto"/>
        <w:ind w:left="274" w:hanging="360"/>
        <w:rPr>
          <w:sz w:val="18"/>
          <w:szCs w:val="18"/>
        </w:rPr>
      </w:pPr>
      <w:bookmarkStart w:id="8" w:name="_Hlk99013636"/>
      <w:r w:rsidRPr="006D72AD">
        <w:rPr>
          <w:sz w:val="18"/>
          <w:szCs w:val="18"/>
        </w:rPr>
        <w:t xml:space="preserve">M90 Mandatory 90-day supply. After dispensing up to a 30-day supply initial fill, dispensing in a 90-day supply is required. May not include all strengths or formulations. Quantity limits and other restrictions may also apply. </w:t>
      </w:r>
    </w:p>
    <w:p w14:paraId="1A970EFD" w14:textId="512B46A4" w:rsidR="00354588" w:rsidRDefault="00354588" w:rsidP="00354588">
      <w:pPr>
        <w:spacing w:after="120" w:line="240" w:lineRule="auto"/>
        <w:ind w:left="270" w:hanging="360"/>
        <w:rPr>
          <w:sz w:val="18"/>
          <w:szCs w:val="18"/>
        </w:rPr>
      </w:pPr>
      <w:proofErr w:type="gramStart"/>
      <w:r w:rsidRPr="006D72AD">
        <w:rPr>
          <w:rFonts w:eastAsia="Calibri" w:cs="Arial"/>
          <w:bCs/>
          <w:sz w:val="18"/>
          <w:szCs w:val="18"/>
        </w:rPr>
        <w:t>PD</w:t>
      </w:r>
      <w:proofErr w:type="gramEnd"/>
      <w:r w:rsidRPr="006D72AD">
        <w:rPr>
          <w:rFonts w:eastAsia="Calibri" w:cs="Arial"/>
          <w:bCs/>
          <w:szCs w:val="22"/>
        </w:rPr>
        <w:t xml:space="preserve"> </w:t>
      </w:r>
      <w:r w:rsidRPr="006D72AD">
        <w:rPr>
          <w:rFonts w:eastAsia="Calibri" w:cs="Arial"/>
          <w:sz w:val="18"/>
          <w:szCs w:val="18"/>
        </w:rPr>
        <w:t xml:space="preserve">Preferred Drug. In general, MassHealth requires a trial of the preferred drug or clinical rationale for prescribing a non-preferred </w:t>
      </w:r>
      <w:r w:rsidRPr="00BB1FDB">
        <w:rPr>
          <w:sz w:val="18"/>
          <w:szCs w:val="18"/>
        </w:rPr>
        <w:t>drug within a therapeutic class.</w:t>
      </w:r>
      <w:bookmarkEnd w:id="8"/>
    </w:p>
    <w:p w14:paraId="3026C7D8" w14:textId="77777777" w:rsidR="00354588" w:rsidRDefault="00354588" w:rsidP="00354588">
      <w:pPr>
        <w:spacing w:after="120" w:line="240" w:lineRule="auto"/>
        <w:ind w:left="270" w:hanging="360"/>
        <w:rPr>
          <w:rFonts w:eastAsia="Calibri" w:cs="Arial"/>
          <w:bCs/>
          <w:sz w:val="18"/>
          <w:szCs w:val="18"/>
        </w:rPr>
        <w:sectPr w:rsidR="00354588" w:rsidSect="00B56E48">
          <w:footerReference w:type="default" r:id="rId16"/>
          <w:pgSz w:w="12240" w:h="15840" w:code="1"/>
          <w:pgMar w:top="360" w:right="907" w:bottom="446" w:left="907" w:header="0" w:footer="576" w:gutter="0"/>
          <w:cols w:space="720"/>
          <w:docGrid w:linePitch="360"/>
        </w:sectPr>
      </w:pPr>
    </w:p>
    <w:p w14:paraId="5ACD6B54" w14:textId="77777777" w:rsidR="00354588" w:rsidRPr="00A52375" w:rsidRDefault="00354588" w:rsidP="00354588">
      <w:pPr>
        <w:spacing w:after="120" w:line="240" w:lineRule="auto"/>
        <w:ind w:left="270" w:hanging="360"/>
        <w:rPr>
          <w:rFonts w:eastAsia="Calibri" w:cs="Arial"/>
          <w:bCs/>
          <w:sz w:val="18"/>
          <w:szCs w:val="18"/>
        </w:rPr>
      </w:pPr>
    </w:p>
    <w:p w14:paraId="713969F9" w14:textId="77777777" w:rsidR="00A650DC" w:rsidRPr="001721D8" w:rsidRDefault="00A650DC" w:rsidP="00354588">
      <w:pPr>
        <w:shd w:val="clear" w:color="auto" w:fill="FFFFFF"/>
        <w:tabs>
          <w:tab w:val="left" w:pos="180"/>
          <w:tab w:val="left" w:pos="360"/>
        </w:tabs>
        <w:ind w:left="270" w:hanging="360"/>
      </w:pPr>
    </w:p>
    <w:sectPr w:rsidR="00A650DC" w:rsidRPr="001721D8" w:rsidSect="00354588">
      <w:headerReference w:type="default" r:id="rId17"/>
      <w:footerReference w:type="default" r:id="rId18"/>
      <w:type w:val="continuous"/>
      <w:pgSz w:w="12240" w:h="15840" w:code="1"/>
      <w:pgMar w:top="360" w:right="907" w:bottom="720" w:left="907" w:header="720" w:footer="576"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084B3" w14:textId="77777777" w:rsidR="00635BAA" w:rsidRDefault="00635BAA" w:rsidP="00492602">
      <w:r>
        <w:separator/>
      </w:r>
    </w:p>
  </w:endnote>
  <w:endnote w:type="continuationSeparator" w:id="0">
    <w:p w14:paraId="4EBAA963" w14:textId="77777777" w:rsidR="00635BAA" w:rsidRDefault="00635BAA" w:rsidP="0049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7278A" w14:textId="77777777" w:rsidR="00637A67" w:rsidRDefault="006D3B5F" w:rsidP="006D3B5F">
    <w:pPr>
      <w:pStyle w:val="Footer"/>
      <w:pBdr>
        <w:top w:val="single" w:sz="18" w:space="1" w:color="auto"/>
      </w:pBdr>
      <w:tabs>
        <w:tab w:val="clear" w:pos="4680"/>
        <w:tab w:val="clear" w:pos="9360"/>
        <w:tab w:val="left" w:pos="3840"/>
      </w:tabs>
      <w:spacing w:before="120"/>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0B35B" w14:textId="77777777" w:rsidR="00637A67" w:rsidRDefault="00637A67">
    <w:pPr>
      <w:pStyle w:val="Footer"/>
    </w:pPr>
    <w:r>
      <w:t>[Type text]</w:t>
    </w:r>
  </w:p>
  <w:p w14:paraId="06CD7D62" w14:textId="77777777" w:rsidR="00637A67" w:rsidRDefault="00637A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B68C2" w14:textId="77777777" w:rsidR="00354588" w:rsidRPr="00D11DC6" w:rsidRDefault="00354588" w:rsidP="00A946BB">
    <w:pPr>
      <w:pBdr>
        <w:top w:val="single" w:sz="18" w:space="1" w:color="auto"/>
      </w:pBdr>
      <w:tabs>
        <w:tab w:val="left" w:pos="-90"/>
        <w:tab w:val="left" w:pos="530"/>
        <w:tab w:val="center" w:pos="5400"/>
      </w:tabs>
      <w:autoSpaceDE w:val="0"/>
      <w:autoSpaceDN w:val="0"/>
      <w:adjustRightInd w:val="0"/>
      <w:spacing w:line="240" w:lineRule="auto"/>
      <w:jc w:val="center"/>
      <w:textAlignment w:val="baseline"/>
      <w:rPr>
        <w:rFonts w:cs="Arial"/>
        <w:iCs/>
        <w:sz w:val="18"/>
        <w:szCs w:val="18"/>
      </w:rPr>
    </w:pPr>
    <w:r w:rsidRPr="00EC7147">
      <w:t xml:space="preserve"> </w:t>
    </w:r>
    <w:r>
      <w:tab/>
    </w:r>
    <w:r w:rsidRPr="00D11DC6">
      <w:rPr>
        <w:rFonts w:cs="Arial"/>
        <w:iCs/>
        <w:sz w:val="18"/>
        <w:szCs w:val="18"/>
      </w:rPr>
      <w:t>Please direct any questions or comments (or to be removed from this fax distribution) to</w:t>
    </w:r>
  </w:p>
  <w:p w14:paraId="060E9BE5" w14:textId="77777777" w:rsidR="00354588" w:rsidRPr="00D11DC6" w:rsidRDefault="00354588" w:rsidP="00A946BB">
    <w:pPr>
      <w:pBdr>
        <w:top w:val="single" w:sz="18" w:space="1" w:color="auto"/>
      </w:pBdr>
      <w:tabs>
        <w:tab w:val="left" w:pos="-90"/>
        <w:tab w:val="left" w:pos="530"/>
        <w:tab w:val="center" w:pos="5400"/>
      </w:tabs>
      <w:autoSpaceDE w:val="0"/>
      <w:autoSpaceDN w:val="0"/>
      <w:adjustRightInd w:val="0"/>
      <w:spacing w:line="240" w:lineRule="auto"/>
      <w:jc w:val="center"/>
      <w:textAlignment w:val="baseline"/>
      <w:rPr>
        <w:rFonts w:cs="Arial"/>
        <w:iCs/>
        <w:sz w:val="18"/>
        <w:szCs w:val="18"/>
      </w:rPr>
    </w:pPr>
    <w:hyperlink r:id="rId1" w:history="1">
      <w:r w:rsidRPr="00473CC9">
        <w:rPr>
          <w:rStyle w:val="Hyperlink"/>
          <w:rFonts w:cs="Arial"/>
          <w:iCs/>
          <w:sz w:val="18"/>
          <w:szCs w:val="18"/>
        </w:rPr>
        <w:t>PharmFactsMA@Conduent.com</w:t>
      </w:r>
    </w:hyperlink>
    <w:r>
      <w:rPr>
        <w:rFonts w:cs="Arial"/>
        <w:iCs/>
        <w:sz w:val="18"/>
        <w:szCs w:val="18"/>
      </w:rPr>
      <w:t>.</w:t>
    </w:r>
    <w:r w:rsidRPr="00D11DC6">
      <w:rPr>
        <w:rFonts w:cs="Arial"/>
        <w:iCs/>
        <w:sz w:val="18"/>
        <w:szCs w:val="1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C78F9" w14:textId="1E344151" w:rsidR="00B56E48" w:rsidRPr="00D11DC6" w:rsidRDefault="00B56E48" w:rsidP="00B56E48">
    <w:pPr>
      <w:pBdr>
        <w:top w:val="single" w:sz="18" w:space="1" w:color="auto"/>
      </w:pBdr>
      <w:tabs>
        <w:tab w:val="left" w:pos="-90"/>
        <w:tab w:val="left" w:pos="530"/>
        <w:tab w:val="center" w:pos="5400"/>
      </w:tabs>
      <w:autoSpaceDE w:val="0"/>
      <w:autoSpaceDN w:val="0"/>
      <w:adjustRightInd w:val="0"/>
      <w:spacing w:line="240" w:lineRule="auto"/>
      <w:jc w:val="center"/>
      <w:textAlignment w:val="baseline"/>
      <w:rPr>
        <w:rFonts w:cs="Arial"/>
        <w:iCs/>
        <w:sz w:val="18"/>
        <w:szCs w:val="18"/>
      </w:rPr>
    </w:pPr>
    <w:r w:rsidRPr="00EC7147">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B6A21" w14:textId="77777777" w:rsidR="00B56E48" w:rsidRPr="00D11DC6" w:rsidRDefault="00B56E48" w:rsidP="00A946BB">
    <w:pPr>
      <w:pBdr>
        <w:top w:val="single" w:sz="18" w:space="1" w:color="auto"/>
      </w:pBdr>
      <w:tabs>
        <w:tab w:val="left" w:pos="-90"/>
        <w:tab w:val="left" w:pos="530"/>
        <w:tab w:val="center" w:pos="5400"/>
      </w:tabs>
      <w:autoSpaceDE w:val="0"/>
      <w:autoSpaceDN w:val="0"/>
      <w:adjustRightInd w:val="0"/>
      <w:spacing w:line="240" w:lineRule="auto"/>
      <w:jc w:val="center"/>
      <w:textAlignment w:val="baseline"/>
      <w:rPr>
        <w:rFonts w:cs="Arial"/>
        <w:iCs/>
        <w:sz w:val="18"/>
        <w:szCs w:val="18"/>
      </w:rPr>
    </w:pPr>
    <w:r w:rsidRPr="00EC7147">
      <w:t xml:space="preserve"> </w:t>
    </w:r>
    <w:r>
      <w:tab/>
    </w:r>
    <w:r w:rsidRPr="00D11DC6">
      <w:rPr>
        <w:rFonts w:cs="Arial"/>
        <w:iCs/>
        <w:sz w:val="18"/>
        <w:szCs w:val="18"/>
      </w:rPr>
      <w:t>Please direct any questions or comments (or to be removed from this fax distribution) to</w:t>
    </w:r>
  </w:p>
  <w:p w14:paraId="75B3680D" w14:textId="77777777" w:rsidR="00B56E48" w:rsidRPr="00D11DC6" w:rsidRDefault="00B56E48" w:rsidP="00A946BB">
    <w:pPr>
      <w:pBdr>
        <w:top w:val="single" w:sz="18" w:space="1" w:color="auto"/>
      </w:pBdr>
      <w:tabs>
        <w:tab w:val="left" w:pos="-90"/>
        <w:tab w:val="left" w:pos="530"/>
        <w:tab w:val="center" w:pos="5400"/>
      </w:tabs>
      <w:autoSpaceDE w:val="0"/>
      <w:autoSpaceDN w:val="0"/>
      <w:adjustRightInd w:val="0"/>
      <w:spacing w:line="240" w:lineRule="auto"/>
      <w:jc w:val="center"/>
      <w:textAlignment w:val="baseline"/>
      <w:rPr>
        <w:rFonts w:cs="Arial"/>
        <w:iCs/>
        <w:sz w:val="18"/>
        <w:szCs w:val="18"/>
      </w:rPr>
    </w:pPr>
    <w:hyperlink r:id="rId1" w:history="1">
      <w:r w:rsidRPr="00473CC9">
        <w:rPr>
          <w:rStyle w:val="Hyperlink"/>
          <w:rFonts w:cs="Arial"/>
          <w:iCs/>
          <w:sz w:val="18"/>
          <w:szCs w:val="18"/>
        </w:rPr>
        <w:t>PharmFactsMA@Conduent.com</w:t>
      </w:r>
    </w:hyperlink>
    <w:r>
      <w:rPr>
        <w:rFonts w:cs="Arial"/>
        <w:iCs/>
        <w:sz w:val="18"/>
        <w:szCs w:val="18"/>
      </w:rPr>
      <w:t>.</w:t>
    </w:r>
    <w:r w:rsidRPr="00D11DC6">
      <w:rPr>
        <w:rFonts w:cs="Arial"/>
        <w:iCs/>
        <w:sz w:val="18"/>
        <w:szCs w:val="18"/>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F0CE2" w14:textId="77777777" w:rsidR="00FE5811" w:rsidRDefault="00FE5811" w:rsidP="00FE5811">
    <w:pPr>
      <w:pBdr>
        <w:top w:val="single" w:sz="18" w:space="1" w:color="auto"/>
      </w:pBdr>
      <w:tabs>
        <w:tab w:val="left" w:pos="-90"/>
        <w:tab w:val="left" w:pos="530"/>
        <w:tab w:val="center" w:pos="5400"/>
      </w:tabs>
      <w:autoSpaceDE w:val="0"/>
      <w:autoSpaceDN w:val="0"/>
      <w:adjustRightInd w:val="0"/>
      <w:jc w:val="center"/>
      <w:textAlignment w:val="baseline"/>
      <w:rPr>
        <w:rFonts w:cs="Arial"/>
        <w:iCs/>
        <w:sz w:val="18"/>
        <w:szCs w:val="18"/>
      </w:rPr>
    </w:pPr>
    <w:r>
      <w:rPr>
        <w:rFonts w:cs="Arial"/>
        <w:iCs/>
        <w:sz w:val="18"/>
        <w:szCs w:val="18"/>
      </w:rPr>
      <w:t>Please direct any</w:t>
    </w:r>
    <w:r w:rsidRPr="002D3600">
      <w:rPr>
        <w:rFonts w:cs="Arial"/>
        <w:iCs/>
        <w:sz w:val="18"/>
        <w:szCs w:val="18"/>
      </w:rPr>
      <w:t xml:space="preserve"> questions or comments</w:t>
    </w:r>
    <w:r>
      <w:rPr>
        <w:rFonts w:cs="Arial"/>
        <w:iCs/>
        <w:sz w:val="18"/>
        <w:szCs w:val="18"/>
      </w:rPr>
      <w:t xml:space="preserve"> (or </w:t>
    </w:r>
    <w:r w:rsidRPr="002D3600">
      <w:rPr>
        <w:rFonts w:cs="Arial"/>
        <w:iCs/>
        <w:sz w:val="18"/>
        <w:szCs w:val="18"/>
      </w:rPr>
      <w:t>to be removed from this fax distribution</w:t>
    </w:r>
    <w:r>
      <w:rPr>
        <w:rFonts w:cs="Arial"/>
        <w:iCs/>
        <w:sz w:val="18"/>
        <w:szCs w:val="18"/>
      </w:rPr>
      <w:t>)</w:t>
    </w:r>
    <w:r w:rsidRPr="002D3600">
      <w:rPr>
        <w:rFonts w:cs="Arial"/>
        <w:iCs/>
        <w:sz w:val="18"/>
        <w:szCs w:val="18"/>
      </w:rPr>
      <w:t xml:space="preserve"> </w:t>
    </w:r>
    <w:r>
      <w:rPr>
        <w:rFonts w:cs="Arial"/>
        <w:iCs/>
        <w:sz w:val="18"/>
        <w:szCs w:val="18"/>
      </w:rPr>
      <w:t>to</w:t>
    </w:r>
  </w:p>
  <w:p w14:paraId="080F3C14" w14:textId="0F4FAACF" w:rsidR="00637A67" w:rsidRPr="00FE5811" w:rsidRDefault="00FE5811" w:rsidP="00FE5811">
    <w:pPr>
      <w:tabs>
        <w:tab w:val="left" w:pos="-90"/>
      </w:tabs>
      <w:autoSpaceDE w:val="0"/>
      <w:autoSpaceDN w:val="0"/>
      <w:adjustRightInd w:val="0"/>
      <w:jc w:val="center"/>
      <w:textAlignment w:val="baseline"/>
    </w:pPr>
    <w:hyperlink r:id="rId1" w:history="1">
      <w:r w:rsidRPr="00386AF8">
        <w:rPr>
          <w:rStyle w:val="Hyperlink"/>
          <w:rFonts w:cs="Arial"/>
          <w:iCs/>
          <w:sz w:val="18"/>
          <w:szCs w:val="18"/>
        </w:rPr>
        <w:t>PharmFactsMA@Conduent.com</w:t>
      </w:r>
    </w:hyperlink>
    <w:r>
      <w:rPr>
        <w:rFonts w:cs="Arial"/>
        <w:iC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CAEB1" w14:textId="77777777" w:rsidR="00635BAA" w:rsidRDefault="00635BAA" w:rsidP="00492602">
      <w:r>
        <w:separator/>
      </w:r>
    </w:p>
  </w:footnote>
  <w:footnote w:type="continuationSeparator" w:id="0">
    <w:p w14:paraId="54768F81" w14:textId="77777777" w:rsidR="00635BAA" w:rsidRDefault="00635BAA" w:rsidP="00492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A8F4F" w14:textId="77777777" w:rsidR="00B56E48" w:rsidRDefault="00B56E48" w:rsidP="00B56E48">
    <w:pPr>
      <w:pStyle w:val="Default"/>
      <w:pBdr>
        <w:bottom w:val="single" w:sz="18" w:space="1" w:color="auto"/>
      </w:pBdr>
      <w:tabs>
        <w:tab w:val="right" w:pos="10440"/>
      </w:tabs>
      <w:spacing w:after="240"/>
      <w:rPr>
        <w:sz w:val="18"/>
        <w:szCs w:val="18"/>
      </w:rPr>
    </w:pPr>
  </w:p>
  <w:p w14:paraId="68688318" w14:textId="77777777" w:rsidR="00B56E48" w:rsidRPr="00B56E48" w:rsidRDefault="00B56E48" w:rsidP="00B56E48">
    <w:pPr>
      <w:pStyle w:val="Default"/>
      <w:pBdr>
        <w:bottom w:val="single" w:sz="18" w:space="1" w:color="auto"/>
      </w:pBdr>
      <w:tabs>
        <w:tab w:val="right" w:pos="10440"/>
      </w:tabs>
      <w:spacing w:after="240"/>
      <w:rPr>
        <w:color w:val="FF0000"/>
        <w:sz w:val="18"/>
        <w:szCs w:val="18"/>
      </w:rPr>
    </w:pPr>
    <w:r w:rsidRPr="008852A8">
      <w:rPr>
        <w:sz w:val="18"/>
        <w:szCs w:val="18"/>
      </w:rPr>
      <w:t xml:space="preserve">Pharmacy Facts, Number </w:t>
    </w:r>
    <w:r w:rsidRPr="008852A8">
      <w:rPr>
        <w:color w:val="auto"/>
        <w:sz w:val="18"/>
        <w:szCs w:val="18"/>
      </w:rPr>
      <w:t>27</w:t>
    </w:r>
    <w:r>
      <w:rPr>
        <w:color w:val="auto"/>
        <w:sz w:val="18"/>
        <w:szCs w:val="18"/>
      </w:rPr>
      <w:t>8</w:t>
    </w:r>
    <w:r w:rsidRPr="008852A8">
      <w:rPr>
        <w:color w:val="auto"/>
        <w:sz w:val="18"/>
        <w:szCs w:val="18"/>
      </w:rPr>
      <w:t xml:space="preserve">                                                                                                   Page </w:t>
    </w:r>
    <w:r w:rsidRPr="008852A8">
      <w:rPr>
        <w:color w:val="auto"/>
        <w:sz w:val="18"/>
        <w:szCs w:val="18"/>
      </w:rPr>
      <w:fldChar w:fldCharType="begin"/>
    </w:r>
    <w:r w:rsidRPr="008852A8">
      <w:rPr>
        <w:color w:val="auto"/>
        <w:sz w:val="18"/>
        <w:szCs w:val="18"/>
      </w:rPr>
      <w:instrText xml:space="preserve"> PAGE   \* MERGEFORMAT </w:instrText>
    </w:r>
    <w:r w:rsidRPr="008852A8">
      <w:rPr>
        <w:color w:val="auto"/>
        <w:sz w:val="18"/>
        <w:szCs w:val="18"/>
      </w:rPr>
      <w:fldChar w:fldCharType="separate"/>
    </w:r>
    <w:r>
      <w:rPr>
        <w:sz w:val="18"/>
        <w:szCs w:val="18"/>
      </w:rPr>
      <w:t>2</w:t>
    </w:r>
    <w:r w:rsidRPr="008852A8">
      <w:rPr>
        <w:noProof/>
        <w:color w:val="auto"/>
        <w:sz w:val="18"/>
        <w:szCs w:val="18"/>
      </w:rPr>
      <w:fldChar w:fldCharType="end"/>
    </w:r>
    <w:r w:rsidRPr="008852A8">
      <w:rPr>
        <w:noProof/>
        <w:color w:val="auto"/>
        <w:sz w:val="18"/>
        <w:szCs w:val="18"/>
      </w:rPr>
      <w:t xml:space="preserve"> of </w:t>
    </w:r>
    <w:r>
      <w:rPr>
        <w:noProof/>
        <w:color w:val="auto"/>
        <w:sz w:val="18"/>
        <w:szCs w:val="18"/>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DEDF9" w14:textId="77777777" w:rsidR="00492602" w:rsidRDefault="00492602" w:rsidP="006D3B5F">
    <w:pPr>
      <w:pStyle w:val="Default"/>
      <w:pBdr>
        <w:bottom w:val="single" w:sz="18" w:space="1" w:color="auto"/>
      </w:pBdr>
      <w:tabs>
        <w:tab w:val="right" w:pos="10440"/>
      </w:tabs>
      <w:spacing w:after="240"/>
      <w:rPr>
        <w:color w:val="FF0000"/>
        <w:sz w:val="18"/>
        <w:szCs w:val="18"/>
      </w:rPr>
    </w:pPr>
    <w:r w:rsidRPr="00AD18B8">
      <w:rPr>
        <w:sz w:val="18"/>
        <w:szCs w:val="18"/>
      </w:rPr>
      <w:t>P</w:t>
    </w:r>
    <w:r>
      <w:rPr>
        <w:sz w:val="18"/>
        <w:szCs w:val="18"/>
      </w:rPr>
      <w:t xml:space="preserve">harmacy Facts, Number </w:t>
    </w:r>
    <w:r w:rsidR="008474A5" w:rsidRPr="008474A5">
      <w:rPr>
        <w:color w:val="FF0000"/>
        <w:sz w:val="18"/>
        <w:szCs w:val="18"/>
      </w:rPr>
      <w:t>[xxx]</w:t>
    </w:r>
    <w:r>
      <w:rPr>
        <w:color w:val="FF0000"/>
        <w:sz w:val="18"/>
        <w:szCs w:val="18"/>
      </w:rPr>
      <w:tab/>
    </w:r>
    <w:r w:rsidRPr="00EC1948">
      <w:rPr>
        <w:color w:val="auto"/>
        <w:sz w:val="18"/>
        <w:szCs w:val="18"/>
      </w:rPr>
      <w:t xml:space="preserve">Page </w:t>
    </w:r>
    <w:r w:rsidR="005A57BA" w:rsidRPr="00EC1948">
      <w:rPr>
        <w:color w:val="auto"/>
        <w:sz w:val="18"/>
        <w:szCs w:val="18"/>
      </w:rPr>
      <w:fldChar w:fldCharType="begin"/>
    </w:r>
    <w:r w:rsidR="005A57BA" w:rsidRPr="00EC1948">
      <w:rPr>
        <w:color w:val="auto"/>
        <w:sz w:val="18"/>
        <w:szCs w:val="18"/>
      </w:rPr>
      <w:instrText xml:space="preserve"> PAGE   \* MERGEFORMAT </w:instrText>
    </w:r>
    <w:r w:rsidR="005A57BA" w:rsidRPr="00EC1948">
      <w:rPr>
        <w:color w:val="auto"/>
        <w:sz w:val="18"/>
        <w:szCs w:val="18"/>
      </w:rPr>
      <w:fldChar w:fldCharType="separate"/>
    </w:r>
    <w:r w:rsidR="001378CB">
      <w:rPr>
        <w:noProof/>
        <w:color w:val="auto"/>
        <w:sz w:val="18"/>
        <w:szCs w:val="18"/>
      </w:rPr>
      <w:t>2</w:t>
    </w:r>
    <w:r w:rsidR="005A57BA" w:rsidRPr="00EC1948">
      <w:rPr>
        <w:noProof/>
        <w:color w:val="auto"/>
        <w:sz w:val="18"/>
        <w:szCs w:val="18"/>
      </w:rPr>
      <w:fldChar w:fldCharType="end"/>
    </w:r>
    <w:r w:rsidR="005A57BA" w:rsidRPr="00EC1948">
      <w:rPr>
        <w:noProof/>
        <w:color w:val="auto"/>
        <w:sz w:val="18"/>
        <w:szCs w:val="18"/>
      </w:rPr>
      <w:t xml:space="preserve"> of </w:t>
    </w:r>
    <w:r w:rsidR="00375713">
      <w:rPr>
        <w:noProof/>
        <w:color w:val="auto"/>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5748"/>
    <w:multiLevelType w:val="hybridMultilevel"/>
    <w:tmpl w:val="815E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40758"/>
    <w:multiLevelType w:val="hybridMultilevel"/>
    <w:tmpl w:val="BE52F18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FEB6E0A"/>
    <w:multiLevelType w:val="hybridMultilevel"/>
    <w:tmpl w:val="1714C2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1982499"/>
    <w:multiLevelType w:val="hybridMultilevel"/>
    <w:tmpl w:val="8B5AA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1608BA"/>
    <w:multiLevelType w:val="hybridMultilevel"/>
    <w:tmpl w:val="DA8259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DF7073"/>
    <w:multiLevelType w:val="hybridMultilevel"/>
    <w:tmpl w:val="5D304C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F1C32E7"/>
    <w:multiLevelType w:val="hybridMultilevel"/>
    <w:tmpl w:val="A04AB496"/>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88255C"/>
    <w:multiLevelType w:val="hybridMultilevel"/>
    <w:tmpl w:val="DB5258FC"/>
    <w:lvl w:ilvl="0" w:tplc="43FCA314">
      <w:start w:val="1"/>
      <w:numFmt w:val="lowerLetter"/>
      <w:pStyle w:val="Numberedlist"/>
      <w:lvlText w:val="%1."/>
      <w:lvlJc w:val="left"/>
      <w:pPr>
        <w:ind w:left="1080" w:hanging="360"/>
      </w:pPr>
      <w:rPr>
        <w:rFonts w:hint="default"/>
      </w:rPr>
    </w:lvl>
    <w:lvl w:ilvl="1" w:tplc="6D74651E">
      <w:start w:val="1"/>
      <w:numFmt w:val="bullet"/>
      <w:lvlText w:val=""/>
      <w:lvlJc w:val="left"/>
      <w:pPr>
        <w:ind w:left="144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101D2D"/>
    <w:multiLevelType w:val="hybridMultilevel"/>
    <w:tmpl w:val="458A4820"/>
    <w:lvl w:ilvl="0" w:tplc="6FF2F14A">
      <w:start w:val="1"/>
      <w:numFmt w:val="lowerLetter"/>
      <w:lvlText w:val="%1."/>
      <w:lvlJc w:val="left"/>
      <w:pPr>
        <w:ind w:left="720" w:hanging="360"/>
      </w:pPr>
      <w:rPr>
        <w:rFonts w:ascii="Arial" w:eastAsiaTheme="minorHAnsi" w:hAnsi="Arial" w:cs="Arial"/>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632898"/>
    <w:multiLevelType w:val="hybridMultilevel"/>
    <w:tmpl w:val="F05A61BA"/>
    <w:lvl w:ilvl="0" w:tplc="8020DB58">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1BC0F66"/>
    <w:multiLevelType w:val="hybridMultilevel"/>
    <w:tmpl w:val="1DA6E372"/>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617136B"/>
    <w:multiLevelType w:val="hybridMultilevel"/>
    <w:tmpl w:val="7744C8A4"/>
    <w:lvl w:ilvl="0" w:tplc="F26CBC30">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491F7C70"/>
    <w:multiLevelType w:val="hybridMultilevel"/>
    <w:tmpl w:val="2A00940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ACC2FEB"/>
    <w:multiLevelType w:val="hybridMultilevel"/>
    <w:tmpl w:val="2DA09A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D172F54"/>
    <w:multiLevelType w:val="hybridMultilevel"/>
    <w:tmpl w:val="43CC5AA4"/>
    <w:lvl w:ilvl="0" w:tplc="FFFFFFFF">
      <w:start w:val="1"/>
      <w:numFmt w:val="lowerLetter"/>
      <w:lvlText w:val="%1."/>
      <w:lvlJc w:val="left"/>
      <w:pPr>
        <w:ind w:left="720" w:hanging="360"/>
      </w:p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4E861E34"/>
    <w:multiLevelType w:val="hybridMultilevel"/>
    <w:tmpl w:val="12F0E11C"/>
    <w:lvl w:ilvl="0" w:tplc="FFFFFFFF">
      <w:start w:val="1"/>
      <w:numFmt w:val="lowerLetter"/>
      <w:lvlText w:val="%1."/>
      <w:lvlJc w:val="left"/>
      <w:pPr>
        <w:ind w:left="720" w:hanging="360"/>
      </w:p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54616417"/>
    <w:multiLevelType w:val="hybridMultilevel"/>
    <w:tmpl w:val="3C1EC3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2F132B"/>
    <w:multiLevelType w:val="hybridMultilevel"/>
    <w:tmpl w:val="DCD45CE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91374B5"/>
    <w:multiLevelType w:val="hybridMultilevel"/>
    <w:tmpl w:val="59EE6934"/>
    <w:lvl w:ilvl="0" w:tplc="6D74651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7C7384"/>
    <w:multiLevelType w:val="hybridMultilevel"/>
    <w:tmpl w:val="99609AF0"/>
    <w:lvl w:ilvl="0" w:tplc="781C6C4A">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63E351B7"/>
    <w:multiLevelType w:val="hybridMultilevel"/>
    <w:tmpl w:val="3EF6E12E"/>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643D49B6"/>
    <w:multiLevelType w:val="hybridMultilevel"/>
    <w:tmpl w:val="B4BAD6FE"/>
    <w:lvl w:ilvl="0" w:tplc="AA7CEF94">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2164E8"/>
    <w:multiLevelType w:val="hybridMultilevel"/>
    <w:tmpl w:val="C5108938"/>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15:restartNumberingAfterBreak="0">
    <w:nsid w:val="6C0C5364"/>
    <w:multiLevelType w:val="hybridMultilevel"/>
    <w:tmpl w:val="AA5AE920"/>
    <w:lvl w:ilvl="0" w:tplc="189C9A02">
      <w:start w:val="1"/>
      <w:numFmt w:val="bullet"/>
      <w:pStyle w:val="Bulletedlist"/>
      <w:lvlText w:val=""/>
      <w:lvlJc w:val="left"/>
      <w:pPr>
        <w:ind w:left="360" w:hanging="360"/>
      </w:pPr>
      <w:rPr>
        <w:rFonts w:ascii="Symbol" w:hAnsi="Symbol" w:hint="default"/>
        <w:b/>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6C2933E9"/>
    <w:multiLevelType w:val="hybridMultilevel"/>
    <w:tmpl w:val="6058879C"/>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FAA156C"/>
    <w:multiLevelType w:val="hybridMultilevel"/>
    <w:tmpl w:val="9C8C216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AC4BB8"/>
    <w:multiLevelType w:val="hybridMultilevel"/>
    <w:tmpl w:val="1AB28AAE"/>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AC09CA"/>
    <w:multiLevelType w:val="hybridMultilevel"/>
    <w:tmpl w:val="A24CDB18"/>
    <w:lvl w:ilvl="0" w:tplc="04090019">
      <w:start w:val="1"/>
      <w:numFmt w:val="lowerLetter"/>
      <w:lvlText w:val="%1."/>
      <w:lvlJc w:val="left"/>
      <w:pPr>
        <w:ind w:left="72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6237D44"/>
    <w:multiLevelType w:val="hybridMultilevel"/>
    <w:tmpl w:val="F3FA3D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F27707"/>
    <w:multiLevelType w:val="hybridMultilevel"/>
    <w:tmpl w:val="4880B8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1456482787">
    <w:abstractNumId w:val="11"/>
  </w:num>
  <w:num w:numId="2" w16cid:durableId="678387703">
    <w:abstractNumId w:val="18"/>
  </w:num>
  <w:num w:numId="3" w16cid:durableId="171258805">
    <w:abstractNumId w:val="24"/>
  </w:num>
  <w:num w:numId="4" w16cid:durableId="933971704">
    <w:abstractNumId w:val="7"/>
  </w:num>
  <w:num w:numId="5" w16cid:durableId="1146894553">
    <w:abstractNumId w:val="10"/>
  </w:num>
  <w:num w:numId="6" w16cid:durableId="1099835229">
    <w:abstractNumId w:val="17"/>
  </w:num>
  <w:num w:numId="7" w16cid:durableId="1091773746">
    <w:abstractNumId w:val="25"/>
  </w:num>
  <w:num w:numId="8" w16cid:durableId="775977178">
    <w:abstractNumId w:val="3"/>
  </w:num>
  <w:num w:numId="9" w16cid:durableId="1192911353">
    <w:abstractNumId w:val="0"/>
  </w:num>
  <w:num w:numId="10" w16cid:durableId="1998994280">
    <w:abstractNumId w:val="22"/>
  </w:num>
  <w:num w:numId="11" w16cid:durableId="77529562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2849363">
    <w:abstractNumId w:val="5"/>
  </w:num>
  <w:num w:numId="13" w16cid:durableId="489909912">
    <w:abstractNumId w:val="24"/>
  </w:num>
  <w:num w:numId="14" w16cid:durableId="1277714414">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63933419">
    <w:abstractNumId w:val="17"/>
  </w:num>
  <w:num w:numId="16" w16cid:durableId="1632830456">
    <w:abstractNumId w:val="19"/>
  </w:num>
  <w:num w:numId="17" w16cid:durableId="1271858877">
    <w:abstractNumId w:val="2"/>
  </w:num>
  <w:num w:numId="18" w16cid:durableId="12856954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5621985">
    <w:abstractNumId w:val="6"/>
  </w:num>
  <w:num w:numId="20" w16cid:durableId="155609916">
    <w:abstractNumId w:val="4"/>
  </w:num>
  <w:num w:numId="21" w16cid:durableId="749011242">
    <w:abstractNumId w:val="9"/>
  </w:num>
  <w:num w:numId="22" w16cid:durableId="2135520725">
    <w:abstractNumId w:val="26"/>
  </w:num>
  <w:num w:numId="23" w16cid:durableId="1269894124">
    <w:abstractNumId w:val="28"/>
  </w:num>
  <w:num w:numId="24" w16cid:durableId="1534229008">
    <w:abstractNumId w:val="16"/>
  </w:num>
  <w:num w:numId="25" w16cid:durableId="480999597">
    <w:abstractNumId w:val="23"/>
  </w:num>
  <w:num w:numId="26" w16cid:durableId="1484080441">
    <w:abstractNumId w:val="7"/>
    <w:lvlOverride w:ilvl="0">
      <w:startOverride w:val="1"/>
    </w:lvlOverride>
  </w:num>
  <w:num w:numId="27" w16cid:durableId="339738625">
    <w:abstractNumId w:val="7"/>
  </w:num>
  <w:num w:numId="28" w16cid:durableId="337193572">
    <w:abstractNumId w:val="8"/>
  </w:num>
  <w:num w:numId="29" w16cid:durableId="552739578">
    <w:abstractNumId w:val="1"/>
  </w:num>
  <w:num w:numId="30" w16cid:durableId="373234596">
    <w:abstractNumId w:val="15"/>
  </w:num>
  <w:num w:numId="31" w16cid:durableId="544561988">
    <w:abstractNumId w:val="13"/>
  </w:num>
  <w:num w:numId="32" w16cid:durableId="661933519">
    <w:abstractNumId w:val="18"/>
  </w:num>
  <w:num w:numId="33" w16cid:durableId="199251375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9508407">
    <w:abstractNumId w:val="29"/>
  </w:num>
  <w:num w:numId="35" w16cid:durableId="13941636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04220024">
    <w:abstractNumId w:val="17"/>
  </w:num>
  <w:num w:numId="37" w16cid:durableId="638072038">
    <w:abstractNumId w:val="19"/>
  </w:num>
  <w:num w:numId="38" w16cid:durableId="2123183726">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56369601">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6294307">
    <w:abstractNumId w:val="18"/>
  </w:num>
  <w:num w:numId="41" w16cid:durableId="185553803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2706531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58970678">
    <w:abstractNumId w:val="29"/>
  </w:num>
  <w:num w:numId="44" w16cid:durableId="3158436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05462387">
    <w:abstractNumId w:val="17"/>
  </w:num>
  <w:num w:numId="46" w16cid:durableId="742600814">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27056336">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7260249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39"/>
    <w:rsid w:val="0002450C"/>
    <w:rsid w:val="00037CC5"/>
    <w:rsid w:val="00054839"/>
    <w:rsid w:val="00061F50"/>
    <w:rsid w:val="000658A5"/>
    <w:rsid w:val="000713D3"/>
    <w:rsid w:val="00074014"/>
    <w:rsid w:val="00074716"/>
    <w:rsid w:val="00081E8E"/>
    <w:rsid w:val="000A622F"/>
    <w:rsid w:val="000A6318"/>
    <w:rsid w:val="000D1502"/>
    <w:rsid w:val="00102EDF"/>
    <w:rsid w:val="00123D58"/>
    <w:rsid w:val="00124EAA"/>
    <w:rsid w:val="0012682D"/>
    <w:rsid w:val="001378CB"/>
    <w:rsid w:val="00137D3D"/>
    <w:rsid w:val="00140D08"/>
    <w:rsid w:val="00147437"/>
    <w:rsid w:val="00157A49"/>
    <w:rsid w:val="00171445"/>
    <w:rsid w:val="001721D8"/>
    <w:rsid w:val="0018357E"/>
    <w:rsid w:val="001864A9"/>
    <w:rsid w:val="001924D3"/>
    <w:rsid w:val="001A125B"/>
    <w:rsid w:val="001C1481"/>
    <w:rsid w:val="001C6362"/>
    <w:rsid w:val="001E779F"/>
    <w:rsid w:val="001F6F0B"/>
    <w:rsid w:val="0020343D"/>
    <w:rsid w:val="0021214A"/>
    <w:rsid w:val="00212477"/>
    <w:rsid w:val="00212622"/>
    <w:rsid w:val="002275AE"/>
    <w:rsid w:val="002509E9"/>
    <w:rsid w:val="00267FBD"/>
    <w:rsid w:val="00274F3E"/>
    <w:rsid w:val="00276F3A"/>
    <w:rsid w:val="00286CBE"/>
    <w:rsid w:val="00291397"/>
    <w:rsid w:val="002C7C67"/>
    <w:rsid w:val="002D390F"/>
    <w:rsid w:val="002D575F"/>
    <w:rsid w:val="002D738C"/>
    <w:rsid w:val="002E2F9E"/>
    <w:rsid w:val="002F459B"/>
    <w:rsid w:val="003152DA"/>
    <w:rsid w:val="003240F1"/>
    <w:rsid w:val="0033053B"/>
    <w:rsid w:val="00332874"/>
    <w:rsid w:val="00344247"/>
    <w:rsid w:val="00345DC5"/>
    <w:rsid w:val="00351497"/>
    <w:rsid w:val="00354588"/>
    <w:rsid w:val="00360067"/>
    <w:rsid w:val="00361733"/>
    <w:rsid w:val="0036343A"/>
    <w:rsid w:val="00372195"/>
    <w:rsid w:val="0037373E"/>
    <w:rsid w:val="00375713"/>
    <w:rsid w:val="00382054"/>
    <w:rsid w:val="003911FC"/>
    <w:rsid w:val="003949A9"/>
    <w:rsid w:val="003B6839"/>
    <w:rsid w:val="003C45A1"/>
    <w:rsid w:val="003D3B27"/>
    <w:rsid w:val="003D7A5F"/>
    <w:rsid w:val="003F533B"/>
    <w:rsid w:val="004233B0"/>
    <w:rsid w:val="0044019B"/>
    <w:rsid w:val="00447A5F"/>
    <w:rsid w:val="004555D9"/>
    <w:rsid w:val="00456B5A"/>
    <w:rsid w:val="00457528"/>
    <w:rsid w:val="004664D3"/>
    <w:rsid w:val="0047798D"/>
    <w:rsid w:val="00490561"/>
    <w:rsid w:val="00492602"/>
    <w:rsid w:val="0049423D"/>
    <w:rsid w:val="00494D38"/>
    <w:rsid w:val="004A3BAA"/>
    <w:rsid w:val="004A7395"/>
    <w:rsid w:val="004C1DAD"/>
    <w:rsid w:val="004D1BC7"/>
    <w:rsid w:val="004D20D7"/>
    <w:rsid w:val="004D79B2"/>
    <w:rsid w:val="004E2B38"/>
    <w:rsid w:val="004F5506"/>
    <w:rsid w:val="004F5612"/>
    <w:rsid w:val="005052D9"/>
    <w:rsid w:val="00516394"/>
    <w:rsid w:val="005201F1"/>
    <w:rsid w:val="0052118E"/>
    <w:rsid w:val="00527553"/>
    <w:rsid w:val="00527F95"/>
    <w:rsid w:val="005314A6"/>
    <w:rsid w:val="005502E1"/>
    <w:rsid w:val="0055514F"/>
    <w:rsid w:val="0056481B"/>
    <w:rsid w:val="0057156C"/>
    <w:rsid w:val="00571898"/>
    <w:rsid w:val="00574ECE"/>
    <w:rsid w:val="00574F07"/>
    <w:rsid w:val="0057528C"/>
    <w:rsid w:val="00581E50"/>
    <w:rsid w:val="005835F0"/>
    <w:rsid w:val="005842A0"/>
    <w:rsid w:val="005958DD"/>
    <w:rsid w:val="005A57BA"/>
    <w:rsid w:val="005B15B3"/>
    <w:rsid w:val="005B3002"/>
    <w:rsid w:val="005D723D"/>
    <w:rsid w:val="005E3688"/>
    <w:rsid w:val="005F2371"/>
    <w:rsid w:val="006167FE"/>
    <w:rsid w:val="00623469"/>
    <w:rsid w:val="00634C49"/>
    <w:rsid w:val="00635BAA"/>
    <w:rsid w:val="00637A67"/>
    <w:rsid w:val="00644AAF"/>
    <w:rsid w:val="00650095"/>
    <w:rsid w:val="00651CA7"/>
    <w:rsid w:val="00656A01"/>
    <w:rsid w:val="00657D21"/>
    <w:rsid w:val="006615EC"/>
    <w:rsid w:val="006640F7"/>
    <w:rsid w:val="00665EB7"/>
    <w:rsid w:val="00666597"/>
    <w:rsid w:val="00673F96"/>
    <w:rsid w:val="00674418"/>
    <w:rsid w:val="00674428"/>
    <w:rsid w:val="006753A6"/>
    <w:rsid w:val="00686C26"/>
    <w:rsid w:val="00690023"/>
    <w:rsid w:val="00696C12"/>
    <w:rsid w:val="00696F48"/>
    <w:rsid w:val="0069772F"/>
    <w:rsid w:val="006A1AD3"/>
    <w:rsid w:val="006A767B"/>
    <w:rsid w:val="006A7D28"/>
    <w:rsid w:val="006D3B5F"/>
    <w:rsid w:val="006E0C20"/>
    <w:rsid w:val="006E22A3"/>
    <w:rsid w:val="006E2C41"/>
    <w:rsid w:val="006F35F9"/>
    <w:rsid w:val="00705200"/>
    <w:rsid w:val="00721C37"/>
    <w:rsid w:val="007319D7"/>
    <w:rsid w:val="00731FAF"/>
    <w:rsid w:val="00740CF9"/>
    <w:rsid w:val="007426BF"/>
    <w:rsid w:val="00760FDF"/>
    <w:rsid w:val="00761F02"/>
    <w:rsid w:val="00763358"/>
    <w:rsid w:val="007757E7"/>
    <w:rsid w:val="00781D3B"/>
    <w:rsid w:val="007A038A"/>
    <w:rsid w:val="007A41F5"/>
    <w:rsid w:val="007B2F2D"/>
    <w:rsid w:val="007B33B4"/>
    <w:rsid w:val="007B4429"/>
    <w:rsid w:val="007B7425"/>
    <w:rsid w:val="007B7FC3"/>
    <w:rsid w:val="007F5417"/>
    <w:rsid w:val="00804116"/>
    <w:rsid w:val="00812480"/>
    <w:rsid w:val="00816C8D"/>
    <w:rsid w:val="00816CE2"/>
    <w:rsid w:val="00821937"/>
    <w:rsid w:val="008340D0"/>
    <w:rsid w:val="008403CA"/>
    <w:rsid w:val="008474A5"/>
    <w:rsid w:val="0085395A"/>
    <w:rsid w:val="00853F8E"/>
    <w:rsid w:val="0086142C"/>
    <w:rsid w:val="00870F52"/>
    <w:rsid w:val="00872E7F"/>
    <w:rsid w:val="00880FA9"/>
    <w:rsid w:val="008930F1"/>
    <w:rsid w:val="00893F45"/>
    <w:rsid w:val="008C1341"/>
    <w:rsid w:val="008C5414"/>
    <w:rsid w:val="008C66D8"/>
    <w:rsid w:val="008E4B33"/>
    <w:rsid w:val="008F0130"/>
    <w:rsid w:val="008F2E4C"/>
    <w:rsid w:val="00905C46"/>
    <w:rsid w:val="00906EEC"/>
    <w:rsid w:val="009166DF"/>
    <w:rsid w:val="009204C7"/>
    <w:rsid w:val="00922030"/>
    <w:rsid w:val="00932FD3"/>
    <w:rsid w:val="009365C7"/>
    <w:rsid w:val="00937424"/>
    <w:rsid w:val="0094076D"/>
    <w:rsid w:val="00941258"/>
    <w:rsid w:val="00942245"/>
    <w:rsid w:val="00944B84"/>
    <w:rsid w:val="00956812"/>
    <w:rsid w:val="0095770E"/>
    <w:rsid w:val="0096296C"/>
    <w:rsid w:val="009725E5"/>
    <w:rsid w:val="009742E7"/>
    <w:rsid w:val="00974CFD"/>
    <w:rsid w:val="00981567"/>
    <w:rsid w:val="009B5AD2"/>
    <w:rsid w:val="009C0B43"/>
    <w:rsid w:val="009C3981"/>
    <w:rsid w:val="009C46AB"/>
    <w:rsid w:val="009D1341"/>
    <w:rsid w:val="009D6D73"/>
    <w:rsid w:val="009D79C6"/>
    <w:rsid w:val="009E583B"/>
    <w:rsid w:val="009F0440"/>
    <w:rsid w:val="009F0526"/>
    <w:rsid w:val="00A01DE3"/>
    <w:rsid w:val="00A06542"/>
    <w:rsid w:val="00A079FC"/>
    <w:rsid w:val="00A11371"/>
    <w:rsid w:val="00A120E1"/>
    <w:rsid w:val="00A2577C"/>
    <w:rsid w:val="00A31FAA"/>
    <w:rsid w:val="00A343A9"/>
    <w:rsid w:val="00A4007E"/>
    <w:rsid w:val="00A5239C"/>
    <w:rsid w:val="00A571F6"/>
    <w:rsid w:val="00A650DC"/>
    <w:rsid w:val="00A6764A"/>
    <w:rsid w:val="00A82AD5"/>
    <w:rsid w:val="00A84255"/>
    <w:rsid w:val="00A853D9"/>
    <w:rsid w:val="00A92226"/>
    <w:rsid w:val="00AC1AC7"/>
    <w:rsid w:val="00AD18B8"/>
    <w:rsid w:val="00AD33D5"/>
    <w:rsid w:val="00AE21FC"/>
    <w:rsid w:val="00B01BAA"/>
    <w:rsid w:val="00B05470"/>
    <w:rsid w:val="00B07BD7"/>
    <w:rsid w:val="00B10600"/>
    <w:rsid w:val="00B11497"/>
    <w:rsid w:val="00B13AA5"/>
    <w:rsid w:val="00B219CA"/>
    <w:rsid w:val="00B3099B"/>
    <w:rsid w:val="00B40A71"/>
    <w:rsid w:val="00B45236"/>
    <w:rsid w:val="00B503C7"/>
    <w:rsid w:val="00B54AB5"/>
    <w:rsid w:val="00B56E48"/>
    <w:rsid w:val="00B645C9"/>
    <w:rsid w:val="00B86F04"/>
    <w:rsid w:val="00B9006F"/>
    <w:rsid w:val="00B92C96"/>
    <w:rsid w:val="00BA64D7"/>
    <w:rsid w:val="00BA68F0"/>
    <w:rsid w:val="00BB185B"/>
    <w:rsid w:val="00BB73D4"/>
    <w:rsid w:val="00BD08CA"/>
    <w:rsid w:val="00BE0808"/>
    <w:rsid w:val="00BF0DF4"/>
    <w:rsid w:val="00C00CF2"/>
    <w:rsid w:val="00C15672"/>
    <w:rsid w:val="00C21680"/>
    <w:rsid w:val="00C24EF5"/>
    <w:rsid w:val="00C304E6"/>
    <w:rsid w:val="00C31421"/>
    <w:rsid w:val="00C33753"/>
    <w:rsid w:val="00C34E50"/>
    <w:rsid w:val="00C35B94"/>
    <w:rsid w:val="00C37DFB"/>
    <w:rsid w:val="00C50DA3"/>
    <w:rsid w:val="00C559C9"/>
    <w:rsid w:val="00C82FA4"/>
    <w:rsid w:val="00C91431"/>
    <w:rsid w:val="00CA0669"/>
    <w:rsid w:val="00CA1E7C"/>
    <w:rsid w:val="00CB0030"/>
    <w:rsid w:val="00CB7521"/>
    <w:rsid w:val="00CC57AC"/>
    <w:rsid w:val="00CC776C"/>
    <w:rsid w:val="00CD6D68"/>
    <w:rsid w:val="00CE6D58"/>
    <w:rsid w:val="00CF2057"/>
    <w:rsid w:val="00CF4730"/>
    <w:rsid w:val="00D0584B"/>
    <w:rsid w:val="00D2695E"/>
    <w:rsid w:val="00D450C8"/>
    <w:rsid w:val="00D521FA"/>
    <w:rsid w:val="00D66801"/>
    <w:rsid w:val="00D67F8C"/>
    <w:rsid w:val="00D76C6E"/>
    <w:rsid w:val="00D775E6"/>
    <w:rsid w:val="00D779F2"/>
    <w:rsid w:val="00D81121"/>
    <w:rsid w:val="00D939D0"/>
    <w:rsid w:val="00DA6A55"/>
    <w:rsid w:val="00DB423E"/>
    <w:rsid w:val="00DE00CF"/>
    <w:rsid w:val="00DE11BB"/>
    <w:rsid w:val="00DF73DB"/>
    <w:rsid w:val="00E06F7D"/>
    <w:rsid w:val="00E24139"/>
    <w:rsid w:val="00E336D0"/>
    <w:rsid w:val="00E3616D"/>
    <w:rsid w:val="00E50862"/>
    <w:rsid w:val="00E60ABB"/>
    <w:rsid w:val="00E61251"/>
    <w:rsid w:val="00E62D91"/>
    <w:rsid w:val="00E67611"/>
    <w:rsid w:val="00E67713"/>
    <w:rsid w:val="00E72DFF"/>
    <w:rsid w:val="00E905E5"/>
    <w:rsid w:val="00E92E47"/>
    <w:rsid w:val="00E93C74"/>
    <w:rsid w:val="00E9576D"/>
    <w:rsid w:val="00EA3650"/>
    <w:rsid w:val="00EC08AC"/>
    <w:rsid w:val="00EC1948"/>
    <w:rsid w:val="00ED4639"/>
    <w:rsid w:val="00EE54D2"/>
    <w:rsid w:val="00EF7C8A"/>
    <w:rsid w:val="00F2514F"/>
    <w:rsid w:val="00F25E7F"/>
    <w:rsid w:val="00F274DE"/>
    <w:rsid w:val="00F3158E"/>
    <w:rsid w:val="00F6038A"/>
    <w:rsid w:val="00F643E6"/>
    <w:rsid w:val="00F710EF"/>
    <w:rsid w:val="00F76D69"/>
    <w:rsid w:val="00F9012C"/>
    <w:rsid w:val="00F9097E"/>
    <w:rsid w:val="00F93C6C"/>
    <w:rsid w:val="00F96E32"/>
    <w:rsid w:val="00F97C45"/>
    <w:rsid w:val="00FA5147"/>
    <w:rsid w:val="00FB0C11"/>
    <w:rsid w:val="00FB36AD"/>
    <w:rsid w:val="00FB5301"/>
    <w:rsid w:val="00FD4894"/>
    <w:rsid w:val="00FE5811"/>
    <w:rsid w:val="00FE6B9E"/>
    <w:rsid w:val="00FF2520"/>
    <w:rsid w:val="00FF40A0"/>
    <w:rsid w:val="00FF4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77CE9F"/>
  <w15:docId w15:val="{D84F4812-5AD1-4D51-AB40-B2DEF6793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40F7"/>
    <w:pPr>
      <w:spacing w:line="276" w:lineRule="auto"/>
    </w:pPr>
    <w:rPr>
      <w:rFonts w:ascii="Arial" w:hAnsi="Arial"/>
      <w:sz w:val="22"/>
      <w:szCs w:val="24"/>
    </w:rPr>
  </w:style>
  <w:style w:type="paragraph" w:styleId="Heading1">
    <w:name w:val="heading 1"/>
    <w:basedOn w:val="Header"/>
    <w:next w:val="Normal"/>
    <w:link w:val="Heading1Char"/>
    <w:qFormat/>
    <w:rsid w:val="006A767B"/>
    <w:pPr>
      <w:keepNext/>
      <w:keepLines/>
      <w:spacing w:before="240"/>
      <w:outlineLvl w:val="0"/>
    </w:pPr>
    <w:rPr>
      <w:rFonts w:ascii="Arial Black" w:eastAsiaTheme="majorEastAsia" w:hAnsi="Arial Black" w:cstheme="majorBidi"/>
      <w:sz w:val="28"/>
      <w:szCs w:val="32"/>
    </w:rPr>
  </w:style>
  <w:style w:type="paragraph" w:styleId="Heading2">
    <w:name w:val="heading 2"/>
    <w:basedOn w:val="Normal"/>
    <w:next w:val="Normal"/>
    <w:link w:val="Heading2Char"/>
    <w:unhideWhenUsed/>
    <w:qFormat/>
    <w:rsid w:val="00DF73DB"/>
    <w:pPr>
      <w:keepNext/>
      <w:keepLines/>
      <w:spacing w:before="160" w:after="120"/>
      <w:outlineLvl w:val="1"/>
    </w:pPr>
    <w:rPr>
      <w:rFonts w:ascii="Arial Black" w:eastAsiaTheme="majorEastAsia" w:hAnsi="Arial Black" w:cstheme="majorBidi"/>
      <w:szCs w:val="26"/>
    </w:rPr>
  </w:style>
  <w:style w:type="paragraph" w:styleId="Heading3">
    <w:name w:val="heading 3"/>
    <w:basedOn w:val="Normal"/>
    <w:next w:val="Normal"/>
    <w:link w:val="Heading3Char"/>
    <w:unhideWhenUsed/>
    <w:qFormat/>
    <w:rsid w:val="00DF73DB"/>
    <w:pPr>
      <w:keepNext/>
      <w:keepLines/>
      <w:spacing w:before="160" w:after="120"/>
      <w:outlineLvl w:val="2"/>
    </w:pPr>
    <w:rPr>
      <w:rFonts w:ascii="Arial Black" w:eastAsiaTheme="majorEastAsia" w:hAnsi="Arial Black"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cs="Arial"/>
      <w:color w:val="000000"/>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10">
    <w:name w:val="Body Text1"/>
    <w:basedOn w:val="Normal"/>
    <w:rsid w:val="00E50862"/>
    <w:pPr>
      <w:tabs>
        <w:tab w:val="left" w:pos="-90"/>
      </w:tabs>
      <w:autoSpaceDE w:val="0"/>
      <w:autoSpaceDN w:val="0"/>
      <w:adjustRightInd w:val="0"/>
      <w:spacing w:after="122" w:line="292" w:lineRule="atLeast"/>
    </w:pPr>
    <w:rPr>
      <w:rFonts w:cs="Arial"/>
      <w:color w:val="000000"/>
      <w:sz w:val="21"/>
      <w:szCs w:val="21"/>
    </w:rPr>
  </w:style>
  <w:style w:type="paragraph" w:styleId="ListParagraph">
    <w:name w:val="List Paragraph"/>
    <w:basedOn w:val="Normal"/>
    <w:uiPriority w:val="34"/>
    <w:qFormat/>
    <w:rsid w:val="00AD33D5"/>
    <w:pPr>
      <w:ind w:left="720"/>
    </w:pPr>
  </w:style>
  <w:style w:type="character" w:styleId="Hyperlink">
    <w:name w:val="Hyperlink"/>
    <w:basedOn w:val="DefaultParagraphFont"/>
    <w:unhideWhenUsed/>
    <w:rsid w:val="00FE5811"/>
    <w:rPr>
      <w:color w:val="0000FF" w:themeColor="hyperlink"/>
      <w:u w:val="single"/>
    </w:rPr>
  </w:style>
  <w:style w:type="character" w:customStyle="1" w:styleId="Heading1Char">
    <w:name w:val="Heading 1 Char"/>
    <w:basedOn w:val="DefaultParagraphFont"/>
    <w:link w:val="Heading1"/>
    <w:rsid w:val="006A767B"/>
    <w:rPr>
      <w:rFonts w:ascii="Arial Black" w:eastAsiaTheme="majorEastAsia" w:hAnsi="Arial Black" w:cstheme="majorBidi"/>
      <w:sz w:val="28"/>
      <w:szCs w:val="32"/>
    </w:rPr>
  </w:style>
  <w:style w:type="character" w:customStyle="1" w:styleId="Heading2Char">
    <w:name w:val="Heading 2 Char"/>
    <w:basedOn w:val="DefaultParagraphFont"/>
    <w:link w:val="Heading2"/>
    <w:rsid w:val="00DF73DB"/>
    <w:rPr>
      <w:rFonts w:ascii="Arial Black" w:eastAsiaTheme="majorEastAsia" w:hAnsi="Arial Black" w:cstheme="majorBidi"/>
      <w:sz w:val="24"/>
      <w:szCs w:val="26"/>
    </w:rPr>
  </w:style>
  <w:style w:type="character" w:customStyle="1" w:styleId="Heading3Char">
    <w:name w:val="Heading 3 Char"/>
    <w:basedOn w:val="DefaultParagraphFont"/>
    <w:link w:val="Heading3"/>
    <w:rsid w:val="00DF73DB"/>
    <w:rPr>
      <w:rFonts w:ascii="Arial Black" w:eastAsiaTheme="majorEastAsia" w:hAnsi="Arial Black" w:cstheme="majorBidi"/>
      <w:sz w:val="22"/>
      <w:szCs w:val="24"/>
    </w:rPr>
  </w:style>
  <w:style w:type="paragraph" w:customStyle="1" w:styleId="Bulletedlist">
    <w:name w:val="Bulleted list"/>
    <w:basedOn w:val="Normal"/>
    <w:link w:val="BulletedlistChar"/>
    <w:qFormat/>
    <w:rsid w:val="00A2577C"/>
    <w:pPr>
      <w:numPr>
        <w:numId w:val="25"/>
      </w:numPr>
      <w:ind w:left="720"/>
    </w:pPr>
    <w:rPr>
      <w:rFonts w:cs="Arial"/>
      <w:szCs w:val="22"/>
    </w:rPr>
  </w:style>
  <w:style w:type="character" w:customStyle="1" w:styleId="BulletedlistChar">
    <w:name w:val="Bulleted list Char"/>
    <w:basedOn w:val="DefaultParagraphFont"/>
    <w:link w:val="Bulletedlist"/>
    <w:rsid w:val="00A2577C"/>
    <w:rPr>
      <w:rFonts w:ascii="Arial" w:hAnsi="Arial" w:cs="Arial"/>
      <w:sz w:val="22"/>
      <w:szCs w:val="22"/>
    </w:rPr>
  </w:style>
  <w:style w:type="paragraph" w:customStyle="1" w:styleId="Numberedlist">
    <w:name w:val="Numbered list"/>
    <w:basedOn w:val="Normal"/>
    <w:link w:val="NumberedlistChar"/>
    <w:qFormat/>
    <w:rsid w:val="00C24EF5"/>
    <w:pPr>
      <w:numPr>
        <w:numId w:val="4"/>
      </w:numPr>
      <w:autoSpaceDE w:val="0"/>
      <w:autoSpaceDN w:val="0"/>
      <w:adjustRightInd w:val="0"/>
    </w:pPr>
    <w:rPr>
      <w:rFonts w:cs="Arial"/>
      <w:color w:val="000000"/>
      <w:lang w:val="fr-FR"/>
    </w:rPr>
  </w:style>
  <w:style w:type="character" w:customStyle="1" w:styleId="NumberedlistChar">
    <w:name w:val="Numbered list Char"/>
    <w:basedOn w:val="DefaultParagraphFont"/>
    <w:link w:val="Numberedlist"/>
    <w:rsid w:val="00C24EF5"/>
    <w:rPr>
      <w:rFonts w:ascii="Arial" w:hAnsi="Arial" w:cs="Arial"/>
      <w:color w:val="000000"/>
      <w:sz w:val="22"/>
      <w:szCs w:val="24"/>
      <w:lang w:val="fr-FR"/>
    </w:rPr>
  </w:style>
  <w:style w:type="paragraph" w:customStyle="1" w:styleId="subbullet">
    <w:name w:val="subbullet"/>
    <w:basedOn w:val="Bulletedlist"/>
    <w:link w:val="subbulletChar"/>
    <w:qFormat/>
    <w:rsid w:val="006A1AD3"/>
    <w:pPr>
      <w:ind w:left="1440"/>
    </w:pPr>
  </w:style>
  <w:style w:type="character" w:customStyle="1" w:styleId="subbulletChar">
    <w:name w:val="subbullet Char"/>
    <w:basedOn w:val="BulletedlistChar"/>
    <w:link w:val="subbullet"/>
    <w:rsid w:val="006A1AD3"/>
    <w:rPr>
      <w:rFonts w:ascii="Arial" w:hAnsi="Arial" w:cs="Arial"/>
      <w:sz w:val="22"/>
      <w:szCs w:val="22"/>
    </w:rPr>
  </w:style>
  <w:style w:type="paragraph" w:styleId="Revision">
    <w:name w:val="Revision"/>
    <w:hidden/>
    <w:uiPriority w:val="99"/>
    <w:semiHidden/>
    <w:rsid w:val="004E2B38"/>
    <w:rPr>
      <w:rFonts w:ascii="Arial" w:hAnsi="Arial"/>
      <w:sz w:val="22"/>
      <w:szCs w:val="24"/>
    </w:rPr>
  </w:style>
  <w:style w:type="character" w:styleId="FollowedHyperlink">
    <w:name w:val="FollowedHyperlink"/>
    <w:basedOn w:val="DefaultParagraphFont"/>
    <w:semiHidden/>
    <w:unhideWhenUsed/>
    <w:rsid w:val="005201F1"/>
    <w:rPr>
      <w:color w:val="800080" w:themeColor="followedHyperlink"/>
      <w:u w:val="single"/>
    </w:rPr>
  </w:style>
  <w:style w:type="character" w:styleId="UnresolvedMention">
    <w:name w:val="Unresolved Mention"/>
    <w:basedOn w:val="DefaultParagraphFont"/>
    <w:uiPriority w:val="99"/>
    <w:semiHidden/>
    <w:unhideWhenUsed/>
    <w:rsid w:val="00E905E5"/>
    <w:rPr>
      <w:color w:val="605E5C"/>
      <w:shd w:val="clear" w:color="auto" w:fill="E1DFDD"/>
    </w:rPr>
  </w:style>
  <w:style w:type="character" w:styleId="CommentReference">
    <w:name w:val="annotation reference"/>
    <w:basedOn w:val="DefaultParagraphFont"/>
    <w:semiHidden/>
    <w:unhideWhenUsed/>
    <w:rsid w:val="00BB73D4"/>
    <w:rPr>
      <w:sz w:val="16"/>
      <w:szCs w:val="16"/>
    </w:rPr>
  </w:style>
  <w:style w:type="paragraph" w:styleId="CommentText">
    <w:name w:val="annotation text"/>
    <w:basedOn w:val="Normal"/>
    <w:link w:val="CommentTextChar"/>
    <w:unhideWhenUsed/>
    <w:rsid w:val="00BB73D4"/>
    <w:pPr>
      <w:spacing w:line="240" w:lineRule="auto"/>
    </w:pPr>
    <w:rPr>
      <w:sz w:val="20"/>
      <w:szCs w:val="20"/>
    </w:rPr>
  </w:style>
  <w:style w:type="character" w:customStyle="1" w:styleId="CommentTextChar">
    <w:name w:val="Comment Text Char"/>
    <w:basedOn w:val="DefaultParagraphFont"/>
    <w:link w:val="CommentText"/>
    <w:rsid w:val="00BB73D4"/>
    <w:rPr>
      <w:rFonts w:ascii="Arial" w:hAnsi="Arial"/>
    </w:rPr>
  </w:style>
  <w:style w:type="paragraph" w:styleId="CommentSubject">
    <w:name w:val="annotation subject"/>
    <w:basedOn w:val="CommentText"/>
    <w:next w:val="CommentText"/>
    <w:link w:val="CommentSubjectChar"/>
    <w:semiHidden/>
    <w:unhideWhenUsed/>
    <w:rsid w:val="00BB73D4"/>
    <w:rPr>
      <w:b/>
      <w:bCs/>
    </w:rPr>
  </w:style>
  <w:style w:type="character" w:customStyle="1" w:styleId="CommentSubjectChar">
    <w:name w:val="Comment Subject Char"/>
    <w:basedOn w:val="CommentTextChar"/>
    <w:link w:val="CommentSubject"/>
    <w:semiHidden/>
    <w:rsid w:val="00BB73D4"/>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683172592">
      <w:bodyDiv w:val="1"/>
      <w:marLeft w:val="0"/>
      <w:marRight w:val="0"/>
      <w:marTop w:val="0"/>
      <w:marBottom w:val="0"/>
      <w:divBdr>
        <w:top w:val="none" w:sz="0" w:space="0" w:color="auto"/>
        <w:left w:val="none" w:sz="0" w:space="0" w:color="auto"/>
        <w:bottom w:val="none" w:sz="0" w:space="0" w:color="auto"/>
        <w:right w:val="none" w:sz="0" w:space="0" w:color="auto"/>
      </w:divBdr>
    </w:div>
    <w:div w:id="1503013182">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 w:id="175597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ss.gov/druglist" TargetMode="Externa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hdl.pharmacy.services.conduent.com/MHDL/pubdruglist.do?category=MassHealth+Drug+List+A+-+Z"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mailto:PharmFactsMA@Conduent.com"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PharmFactsMA@Conduent.com"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mailto:PharmFactsMA@Condu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5BC3F-4FDF-49AF-86C5-B2B9F468EB7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933</Words>
  <Characters>5674</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 Joseph (EHS)</dc:creator>
  <cp:lastModifiedBy>Eisan, Jenna (EHS)</cp:lastModifiedBy>
  <cp:revision>2</cp:revision>
  <dcterms:created xsi:type="dcterms:W3CDTF">2026-06-25T17:41:00Z</dcterms:created>
  <dcterms:modified xsi:type="dcterms:W3CDTF">2026-06-25T17:41:00Z</dcterms:modified>
</cp:coreProperties>
</file>