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93E2" w14:textId="77777777" w:rsidR="00A13403" w:rsidRDefault="00A13403" w:rsidP="009669E4">
      <w:pPr>
        <w:rPr>
          <w:b/>
          <w:bCs/>
          <w:sz w:val="20"/>
          <w:szCs w:val="20"/>
        </w:rPr>
      </w:pPr>
    </w:p>
    <w:p w14:paraId="7568DC23" w14:textId="1E5AC789" w:rsidR="00074716" w:rsidRPr="001C75DB" w:rsidRDefault="00C9773A" w:rsidP="009669E4">
      <w:pPr>
        <w:rPr>
          <w:b/>
          <w:bCs/>
          <w:sz w:val="20"/>
          <w:szCs w:val="20"/>
        </w:rPr>
      </w:pPr>
      <w:r w:rsidRPr="001C75DB">
        <w:rPr>
          <w:b/>
          <w:bCs/>
          <w:noProof/>
          <w:sz w:val="20"/>
          <w:szCs w:val="20"/>
        </w:rPr>
        <w:drawing>
          <wp:anchor distT="0" distB="0" distL="114300" distR="114300" simplePos="0" relativeHeight="251660288" behindDoc="1" locked="0" layoutInCell="1" allowOverlap="1" wp14:anchorId="1F1EE51A" wp14:editId="4201DE7E">
            <wp:simplePos x="0" y="0"/>
            <wp:positionH relativeFrom="column">
              <wp:posOffset>-29845</wp:posOffset>
            </wp:positionH>
            <wp:positionV relativeFrom="paragraph">
              <wp:posOffset>31750</wp:posOffset>
            </wp:positionV>
            <wp:extent cx="6893560" cy="1962150"/>
            <wp:effectExtent l="0" t="0" r="2540" b="0"/>
            <wp:wrapNone/>
            <wp:docPr id="860030456" name="Image 4" descr="MassHealth Pharmacy logos"/>
            <wp:cNvGraphicFramePr/>
            <a:graphic xmlns:a="http://schemas.openxmlformats.org/drawingml/2006/main">
              <a:graphicData uri="http://schemas.openxmlformats.org/drawingml/2006/picture">
                <pic:pic xmlns:pic="http://schemas.openxmlformats.org/drawingml/2006/picture">
                  <pic:nvPicPr>
                    <pic:cNvPr id="860030456" name="Image 4" descr="MassHealth Pharmacy logos"/>
                    <pic:cNvPicPr/>
                  </pic:nvPicPr>
                  <pic:blipFill rotWithShape="1">
                    <a:blip r:embed="rId8" cstate="print">
                      <a:extLst>
                        <a:ext uri="{28A0092B-C50C-407E-A947-70E740481C1C}">
                          <a14:useLocalDpi xmlns:a14="http://schemas.microsoft.com/office/drawing/2010/main" val="0"/>
                        </a:ext>
                      </a:extLst>
                    </a:blip>
                    <a:srcRect t="-372"/>
                    <a:stretch>
                      <a:fillRect/>
                    </a:stretch>
                  </pic:blipFill>
                  <pic:spPr bwMode="auto">
                    <a:xfrm>
                      <a:off x="0" y="0"/>
                      <a:ext cx="6893560" cy="1962150"/>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36AD" w:rsidRPr="001C75DB">
        <w:rPr>
          <w:b/>
          <w:bCs/>
          <w:sz w:val="20"/>
          <w:szCs w:val="20"/>
        </w:rPr>
        <w:t>Number 27</w:t>
      </w:r>
      <w:r w:rsidR="00243A32" w:rsidRPr="001C75DB">
        <w:rPr>
          <w:b/>
          <w:bCs/>
          <w:sz w:val="20"/>
          <w:szCs w:val="20"/>
        </w:rPr>
        <w:t>9</w:t>
      </w:r>
      <w:r w:rsidR="00FB36AD" w:rsidRPr="001C75DB">
        <w:rPr>
          <w:b/>
          <w:bCs/>
          <w:sz w:val="20"/>
          <w:szCs w:val="20"/>
        </w:rPr>
        <w:t>, June 2</w:t>
      </w:r>
      <w:r w:rsidR="00243A32" w:rsidRPr="001C75DB">
        <w:rPr>
          <w:b/>
          <w:bCs/>
          <w:sz w:val="20"/>
          <w:szCs w:val="20"/>
        </w:rPr>
        <w:t>9</w:t>
      </w:r>
      <w:r w:rsidR="00FB36AD" w:rsidRPr="001C75DB">
        <w:rPr>
          <w:b/>
          <w:bCs/>
          <w:sz w:val="20"/>
          <w:szCs w:val="20"/>
        </w:rPr>
        <w:t>, 2026</w:t>
      </w:r>
    </w:p>
    <w:p w14:paraId="681987C2" w14:textId="114042D2" w:rsidR="00C9773A" w:rsidRPr="001C75DB" w:rsidRDefault="00C9773A" w:rsidP="009669E4">
      <w:pPr>
        <w:pStyle w:val="Heading1"/>
      </w:pPr>
      <w:r w:rsidRPr="001C75DB">
        <w:t>PHARMACY FACTS</w:t>
      </w:r>
    </w:p>
    <w:p w14:paraId="37BDF7FB" w14:textId="64FDE29F" w:rsidR="00C9773A" w:rsidRPr="001C75DB" w:rsidRDefault="00C9773A" w:rsidP="00305691">
      <w:pPr>
        <w:spacing w:line="240" w:lineRule="auto"/>
        <w:jc w:val="center"/>
        <w:rPr>
          <w:rFonts w:ascii="Calibri" w:hAnsi="Calibri" w:cs="Calibri"/>
          <w:b/>
          <w:bCs/>
          <w:i/>
          <w:iCs/>
          <w:sz w:val="24"/>
        </w:rPr>
      </w:pPr>
      <w:r w:rsidRPr="001C75DB">
        <w:rPr>
          <w:rFonts w:ascii="Calibri" w:hAnsi="Calibri" w:cs="Calibri"/>
          <w:b/>
          <w:bCs/>
          <w:i/>
          <w:iCs/>
          <w:sz w:val="24"/>
        </w:rPr>
        <w:t>Current information for pharmacists about</w:t>
      </w:r>
      <w:r w:rsidRPr="001C75DB">
        <w:rPr>
          <w:rFonts w:ascii="Calibri" w:hAnsi="Calibri" w:cs="Calibri"/>
          <w:b/>
          <w:bCs/>
          <w:i/>
          <w:iCs/>
          <w:sz w:val="24"/>
        </w:rPr>
        <w:br/>
        <w:t>the MassHealth Pharmacy Program</w:t>
      </w:r>
    </w:p>
    <w:p w14:paraId="1259DE81" w14:textId="7855807A" w:rsidR="00305691" w:rsidRPr="001C75DB" w:rsidRDefault="008B1471" w:rsidP="00305691">
      <w:pPr>
        <w:spacing w:after="160"/>
        <w:jc w:val="center"/>
        <w:rPr>
          <w:rFonts w:ascii="Calibri" w:hAnsi="Calibri" w:cs="Calibri"/>
          <w:sz w:val="24"/>
        </w:rPr>
      </w:pPr>
      <w:r w:rsidRPr="001C75DB">
        <w:rPr>
          <w:rFonts w:ascii="Calibri" w:hAnsi="Calibri" w:cs="Calibri"/>
          <w:sz w:val="24"/>
        </w:rPr>
        <w:t>www.mass.gov/lists/masshealth-pharmacy-facts-2016-current</w:t>
      </w:r>
    </w:p>
    <w:p w14:paraId="224D2D6C" w14:textId="4162B493" w:rsidR="0026081C" w:rsidRPr="001C75DB" w:rsidRDefault="0026081C" w:rsidP="0026081C">
      <w:pPr>
        <w:tabs>
          <w:tab w:val="left" w:pos="2520"/>
          <w:tab w:val="left" w:pos="3690"/>
        </w:tabs>
        <w:spacing w:line="360" w:lineRule="auto"/>
        <w:ind w:left="2894" w:hanging="2707"/>
        <w:rPr>
          <w:b/>
          <w:bCs/>
          <w:color w:val="FFFFFF" w:themeColor="background1"/>
          <w:sz w:val="16"/>
          <w:szCs w:val="16"/>
        </w:rPr>
      </w:pPr>
      <w:r w:rsidRPr="001C75DB">
        <w:rPr>
          <w:b/>
          <w:bCs/>
          <w:color w:val="FFFFFF" w:themeColor="background1"/>
          <w:sz w:val="16"/>
          <w:szCs w:val="16"/>
        </w:rPr>
        <w:t xml:space="preserve">Editor: Ryan Bettencourt </w:t>
      </w:r>
      <w:r w:rsidRPr="001C75DB">
        <w:rPr>
          <w:b/>
          <w:bCs/>
          <w:color w:val="FFFFFF" w:themeColor="background1"/>
          <w:sz w:val="16"/>
          <w:szCs w:val="16"/>
        </w:rPr>
        <w:tab/>
        <w:t>Contributors:</w:t>
      </w:r>
      <w:r w:rsidRPr="001C75DB">
        <w:rPr>
          <w:b/>
          <w:bCs/>
          <w:color w:val="FFFFFF" w:themeColor="background1"/>
          <w:sz w:val="16"/>
          <w:szCs w:val="16"/>
        </w:rPr>
        <w:tab/>
        <w:t>Eliza Anderson, Aimee Evers, Breeyn Green, Neha Kashalikar,</w:t>
      </w:r>
      <w:r w:rsidRPr="001C75DB">
        <w:rPr>
          <w:b/>
          <w:bCs/>
          <w:color w:val="FFFFFF" w:themeColor="background1"/>
          <w:sz w:val="16"/>
          <w:szCs w:val="16"/>
        </w:rPr>
        <w:br/>
      </w:r>
      <w:r w:rsidRPr="001C75DB">
        <w:rPr>
          <w:b/>
          <w:bCs/>
          <w:color w:val="FFFFFF" w:themeColor="background1"/>
          <w:sz w:val="16"/>
          <w:szCs w:val="16"/>
        </w:rPr>
        <w:tab/>
        <w:t>Kim Lenz, Mckenzie McVeigh, Katelyn Meyer, Kyle Semmel</w:t>
      </w:r>
    </w:p>
    <w:p w14:paraId="6667059F" w14:textId="09889D78" w:rsidR="00B11497" w:rsidRPr="001C75DB" w:rsidRDefault="00B11497" w:rsidP="0026081C">
      <w:pPr>
        <w:pStyle w:val="Heading2"/>
        <w:spacing w:before="360"/>
        <w:rPr>
          <w:sz w:val="28"/>
          <w:szCs w:val="28"/>
        </w:rPr>
      </w:pPr>
      <w:r w:rsidRPr="001C75DB">
        <w:rPr>
          <w:sz w:val="28"/>
          <w:szCs w:val="28"/>
        </w:rPr>
        <w:t xml:space="preserve">MassHealth </w:t>
      </w:r>
      <w:r w:rsidR="00CB54C1" w:rsidRPr="001C75DB">
        <w:rPr>
          <w:sz w:val="28"/>
          <w:szCs w:val="28"/>
        </w:rPr>
        <w:t>Pharmacy Changes</w:t>
      </w:r>
      <w:r w:rsidR="00E83788" w:rsidRPr="001C75DB">
        <w:rPr>
          <w:sz w:val="28"/>
          <w:szCs w:val="28"/>
        </w:rPr>
        <w:t xml:space="preserve"> Effective July 2026</w:t>
      </w:r>
    </w:p>
    <w:p w14:paraId="480B0808" w14:textId="7DDCE1E6" w:rsidR="002E7EBB" w:rsidRPr="001C75DB" w:rsidRDefault="002E7EBB" w:rsidP="002E7EBB">
      <w:r w:rsidRPr="001C75DB">
        <w:t xml:space="preserve">This Pharmacy Facts describes </w:t>
      </w:r>
      <w:r w:rsidR="000B491D" w:rsidRPr="001C75DB">
        <w:t xml:space="preserve">revisions to pharmacy regulations and </w:t>
      </w:r>
      <w:r w:rsidR="00DC4503" w:rsidRPr="001C75DB">
        <w:t>provides information on the</w:t>
      </w:r>
      <w:r w:rsidR="000B491D" w:rsidRPr="001C75DB">
        <w:t xml:space="preserve"> Centers for Medicare &amp; Medicaid Services (CMS) Medicare GLP-1 Bridge demonstration. </w:t>
      </w:r>
    </w:p>
    <w:p w14:paraId="5493291A" w14:textId="5451434F" w:rsidR="00E83788" w:rsidRPr="001C75DB" w:rsidRDefault="00E83788" w:rsidP="005647B8">
      <w:pPr>
        <w:pStyle w:val="Heading3"/>
      </w:pPr>
      <w:r w:rsidRPr="001C75DB">
        <w:t>MassHealth Pharmacy Regulation Changes, effective July 3, 2026</w:t>
      </w:r>
    </w:p>
    <w:p w14:paraId="4A003E59" w14:textId="48F81B1B" w:rsidR="006F3232" w:rsidRPr="001C75DB" w:rsidRDefault="000B491D" w:rsidP="009A5821">
      <w:r w:rsidRPr="001C75DB">
        <w:t>T</w:t>
      </w:r>
      <w:r w:rsidR="006F3232" w:rsidRPr="001C75DB">
        <w:t xml:space="preserve">he pharmacy regulations at </w:t>
      </w:r>
      <w:hyperlink r:id="rId9" w:history="1">
        <w:r w:rsidR="006F3232" w:rsidRPr="001C75DB">
          <w:rPr>
            <w:rStyle w:val="Hyperlink"/>
            <w:rFonts w:cs="Arial"/>
            <w:szCs w:val="22"/>
          </w:rPr>
          <w:t>130 CMR 406.000</w:t>
        </w:r>
      </w:hyperlink>
      <w:r w:rsidR="006F3232" w:rsidRPr="001C75DB">
        <w:t xml:space="preserve">: </w:t>
      </w:r>
      <w:r w:rsidR="006F3232" w:rsidRPr="001C75DB">
        <w:rPr>
          <w:i/>
          <w:iCs/>
        </w:rPr>
        <w:t>Pharmacy Services</w:t>
      </w:r>
      <w:r w:rsidR="006F3232" w:rsidRPr="001C75DB">
        <w:t xml:space="preserve"> </w:t>
      </w:r>
      <w:r w:rsidRPr="001C75DB">
        <w:t xml:space="preserve">have been revised, </w:t>
      </w:r>
      <w:r w:rsidR="006F3232" w:rsidRPr="001C75DB">
        <w:t>effective July 3, 2026. These revisions allow MassHealth to make changes to how it covers drugs purchase through the 340B Drug Pricing Program. Amendments were made to clarify or update existing policies, including updating language about provider eligibility, allowable refills, and limitations on coverage of drugs. This Pharmacy Facts summarizes selected revisions to 130 CMR 406.000 for convenience. Providers should review the amendments in full to understand all applicable requirements.</w:t>
      </w:r>
    </w:p>
    <w:p w14:paraId="0664C071" w14:textId="5706B373" w:rsidR="006F3232" w:rsidRPr="001C75DB" w:rsidRDefault="006F3232" w:rsidP="00E83788">
      <w:pPr>
        <w:pStyle w:val="Heading4"/>
        <w:spacing w:before="160"/>
        <w:rPr>
          <w:rFonts w:ascii="Arial" w:hAnsi="Arial" w:cs="Arial"/>
          <w:b/>
          <w:bCs/>
          <w:i w:val="0"/>
          <w:iCs w:val="0"/>
          <w:color w:val="auto"/>
        </w:rPr>
      </w:pPr>
      <w:r w:rsidRPr="001C75DB">
        <w:rPr>
          <w:rFonts w:ascii="Arial" w:hAnsi="Arial" w:cs="Arial"/>
          <w:b/>
          <w:bCs/>
          <w:i w:val="0"/>
          <w:iCs w:val="0"/>
          <w:color w:val="auto"/>
        </w:rPr>
        <w:t>Provider Eligibility Changes</w:t>
      </w:r>
    </w:p>
    <w:p w14:paraId="623755F0" w14:textId="77777777" w:rsidR="006F3232" w:rsidRPr="001C75DB" w:rsidRDefault="006F3232" w:rsidP="009A5821">
      <w:pPr>
        <w:pStyle w:val="Bulletedlist"/>
      </w:pPr>
      <w:r w:rsidRPr="001C75DB">
        <w:t>130 CMR 406.404(B)(2) was updated to clarify that a pharmacy provider that meets all other eligibility requirements and is licensed by the Department of Public Health and dispensing in a clinic or hospital setting may be eligible for enrollment.</w:t>
      </w:r>
    </w:p>
    <w:p w14:paraId="7FE8BC70" w14:textId="77777777" w:rsidR="006F3232" w:rsidRPr="001C75DB" w:rsidRDefault="006F3232" w:rsidP="009A5821">
      <w:pPr>
        <w:pStyle w:val="Bulletedlist"/>
      </w:pPr>
      <w:r w:rsidRPr="001C75DB">
        <w:t>130 CMR 406.404(D) was revised to indicate that MassHealth does not cover drugs billed through pharmacy point-of-sale adjudication when these drugs are acquired through the 340B Drug Pricing Program. See Pharmacy Facts #274 for detailed information. This change applies to pharmacy claims submitted to POPS to MassHealth FFS, the primary care clinician (PCC) Plan, Primary Care Accountable Care Organization (PCACO-B), or the Children’s Medical Security Plan as a primary payer (Other Coverage Code “00”, “01”, or “03”). This change does not apply to pharmacy claims in which MassHealth FFS, the PCC Plan, PCACO-B, or the Children’s Medical Security Plan is a secondary payer (other Coverage Code “02” or “04”), Health Safety Net pharmacy claims, or Accountable Care Partnership Plan, Managed Care Organization, Senior Care Options, or One Care claims.</w:t>
      </w:r>
    </w:p>
    <w:p w14:paraId="1E92163E" w14:textId="77777777" w:rsidR="006F3232" w:rsidRPr="001C75DB" w:rsidRDefault="006F3232" w:rsidP="00E83788">
      <w:pPr>
        <w:pStyle w:val="Heading4"/>
        <w:spacing w:before="160"/>
        <w:rPr>
          <w:rFonts w:ascii="Arial" w:hAnsi="Arial" w:cs="Arial"/>
          <w:b/>
          <w:bCs/>
          <w:i w:val="0"/>
          <w:iCs w:val="0"/>
          <w:color w:val="auto"/>
        </w:rPr>
      </w:pPr>
      <w:r w:rsidRPr="001C75DB">
        <w:rPr>
          <w:rFonts w:ascii="Arial" w:hAnsi="Arial" w:cs="Arial"/>
          <w:b/>
          <w:bCs/>
          <w:i w:val="0"/>
          <w:iCs w:val="0"/>
          <w:color w:val="auto"/>
        </w:rPr>
        <w:t>Refills Changes</w:t>
      </w:r>
    </w:p>
    <w:p w14:paraId="656BFE3F" w14:textId="77777777" w:rsidR="006F3232" w:rsidRPr="001C75DB" w:rsidRDefault="006F3232" w:rsidP="009A5821">
      <w:pPr>
        <w:pStyle w:val="Bulletedlist"/>
      </w:pPr>
      <w:r w:rsidRPr="001C75DB">
        <w:t xml:space="preserve">130 CMR 406.411(C) was amended to clarify MassHealth refill limits for claims processed through the Pharmacy Online Processing System (POPS). </w:t>
      </w:r>
    </w:p>
    <w:p w14:paraId="7B0599CA" w14:textId="77777777" w:rsidR="006F3232" w:rsidRPr="001C75DB" w:rsidRDefault="006F3232" w:rsidP="009A5821">
      <w:pPr>
        <w:pStyle w:val="subbullet"/>
      </w:pPr>
      <w:r w:rsidRPr="001C75DB">
        <w:t xml:space="preserve">POPS will no longer reject claims because the fill number (NCPDP field 403-D3) is greater than the number of refills authorized (NCPDP 415-DF). Pharmacies should continue to ensure compliance with refill requirements set forth by the Massachusetts Board of Registration in Pharmacy as outlined in 247 CMR 9. </w:t>
      </w:r>
    </w:p>
    <w:p w14:paraId="7306F32E" w14:textId="77777777" w:rsidR="002451A8" w:rsidRPr="001C75DB" w:rsidRDefault="006F3232" w:rsidP="009A5821">
      <w:pPr>
        <w:pStyle w:val="subbullet"/>
        <w:sectPr w:rsidR="002451A8" w:rsidRPr="001C75DB" w:rsidSect="006F3232">
          <w:footerReference w:type="default" r:id="rId10"/>
          <w:pgSz w:w="12240" w:h="15840" w:code="1"/>
          <w:pgMar w:top="360" w:right="907" w:bottom="446" w:left="907" w:header="0" w:footer="576" w:gutter="0"/>
          <w:cols w:space="720"/>
          <w:docGrid w:linePitch="360"/>
        </w:sectPr>
      </w:pPr>
      <w:r w:rsidRPr="001C75DB">
        <w:t xml:space="preserve">POPS will reject claims that exceed allowable refills per federal or state law, or where the MassHealth Drug List, Pharmacy Facts, or </w:t>
      </w:r>
      <w:proofErr w:type="gramStart"/>
      <w:r w:rsidRPr="001C75DB">
        <w:t>other</w:t>
      </w:r>
      <w:proofErr w:type="gramEnd"/>
      <w:r w:rsidRPr="001C75DB">
        <w:t xml:space="preserve"> written issuance from the MassHealth </w:t>
      </w:r>
    </w:p>
    <w:p w14:paraId="20E9D199" w14:textId="77777777" w:rsidR="006F3232" w:rsidRPr="001C75DB" w:rsidRDefault="006F3232" w:rsidP="009A5821">
      <w:pPr>
        <w:pStyle w:val="subbullet"/>
      </w:pPr>
      <w:r w:rsidRPr="001C75DB">
        <w:lastRenderedPageBreak/>
        <w:t>agency specifically limits the number of refills, duration of the prescription, or both. For example:</w:t>
      </w:r>
    </w:p>
    <w:p w14:paraId="451A8DC2" w14:textId="0BA15480" w:rsidR="006F3232" w:rsidRPr="001C75DB" w:rsidRDefault="006F3232" w:rsidP="002451A8">
      <w:pPr>
        <w:pStyle w:val="subbullet"/>
        <w:ind w:left="1800"/>
      </w:pPr>
      <w:r w:rsidRPr="001C75DB">
        <w:t>For a CII controlled substance, POPS will reject if the number of refills authorized exceeds “0”, if fill number exceeds “0”, or if the date of service is greater than 30 days after the date the prescription was written</w:t>
      </w:r>
    </w:p>
    <w:p w14:paraId="26BD27A4" w14:textId="77777777" w:rsidR="006F3232" w:rsidRPr="001C75DB" w:rsidRDefault="006F3232" w:rsidP="002451A8">
      <w:pPr>
        <w:pStyle w:val="subbullet"/>
        <w:ind w:left="1800"/>
      </w:pPr>
      <w:r w:rsidRPr="001C75DB">
        <w:t>For a CIII through CV controlled substance, POPS will reject if the number of refills authorized exceeds “5”, if fill number exceeds “5”, or if the date of service is greater than 180 days after the date the prescription was written.</w:t>
      </w:r>
    </w:p>
    <w:p w14:paraId="41A68217" w14:textId="77777777" w:rsidR="006F3232" w:rsidRPr="001C75DB" w:rsidRDefault="006F3232" w:rsidP="002451A8">
      <w:pPr>
        <w:pStyle w:val="subbullet"/>
        <w:ind w:left="1800"/>
      </w:pPr>
      <w:r w:rsidRPr="001C75DB">
        <w:t>For a CVI controlled or non-controlled substance, POPS will reject if the number of refills authorized exceeds “11”, if fill number exceeds “11”, or if the date of service is greater than 365 days after the date the prescription was written.</w:t>
      </w:r>
    </w:p>
    <w:p w14:paraId="2BD97915" w14:textId="77777777" w:rsidR="006F3232" w:rsidRPr="001C75DB" w:rsidRDefault="006F3232" w:rsidP="00E83788">
      <w:pPr>
        <w:pStyle w:val="Heading4"/>
        <w:spacing w:before="160"/>
        <w:rPr>
          <w:rFonts w:ascii="Arial" w:hAnsi="Arial" w:cs="Arial"/>
          <w:b/>
          <w:bCs/>
          <w:i w:val="0"/>
          <w:iCs w:val="0"/>
          <w:color w:val="auto"/>
        </w:rPr>
      </w:pPr>
      <w:r w:rsidRPr="001C75DB">
        <w:rPr>
          <w:rFonts w:ascii="Arial" w:hAnsi="Arial" w:cs="Arial"/>
          <w:b/>
          <w:bCs/>
          <w:i w:val="0"/>
          <w:iCs w:val="0"/>
          <w:color w:val="auto"/>
        </w:rPr>
        <w:t xml:space="preserve">Limitations on Coverage of Drugs Changes </w:t>
      </w:r>
    </w:p>
    <w:p w14:paraId="5106F478" w14:textId="77777777" w:rsidR="006F3232" w:rsidRPr="001C75DB" w:rsidRDefault="006F3232" w:rsidP="002451A8">
      <w:pPr>
        <w:pStyle w:val="Bulletedlist"/>
      </w:pPr>
      <w:r w:rsidRPr="001C75DB">
        <w:t>130 CMR 406.413(B)(2) was amended to clarify that the MassHealth agency does not pay for any drug used solely for the symptomatic relief of cough and colds, including but not limited to, those that contain an antitussive or expectorant as a major ingredient.</w:t>
      </w:r>
    </w:p>
    <w:p w14:paraId="12DD7145" w14:textId="77777777" w:rsidR="006F3232" w:rsidRPr="001C75DB" w:rsidRDefault="006F3232" w:rsidP="002451A8">
      <w:pPr>
        <w:pStyle w:val="Bulletedlist"/>
      </w:pPr>
      <w:r w:rsidRPr="001C75DB">
        <w:t>130 CMR 406.413(B)(7) was added. The MassHealth agency does not pay for any drug used for the treatment of obesity or overweight.</w:t>
      </w:r>
    </w:p>
    <w:p w14:paraId="7935C1F1" w14:textId="0D2B7FAE" w:rsidR="006F3232" w:rsidRPr="001C75DB" w:rsidRDefault="006F3232" w:rsidP="00E83788">
      <w:pPr>
        <w:pStyle w:val="Heading3"/>
      </w:pPr>
      <w:r w:rsidRPr="001C75DB">
        <w:t>Centers for Medicare &amp; Medicaid Services Medicare GLP-1 Bridge</w:t>
      </w:r>
    </w:p>
    <w:p w14:paraId="1E5E2CAB" w14:textId="6ECFD381" w:rsidR="006F3232" w:rsidRPr="001C75DB" w:rsidRDefault="006F3232" w:rsidP="006F3232">
      <w:pPr>
        <w:rPr>
          <w:rFonts w:eastAsia="Calibri" w:cs="Arial"/>
          <w:bCs/>
        </w:rPr>
      </w:pPr>
      <w:r w:rsidRPr="001C75DB">
        <w:rPr>
          <w:rFonts w:eastAsia="Calibri" w:cs="Arial"/>
          <w:bCs/>
        </w:rPr>
        <w:t>Beginning July 1, 2026, CMS will begin a short-term demonstration, called the Medicare GLP-1 Bridge, that will provide eligible Medicare Part D beneficiaries with access to certain GLP-1 drugs. CMS will use a single central processor (Humana; BIN 028918; PCN MEDDGLP1BR) to manage prior authorization, claims adjudication</w:t>
      </w:r>
      <w:r w:rsidR="00AF03C7" w:rsidRPr="001C75DB">
        <w:rPr>
          <w:rFonts w:eastAsia="Calibri" w:cs="Arial"/>
          <w:bCs/>
        </w:rPr>
        <w:t>,</w:t>
      </w:r>
      <w:r w:rsidRPr="001C75DB">
        <w:rPr>
          <w:rFonts w:eastAsia="Calibri" w:cs="Arial"/>
          <w:bCs/>
        </w:rPr>
        <w:t xml:space="preserve"> and payment to pharmacies for the Medicare GLP-1 Bridge. Providers should review </w:t>
      </w:r>
      <w:r w:rsidR="003B3B6C" w:rsidRPr="001C75DB">
        <w:rPr>
          <w:rFonts w:eastAsia="Calibri" w:cs="Arial"/>
          <w:bCs/>
        </w:rPr>
        <w:t xml:space="preserve">the </w:t>
      </w:r>
      <w:hyperlink r:id="rId11" w:history="1">
        <w:r w:rsidR="003B3B6C" w:rsidRPr="001C75DB">
          <w:rPr>
            <w:rStyle w:val="Hyperlink"/>
            <w:rFonts w:eastAsia="Calibri" w:cs="Arial"/>
            <w:bCs/>
          </w:rPr>
          <w:t>Medicare GLP-1 Bridge</w:t>
        </w:r>
      </w:hyperlink>
      <w:r w:rsidR="003B3B6C" w:rsidRPr="001C75DB">
        <w:rPr>
          <w:rFonts w:eastAsia="Calibri" w:cs="Arial"/>
          <w:bCs/>
        </w:rPr>
        <w:t xml:space="preserve"> </w:t>
      </w:r>
      <w:r w:rsidRPr="001C75DB">
        <w:rPr>
          <w:rFonts w:eastAsia="Calibri" w:cs="Arial"/>
          <w:bCs/>
        </w:rPr>
        <w:t>for more information, including Bridge eligibility criteria, covered products, and claims-processing instructions.</w:t>
      </w:r>
    </w:p>
    <w:p w14:paraId="1DE4682D" w14:textId="77777777" w:rsidR="006F3232" w:rsidRPr="001C75DB" w:rsidRDefault="006F3232" w:rsidP="006F3232">
      <w:pPr>
        <w:rPr>
          <w:rFonts w:eastAsia="Calibri" w:cs="Arial"/>
          <w:b/>
          <w:u w:val="single"/>
        </w:rPr>
      </w:pPr>
    </w:p>
    <w:p w14:paraId="5E7D47D5" w14:textId="7F174B1D" w:rsidR="006F3232" w:rsidRPr="001C75DB" w:rsidRDefault="006F3232" w:rsidP="006F3232">
      <w:pPr>
        <w:rPr>
          <w:rFonts w:eastAsia="Calibri" w:cs="Arial"/>
          <w:bCs/>
        </w:rPr>
      </w:pPr>
      <w:r w:rsidRPr="001C75DB">
        <w:rPr>
          <w:rFonts w:eastAsia="Calibri" w:cs="Arial"/>
          <w:bCs/>
        </w:rPr>
        <w:t>Eligible Medicare Part D beneficiaries will have a $50 copay through the Medicare GLP-1 Bridge. Eligible GLP-1 drugs furnished under the Medicare GLP-1 Bridge are provided outside of the Part D benefit. This means that the Part D deductible will not apply, no part of the $50 copay counts towards the beneficiary’s True Out-of-Pocket (</w:t>
      </w:r>
      <w:proofErr w:type="spellStart"/>
      <w:r w:rsidRPr="001C75DB">
        <w:rPr>
          <w:rFonts w:eastAsia="Calibri" w:cs="Arial"/>
          <w:bCs/>
        </w:rPr>
        <w:t>TrOOP</w:t>
      </w:r>
      <w:proofErr w:type="spellEnd"/>
      <w:r w:rsidRPr="001C75DB">
        <w:rPr>
          <w:rFonts w:eastAsia="Calibri" w:cs="Arial"/>
          <w:bCs/>
        </w:rPr>
        <w:t>) costs</w:t>
      </w:r>
      <w:r w:rsidR="003B3B6C" w:rsidRPr="001C75DB">
        <w:rPr>
          <w:rFonts w:eastAsia="Calibri" w:cs="Arial"/>
          <w:bCs/>
        </w:rPr>
        <w:t>,</w:t>
      </w:r>
      <w:r w:rsidRPr="001C75DB">
        <w:rPr>
          <w:rFonts w:eastAsia="Calibri" w:cs="Arial"/>
          <w:bCs/>
        </w:rPr>
        <w:t xml:space="preserve"> and there is no low-income subsidy (LIS) provided for LIS beneficiaries.</w:t>
      </w:r>
    </w:p>
    <w:p w14:paraId="0739AD25" w14:textId="77777777" w:rsidR="006F3232" w:rsidRPr="001C75DB" w:rsidRDefault="006F3232" w:rsidP="006F3232">
      <w:pPr>
        <w:rPr>
          <w:rFonts w:eastAsia="Calibri" w:cs="Arial"/>
          <w:bCs/>
        </w:rPr>
      </w:pPr>
    </w:p>
    <w:p w14:paraId="4AB41418" w14:textId="77777777" w:rsidR="006F3232" w:rsidRPr="001C75DB" w:rsidRDefault="006F3232" w:rsidP="006F3232">
      <w:pPr>
        <w:rPr>
          <w:rFonts w:eastAsia="Calibri" w:cs="Arial"/>
          <w:bCs/>
        </w:rPr>
      </w:pPr>
      <w:r w:rsidRPr="001C75DB">
        <w:rPr>
          <w:rFonts w:eastAsia="Calibri" w:cs="Arial"/>
          <w:bCs/>
        </w:rPr>
        <w:t xml:space="preserve">For dual-eligible members, the $50 copayment associated with the Medicare GLP-1 Bridge, or any other costs associated with the Medicare GLP-1 Bridge, </w:t>
      </w:r>
      <w:r w:rsidRPr="001C75DB">
        <w:rPr>
          <w:rFonts w:eastAsia="Calibri" w:cs="Arial"/>
          <w:b/>
        </w:rPr>
        <w:t xml:space="preserve">is not payable by MassHealth. </w:t>
      </w:r>
      <w:r w:rsidRPr="001C75DB">
        <w:rPr>
          <w:rFonts w:eastAsia="Calibri" w:cs="Arial"/>
          <w:bCs/>
        </w:rPr>
        <w:t>The member will be responsible for the $50 copay.</w:t>
      </w:r>
    </w:p>
    <w:sectPr w:rsidR="006F3232" w:rsidRPr="001C75DB" w:rsidSect="006F3232">
      <w:headerReference w:type="default" r:id="rId12"/>
      <w:footerReference w:type="default" r:id="rId13"/>
      <w:pgSz w:w="12240" w:h="15840" w:code="1"/>
      <w:pgMar w:top="360" w:right="907" w:bottom="446" w:left="907"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33D7C" w14:textId="77777777" w:rsidR="004A2F31" w:rsidRDefault="004A2F31" w:rsidP="00492602">
      <w:r>
        <w:separator/>
      </w:r>
    </w:p>
  </w:endnote>
  <w:endnote w:type="continuationSeparator" w:id="0">
    <w:p w14:paraId="5336212D" w14:textId="77777777" w:rsidR="004A2F31" w:rsidRDefault="004A2F31"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38A3" w14:textId="00849AAE" w:rsidR="0041193B" w:rsidRPr="001C75DB" w:rsidRDefault="0041193B" w:rsidP="00C56E35">
    <w:pPr>
      <w:pBdr>
        <w:top w:val="single" w:sz="18" w:space="1" w:color="auto"/>
      </w:pBdr>
      <w:tabs>
        <w:tab w:val="left" w:pos="-90"/>
        <w:tab w:val="left" w:pos="530"/>
        <w:tab w:val="center" w:pos="5400"/>
      </w:tabs>
      <w:autoSpaceDE w:val="0"/>
      <w:autoSpaceDN w:val="0"/>
      <w:adjustRightInd w:val="0"/>
      <w:jc w:val="center"/>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B1CB" w14:textId="77777777" w:rsidR="005647B8" w:rsidRPr="001C75DB" w:rsidRDefault="005647B8" w:rsidP="00C56E35">
    <w:pPr>
      <w:pBdr>
        <w:top w:val="single" w:sz="18" w:space="1" w:color="auto"/>
      </w:pBdr>
      <w:tabs>
        <w:tab w:val="left" w:pos="-90"/>
        <w:tab w:val="left" w:pos="530"/>
        <w:tab w:val="center" w:pos="5400"/>
      </w:tabs>
      <w:autoSpaceDE w:val="0"/>
      <w:autoSpaceDN w:val="0"/>
      <w:adjustRightInd w:val="0"/>
      <w:jc w:val="center"/>
      <w:textAlignment w:val="baseline"/>
    </w:pPr>
    <w:r w:rsidRPr="001C75DB">
      <w:rPr>
        <w:rFonts w:cs="Arial"/>
        <w:iCs/>
        <w:sz w:val="18"/>
        <w:szCs w:val="18"/>
      </w:rPr>
      <w:t>Please direct any questions or comments (or to be removed from this fax distribution) to</w:t>
    </w:r>
    <w:r w:rsidRPr="001C75DB">
      <w:rPr>
        <w:rFonts w:cs="Arial"/>
        <w:iCs/>
        <w:sz w:val="18"/>
        <w:szCs w:val="18"/>
      </w:rPr>
      <w:br/>
    </w:r>
    <w:hyperlink r:id="rId1" w:tooltip="PharmFactsMA@Conduent.com" w:history="1">
      <w:r w:rsidRPr="001C75DB">
        <w:rPr>
          <w:rStyle w:val="Hyperlink"/>
          <w:rFonts w:cs="Arial"/>
          <w:iCs/>
          <w:sz w:val="18"/>
          <w:szCs w:val="18"/>
        </w:rPr>
        <w:t>PharmFactsMA@Conduent.com</w:t>
      </w:r>
    </w:hyperlink>
    <w:r w:rsidRPr="001C75DB">
      <w:rPr>
        <w:rFonts w:cs="Arial"/>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4C51" w14:textId="77777777" w:rsidR="004A2F31" w:rsidRDefault="004A2F31" w:rsidP="00492602">
      <w:r>
        <w:separator/>
      </w:r>
    </w:p>
  </w:footnote>
  <w:footnote w:type="continuationSeparator" w:id="0">
    <w:p w14:paraId="5224E821" w14:textId="77777777" w:rsidR="004A2F31" w:rsidRDefault="004A2F31"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5169" w14:textId="77777777" w:rsidR="002451A8" w:rsidRDefault="002451A8" w:rsidP="006D3B5F">
    <w:pPr>
      <w:pStyle w:val="Default"/>
      <w:pBdr>
        <w:bottom w:val="single" w:sz="18" w:space="1" w:color="auto"/>
      </w:pBdr>
      <w:tabs>
        <w:tab w:val="right" w:pos="10440"/>
      </w:tabs>
      <w:spacing w:after="240"/>
      <w:rPr>
        <w:color w:val="auto"/>
        <w:sz w:val="18"/>
        <w:szCs w:val="18"/>
      </w:rPr>
    </w:pPr>
  </w:p>
  <w:p w14:paraId="53C6FAD1" w14:textId="77777777" w:rsidR="002451A8" w:rsidRPr="00D35DDB" w:rsidRDefault="002451A8" w:rsidP="006D3B5F">
    <w:pPr>
      <w:pStyle w:val="Default"/>
      <w:pBdr>
        <w:bottom w:val="single" w:sz="18" w:space="1" w:color="auto"/>
      </w:pBdr>
      <w:tabs>
        <w:tab w:val="right" w:pos="10440"/>
      </w:tabs>
      <w:spacing w:after="240"/>
      <w:rPr>
        <w:color w:val="auto"/>
        <w:sz w:val="18"/>
        <w:szCs w:val="18"/>
      </w:rPr>
    </w:pPr>
    <w:r w:rsidRPr="00D35DDB">
      <w:rPr>
        <w:color w:val="auto"/>
        <w:sz w:val="18"/>
        <w:szCs w:val="18"/>
      </w:rPr>
      <w:t>Pharmacy Facts, Number 27</w:t>
    </w:r>
    <w:r>
      <w:rPr>
        <w:color w:val="auto"/>
        <w:sz w:val="18"/>
        <w:szCs w:val="18"/>
      </w:rPr>
      <w:t>9</w:t>
    </w:r>
    <w:r w:rsidRPr="00D35DDB">
      <w:rPr>
        <w:color w:val="auto"/>
        <w:sz w:val="18"/>
        <w:szCs w:val="18"/>
      </w:rPr>
      <w:tab/>
    </w:r>
    <w:r w:rsidRPr="00C51C8A">
      <w:rPr>
        <w:color w:val="auto"/>
        <w:sz w:val="18"/>
        <w:szCs w:val="18"/>
      </w:rPr>
      <w:t xml:space="preserve">Page </w:t>
    </w:r>
    <w:r w:rsidRPr="00C51C8A">
      <w:rPr>
        <w:color w:val="auto"/>
        <w:sz w:val="18"/>
        <w:szCs w:val="18"/>
      </w:rPr>
      <w:fldChar w:fldCharType="begin"/>
    </w:r>
    <w:r w:rsidRPr="00C51C8A">
      <w:rPr>
        <w:color w:val="auto"/>
        <w:sz w:val="18"/>
        <w:szCs w:val="18"/>
      </w:rPr>
      <w:instrText xml:space="preserve"> PAGE   \* MERGEFORMAT </w:instrText>
    </w:r>
    <w:r w:rsidRPr="00C51C8A">
      <w:rPr>
        <w:color w:val="auto"/>
        <w:sz w:val="18"/>
        <w:szCs w:val="18"/>
      </w:rPr>
      <w:fldChar w:fldCharType="separate"/>
    </w:r>
    <w:r>
      <w:rPr>
        <w:sz w:val="18"/>
        <w:szCs w:val="18"/>
      </w:rPr>
      <w:t>2</w:t>
    </w:r>
    <w:r w:rsidRPr="00C51C8A">
      <w:rPr>
        <w:noProof/>
        <w:color w:val="auto"/>
        <w:sz w:val="18"/>
        <w:szCs w:val="18"/>
      </w:rPr>
      <w:fldChar w:fldCharType="end"/>
    </w:r>
    <w:r w:rsidRPr="00C51C8A">
      <w:rPr>
        <w:noProof/>
        <w:color w:val="auto"/>
        <w:sz w:val="18"/>
        <w:szCs w:val="18"/>
      </w:rPr>
      <w:t xml:space="preserve"> of </w:t>
    </w:r>
    <w:r>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8255C"/>
    <w:multiLevelType w:val="hybridMultilevel"/>
    <w:tmpl w:val="DB5258FC"/>
    <w:lvl w:ilvl="0" w:tplc="43FCA314">
      <w:start w:val="1"/>
      <w:numFmt w:val="lowerLetter"/>
      <w:pStyle w:val="Numberedlist"/>
      <w:lvlText w:val="%1."/>
      <w:lvlJc w:val="left"/>
      <w:pPr>
        <w:ind w:left="108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531FF"/>
    <w:multiLevelType w:val="hybridMultilevel"/>
    <w:tmpl w:val="9F7E3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90276"/>
    <w:multiLevelType w:val="hybridMultilevel"/>
    <w:tmpl w:val="520E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5364"/>
    <w:multiLevelType w:val="hybridMultilevel"/>
    <w:tmpl w:val="AA5AE920"/>
    <w:lvl w:ilvl="0" w:tplc="189C9A02">
      <w:start w:val="1"/>
      <w:numFmt w:val="bullet"/>
      <w:pStyle w:val="Bulletedlist"/>
      <w:lvlText w:val=""/>
      <w:lvlJc w:val="left"/>
      <w:pPr>
        <w:ind w:left="360" w:hanging="360"/>
      </w:pPr>
      <w:rPr>
        <w:rFonts w:ascii="Symbol" w:hAnsi="Symbol" w:hint="default"/>
        <w:b/>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7EEA33DA"/>
    <w:multiLevelType w:val="hybridMultilevel"/>
    <w:tmpl w:val="ED708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971704">
    <w:abstractNumId w:val="0"/>
  </w:num>
  <w:num w:numId="2" w16cid:durableId="480999597">
    <w:abstractNumId w:val="3"/>
  </w:num>
  <w:num w:numId="3" w16cid:durableId="2038045263">
    <w:abstractNumId w:val="4"/>
  </w:num>
  <w:num w:numId="4" w16cid:durableId="314529125">
    <w:abstractNumId w:val="2"/>
  </w:num>
  <w:num w:numId="5" w16cid:durableId="187291265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04C15"/>
    <w:rsid w:val="0002450C"/>
    <w:rsid w:val="00037CC5"/>
    <w:rsid w:val="00054839"/>
    <w:rsid w:val="00060D81"/>
    <w:rsid w:val="00061F50"/>
    <w:rsid w:val="000658A5"/>
    <w:rsid w:val="000713D3"/>
    <w:rsid w:val="00074014"/>
    <w:rsid w:val="00074716"/>
    <w:rsid w:val="00081E8E"/>
    <w:rsid w:val="000A622F"/>
    <w:rsid w:val="000A6318"/>
    <w:rsid w:val="000B491D"/>
    <w:rsid w:val="000D1502"/>
    <w:rsid w:val="000F01BE"/>
    <w:rsid w:val="00102EDF"/>
    <w:rsid w:val="00123D58"/>
    <w:rsid w:val="00124EAA"/>
    <w:rsid w:val="0012682D"/>
    <w:rsid w:val="001378CB"/>
    <w:rsid w:val="00137D3D"/>
    <w:rsid w:val="00140D08"/>
    <w:rsid w:val="00147437"/>
    <w:rsid w:val="00157A49"/>
    <w:rsid w:val="00171445"/>
    <w:rsid w:val="001721D8"/>
    <w:rsid w:val="0018357E"/>
    <w:rsid w:val="001864A9"/>
    <w:rsid w:val="001924D3"/>
    <w:rsid w:val="001A125B"/>
    <w:rsid w:val="001C1481"/>
    <w:rsid w:val="001C5632"/>
    <w:rsid w:val="001C6362"/>
    <w:rsid w:val="001C75DB"/>
    <w:rsid w:val="001E779F"/>
    <w:rsid w:val="001F6F0B"/>
    <w:rsid w:val="0020343D"/>
    <w:rsid w:val="0021214A"/>
    <w:rsid w:val="00212477"/>
    <w:rsid w:val="00212622"/>
    <w:rsid w:val="002275AE"/>
    <w:rsid w:val="00243A32"/>
    <w:rsid w:val="002451A8"/>
    <w:rsid w:val="002509E9"/>
    <w:rsid w:val="00251DCD"/>
    <w:rsid w:val="0026081C"/>
    <w:rsid w:val="00267FBD"/>
    <w:rsid w:val="002700C4"/>
    <w:rsid w:val="00274F3E"/>
    <w:rsid w:val="00276F3A"/>
    <w:rsid w:val="00286CBE"/>
    <w:rsid w:val="00291397"/>
    <w:rsid w:val="002C7C67"/>
    <w:rsid w:val="002D390F"/>
    <w:rsid w:val="002D575F"/>
    <w:rsid w:val="002D738C"/>
    <w:rsid w:val="002E2F9E"/>
    <w:rsid w:val="002E7EBB"/>
    <w:rsid w:val="002F459B"/>
    <w:rsid w:val="00305691"/>
    <w:rsid w:val="003152DA"/>
    <w:rsid w:val="003240F1"/>
    <w:rsid w:val="0033053B"/>
    <w:rsid w:val="00332874"/>
    <w:rsid w:val="00344247"/>
    <w:rsid w:val="00345DC5"/>
    <w:rsid w:val="00351497"/>
    <w:rsid w:val="00352878"/>
    <w:rsid w:val="00354588"/>
    <w:rsid w:val="00360067"/>
    <w:rsid w:val="00361733"/>
    <w:rsid w:val="0036343A"/>
    <w:rsid w:val="00372195"/>
    <w:rsid w:val="0037373E"/>
    <w:rsid w:val="00375713"/>
    <w:rsid w:val="00382054"/>
    <w:rsid w:val="0038588D"/>
    <w:rsid w:val="003911FC"/>
    <w:rsid w:val="003949A9"/>
    <w:rsid w:val="003B314B"/>
    <w:rsid w:val="003B3B6C"/>
    <w:rsid w:val="003B6839"/>
    <w:rsid w:val="003C1E4E"/>
    <w:rsid w:val="003C45A1"/>
    <w:rsid w:val="003D3B27"/>
    <w:rsid w:val="003D7A5F"/>
    <w:rsid w:val="003F533B"/>
    <w:rsid w:val="0041193B"/>
    <w:rsid w:val="004233B0"/>
    <w:rsid w:val="0044019B"/>
    <w:rsid w:val="00447A5F"/>
    <w:rsid w:val="004555D9"/>
    <w:rsid w:val="00456B5A"/>
    <w:rsid w:val="00457528"/>
    <w:rsid w:val="004664D3"/>
    <w:rsid w:val="0047798D"/>
    <w:rsid w:val="00490561"/>
    <w:rsid w:val="00492602"/>
    <w:rsid w:val="0049423D"/>
    <w:rsid w:val="00494D38"/>
    <w:rsid w:val="00496A8B"/>
    <w:rsid w:val="004A2F31"/>
    <w:rsid w:val="004A3BAA"/>
    <w:rsid w:val="004A7395"/>
    <w:rsid w:val="004B60F8"/>
    <w:rsid w:val="004C1DAD"/>
    <w:rsid w:val="004D1BC7"/>
    <w:rsid w:val="004D20D7"/>
    <w:rsid w:val="004D79B2"/>
    <w:rsid w:val="004E2B38"/>
    <w:rsid w:val="004F1015"/>
    <w:rsid w:val="004F4C29"/>
    <w:rsid w:val="004F5506"/>
    <w:rsid w:val="004F5612"/>
    <w:rsid w:val="005052D9"/>
    <w:rsid w:val="00515665"/>
    <w:rsid w:val="00516394"/>
    <w:rsid w:val="005201F1"/>
    <w:rsid w:val="0052118E"/>
    <w:rsid w:val="00527553"/>
    <w:rsid w:val="00527F95"/>
    <w:rsid w:val="005314A6"/>
    <w:rsid w:val="005502E1"/>
    <w:rsid w:val="0055514F"/>
    <w:rsid w:val="005647B8"/>
    <w:rsid w:val="0056481B"/>
    <w:rsid w:val="0057156C"/>
    <w:rsid w:val="00571898"/>
    <w:rsid w:val="00574ECE"/>
    <w:rsid w:val="00574F07"/>
    <w:rsid w:val="0057528C"/>
    <w:rsid w:val="005760FB"/>
    <w:rsid w:val="00581E50"/>
    <w:rsid w:val="005835F0"/>
    <w:rsid w:val="005842A0"/>
    <w:rsid w:val="00591734"/>
    <w:rsid w:val="005958DD"/>
    <w:rsid w:val="005A57BA"/>
    <w:rsid w:val="005B15B3"/>
    <w:rsid w:val="005B3002"/>
    <w:rsid w:val="005C4976"/>
    <w:rsid w:val="005D723D"/>
    <w:rsid w:val="005E3688"/>
    <w:rsid w:val="005E4902"/>
    <w:rsid w:val="005F2371"/>
    <w:rsid w:val="006167FE"/>
    <w:rsid w:val="00623469"/>
    <w:rsid w:val="00634C49"/>
    <w:rsid w:val="00635BAA"/>
    <w:rsid w:val="00637A67"/>
    <w:rsid w:val="00644AAF"/>
    <w:rsid w:val="00650095"/>
    <w:rsid w:val="006518BB"/>
    <w:rsid w:val="00651CA7"/>
    <w:rsid w:val="00656A01"/>
    <w:rsid w:val="00657D21"/>
    <w:rsid w:val="006615EC"/>
    <w:rsid w:val="006640F7"/>
    <w:rsid w:val="00665EB7"/>
    <w:rsid w:val="00666597"/>
    <w:rsid w:val="00673F96"/>
    <w:rsid w:val="00674418"/>
    <w:rsid w:val="00674428"/>
    <w:rsid w:val="006753A6"/>
    <w:rsid w:val="00686C26"/>
    <w:rsid w:val="00690023"/>
    <w:rsid w:val="00692FFC"/>
    <w:rsid w:val="00696C12"/>
    <w:rsid w:val="00696F48"/>
    <w:rsid w:val="0069772F"/>
    <w:rsid w:val="006A01D2"/>
    <w:rsid w:val="006A1AD3"/>
    <w:rsid w:val="006A767B"/>
    <w:rsid w:val="006A7D28"/>
    <w:rsid w:val="006D3B5F"/>
    <w:rsid w:val="006E0C20"/>
    <w:rsid w:val="006E22A3"/>
    <w:rsid w:val="006E2C41"/>
    <w:rsid w:val="006E3F10"/>
    <w:rsid w:val="006F3232"/>
    <w:rsid w:val="006F35F9"/>
    <w:rsid w:val="00705200"/>
    <w:rsid w:val="00711491"/>
    <w:rsid w:val="00721156"/>
    <w:rsid w:val="00721C37"/>
    <w:rsid w:val="007319D7"/>
    <w:rsid w:val="00731FAF"/>
    <w:rsid w:val="00740A03"/>
    <w:rsid w:val="00740CF9"/>
    <w:rsid w:val="007426BF"/>
    <w:rsid w:val="00760FDF"/>
    <w:rsid w:val="00761F02"/>
    <w:rsid w:val="00763358"/>
    <w:rsid w:val="007757E7"/>
    <w:rsid w:val="00781D3B"/>
    <w:rsid w:val="007A038A"/>
    <w:rsid w:val="007A41F5"/>
    <w:rsid w:val="007A7C9B"/>
    <w:rsid w:val="007B2F2D"/>
    <w:rsid w:val="007B33B4"/>
    <w:rsid w:val="007B4429"/>
    <w:rsid w:val="007B7425"/>
    <w:rsid w:val="007B7FC3"/>
    <w:rsid w:val="007F5417"/>
    <w:rsid w:val="00804116"/>
    <w:rsid w:val="00812480"/>
    <w:rsid w:val="00816C8D"/>
    <w:rsid w:val="00816CE2"/>
    <w:rsid w:val="00821937"/>
    <w:rsid w:val="008340D0"/>
    <w:rsid w:val="008403CA"/>
    <w:rsid w:val="008474A5"/>
    <w:rsid w:val="0085395A"/>
    <w:rsid w:val="00853F8E"/>
    <w:rsid w:val="0086142C"/>
    <w:rsid w:val="008708A6"/>
    <w:rsid w:val="00870F52"/>
    <w:rsid w:val="00872E7F"/>
    <w:rsid w:val="00880FA9"/>
    <w:rsid w:val="008930F1"/>
    <w:rsid w:val="00893F45"/>
    <w:rsid w:val="008B1471"/>
    <w:rsid w:val="008C1341"/>
    <w:rsid w:val="008C5414"/>
    <w:rsid w:val="008C66D8"/>
    <w:rsid w:val="008E4B33"/>
    <w:rsid w:val="008F0130"/>
    <w:rsid w:val="008F2E4C"/>
    <w:rsid w:val="0090153E"/>
    <w:rsid w:val="00905C46"/>
    <w:rsid w:val="00906EEC"/>
    <w:rsid w:val="009166DF"/>
    <w:rsid w:val="009204C7"/>
    <w:rsid w:val="00922030"/>
    <w:rsid w:val="00932FD3"/>
    <w:rsid w:val="009365C7"/>
    <w:rsid w:val="00937424"/>
    <w:rsid w:val="0094076D"/>
    <w:rsid w:val="00941258"/>
    <w:rsid w:val="00942245"/>
    <w:rsid w:val="00944B84"/>
    <w:rsid w:val="00956812"/>
    <w:rsid w:val="0095770E"/>
    <w:rsid w:val="0096296C"/>
    <w:rsid w:val="009669E4"/>
    <w:rsid w:val="009725E5"/>
    <w:rsid w:val="00974CFD"/>
    <w:rsid w:val="00981567"/>
    <w:rsid w:val="009A5821"/>
    <w:rsid w:val="009B5AD2"/>
    <w:rsid w:val="009C0B43"/>
    <w:rsid w:val="009C3981"/>
    <w:rsid w:val="009C46AB"/>
    <w:rsid w:val="009D1341"/>
    <w:rsid w:val="009D6D73"/>
    <w:rsid w:val="009D79C6"/>
    <w:rsid w:val="009E583B"/>
    <w:rsid w:val="009E637A"/>
    <w:rsid w:val="009F0440"/>
    <w:rsid w:val="009F0526"/>
    <w:rsid w:val="00A01DE3"/>
    <w:rsid w:val="00A06542"/>
    <w:rsid w:val="00A079FC"/>
    <w:rsid w:val="00A11371"/>
    <w:rsid w:val="00A120E1"/>
    <w:rsid w:val="00A13403"/>
    <w:rsid w:val="00A2577C"/>
    <w:rsid w:val="00A31FAA"/>
    <w:rsid w:val="00A343A9"/>
    <w:rsid w:val="00A4007E"/>
    <w:rsid w:val="00A5239C"/>
    <w:rsid w:val="00A571F6"/>
    <w:rsid w:val="00A650DC"/>
    <w:rsid w:val="00A6764A"/>
    <w:rsid w:val="00A73A4B"/>
    <w:rsid w:val="00A82AD5"/>
    <w:rsid w:val="00A84255"/>
    <w:rsid w:val="00A853D9"/>
    <w:rsid w:val="00A86B5B"/>
    <w:rsid w:val="00A92226"/>
    <w:rsid w:val="00AC1AC7"/>
    <w:rsid w:val="00AC38FE"/>
    <w:rsid w:val="00AD18B8"/>
    <w:rsid w:val="00AD33D5"/>
    <w:rsid w:val="00AE21FC"/>
    <w:rsid w:val="00AE31DB"/>
    <w:rsid w:val="00AF03C7"/>
    <w:rsid w:val="00B01BAA"/>
    <w:rsid w:val="00B05470"/>
    <w:rsid w:val="00B07BD7"/>
    <w:rsid w:val="00B10207"/>
    <w:rsid w:val="00B10600"/>
    <w:rsid w:val="00B11497"/>
    <w:rsid w:val="00B11A00"/>
    <w:rsid w:val="00B13AA5"/>
    <w:rsid w:val="00B219CA"/>
    <w:rsid w:val="00B3099B"/>
    <w:rsid w:val="00B40A71"/>
    <w:rsid w:val="00B45236"/>
    <w:rsid w:val="00B503C7"/>
    <w:rsid w:val="00B54AB5"/>
    <w:rsid w:val="00B56E48"/>
    <w:rsid w:val="00B645C9"/>
    <w:rsid w:val="00B75DB9"/>
    <w:rsid w:val="00B86F04"/>
    <w:rsid w:val="00B9006F"/>
    <w:rsid w:val="00B92C96"/>
    <w:rsid w:val="00BA64D7"/>
    <w:rsid w:val="00BA68F0"/>
    <w:rsid w:val="00BB185B"/>
    <w:rsid w:val="00BB73D4"/>
    <w:rsid w:val="00BD08CA"/>
    <w:rsid w:val="00BE0808"/>
    <w:rsid w:val="00BF0DF4"/>
    <w:rsid w:val="00C00CF2"/>
    <w:rsid w:val="00C11625"/>
    <w:rsid w:val="00C15672"/>
    <w:rsid w:val="00C21680"/>
    <w:rsid w:val="00C24EF5"/>
    <w:rsid w:val="00C304E6"/>
    <w:rsid w:val="00C31421"/>
    <w:rsid w:val="00C33753"/>
    <w:rsid w:val="00C34E50"/>
    <w:rsid w:val="00C35B94"/>
    <w:rsid w:val="00C37DFB"/>
    <w:rsid w:val="00C50DA3"/>
    <w:rsid w:val="00C51C8A"/>
    <w:rsid w:val="00C542B6"/>
    <w:rsid w:val="00C559C9"/>
    <w:rsid w:val="00C56E35"/>
    <w:rsid w:val="00C82FA4"/>
    <w:rsid w:val="00C91431"/>
    <w:rsid w:val="00C9773A"/>
    <w:rsid w:val="00CA0669"/>
    <w:rsid w:val="00CA1E7C"/>
    <w:rsid w:val="00CB0030"/>
    <w:rsid w:val="00CB54C1"/>
    <w:rsid w:val="00CB7521"/>
    <w:rsid w:val="00CC57AC"/>
    <w:rsid w:val="00CC776C"/>
    <w:rsid w:val="00CD6D68"/>
    <w:rsid w:val="00CE6D58"/>
    <w:rsid w:val="00CF2057"/>
    <w:rsid w:val="00CF316E"/>
    <w:rsid w:val="00CF4730"/>
    <w:rsid w:val="00D0584B"/>
    <w:rsid w:val="00D2695E"/>
    <w:rsid w:val="00D35DDB"/>
    <w:rsid w:val="00D450C8"/>
    <w:rsid w:val="00D521FA"/>
    <w:rsid w:val="00D66801"/>
    <w:rsid w:val="00D67F8C"/>
    <w:rsid w:val="00D76C6E"/>
    <w:rsid w:val="00D775E6"/>
    <w:rsid w:val="00D779F2"/>
    <w:rsid w:val="00D81121"/>
    <w:rsid w:val="00D939D0"/>
    <w:rsid w:val="00DA6A55"/>
    <w:rsid w:val="00DB423E"/>
    <w:rsid w:val="00DC4503"/>
    <w:rsid w:val="00DE00CF"/>
    <w:rsid w:val="00DE11BB"/>
    <w:rsid w:val="00DF73DB"/>
    <w:rsid w:val="00E06F7D"/>
    <w:rsid w:val="00E24139"/>
    <w:rsid w:val="00E336D0"/>
    <w:rsid w:val="00E3616D"/>
    <w:rsid w:val="00E50862"/>
    <w:rsid w:val="00E60ABB"/>
    <w:rsid w:val="00E61251"/>
    <w:rsid w:val="00E62D91"/>
    <w:rsid w:val="00E67611"/>
    <w:rsid w:val="00E67713"/>
    <w:rsid w:val="00E72DFF"/>
    <w:rsid w:val="00E82BC6"/>
    <w:rsid w:val="00E83788"/>
    <w:rsid w:val="00E905E5"/>
    <w:rsid w:val="00E92E47"/>
    <w:rsid w:val="00E93C74"/>
    <w:rsid w:val="00E94147"/>
    <w:rsid w:val="00E9576D"/>
    <w:rsid w:val="00EA3650"/>
    <w:rsid w:val="00EC08AC"/>
    <w:rsid w:val="00EC1948"/>
    <w:rsid w:val="00ED4639"/>
    <w:rsid w:val="00EE0A00"/>
    <w:rsid w:val="00EE3569"/>
    <w:rsid w:val="00EE54D2"/>
    <w:rsid w:val="00EF7C8A"/>
    <w:rsid w:val="00F2514F"/>
    <w:rsid w:val="00F25E7F"/>
    <w:rsid w:val="00F274DE"/>
    <w:rsid w:val="00F3158E"/>
    <w:rsid w:val="00F32CA4"/>
    <w:rsid w:val="00F540FC"/>
    <w:rsid w:val="00F55D7A"/>
    <w:rsid w:val="00F55DD9"/>
    <w:rsid w:val="00F6038A"/>
    <w:rsid w:val="00F643E6"/>
    <w:rsid w:val="00F7208C"/>
    <w:rsid w:val="00F7532E"/>
    <w:rsid w:val="00F76D69"/>
    <w:rsid w:val="00F9012C"/>
    <w:rsid w:val="00F9097E"/>
    <w:rsid w:val="00F93C6C"/>
    <w:rsid w:val="00F97C45"/>
    <w:rsid w:val="00FA5147"/>
    <w:rsid w:val="00FB0C11"/>
    <w:rsid w:val="00FB36AD"/>
    <w:rsid w:val="00FB5301"/>
    <w:rsid w:val="00FD4894"/>
    <w:rsid w:val="00FE5811"/>
    <w:rsid w:val="00FE6B9E"/>
    <w:rsid w:val="00FF2520"/>
    <w:rsid w:val="00FF40A0"/>
    <w:rsid w:val="00FF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0F7"/>
    <w:pPr>
      <w:spacing w:line="276" w:lineRule="auto"/>
    </w:pPr>
    <w:rPr>
      <w:rFonts w:ascii="Arial" w:hAnsi="Arial"/>
      <w:sz w:val="22"/>
      <w:szCs w:val="24"/>
    </w:rPr>
  </w:style>
  <w:style w:type="paragraph" w:styleId="Heading1">
    <w:name w:val="heading 1"/>
    <w:basedOn w:val="Normal"/>
    <w:next w:val="Normal"/>
    <w:link w:val="Heading1Char"/>
    <w:qFormat/>
    <w:rsid w:val="009669E4"/>
    <w:pPr>
      <w:spacing w:before="480"/>
      <w:jc w:val="center"/>
      <w:outlineLvl w:val="0"/>
    </w:pPr>
    <w:rPr>
      <w:rFonts w:ascii="Arial Black" w:hAnsi="Arial Black"/>
      <w:sz w:val="44"/>
      <w:szCs w:val="44"/>
    </w:rPr>
  </w:style>
  <w:style w:type="paragraph" w:styleId="Heading2">
    <w:name w:val="heading 2"/>
    <w:basedOn w:val="Normal"/>
    <w:next w:val="Normal"/>
    <w:link w:val="Heading2Char"/>
    <w:unhideWhenUsed/>
    <w:qFormat/>
    <w:rsid w:val="00DF73DB"/>
    <w:pPr>
      <w:keepNext/>
      <w:keepLines/>
      <w:spacing w:before="160" w:after="120"/>
      <w:outlineLvl w:val="1"/>
    </w:pPr>
    <w:rPr>
      <w:rFonts w:ascii="Arial Black" w:eastAsiaTheme="majorEastAsia" w:hAnsi="Arial Black" w:cstheme="majorBidi"/>
      <w:szCs w:val="26"/>
    </w:rPr>
  </w:style>
  <w:style w:type="paragraph" w:styleId="Heading3">
    <w:name w:val="heading 3"/>
    <w:basedOn w:val="Normal"/>
    <w:next w:val="Normal"/>
    <w:link w:val="Heading3Char"/>
    <w:unhideWhenUsed/>
    <w:qFormat/>
    <w:rsid w:val="00DF73DB"/>
    <w:pPr>
      <w:keepNext/>
      <w:keepLines/>
      <w:spacing w:before="160" w:after="120"/>
      <w:outlineLvl w:val="2"/>
    </w:pPr>
    <w:rPr>
      <w:rFonts w:ascii="Arial Black" w:eastAsiaTheme="majorEastAsia" w:hAnsi="Arial Black" w:cstheme="majorBidi"/>
    </w:rPr>
  </w:style>
  <w:style w:type="paragraph" w:styleId="Heading4">
    <w:name w:val="heading 4"/>
    <w:basedOn w:val="Normal"/>
    <w:next w:val="Normal"/>
    <w:link w:val="Heading4Char"/>
    <w:unhideWhenUsed/>
    <w:qFormat/>
    <w:rsid w:val="00E837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cs="Arial"/>
      <w:color w:val="000000"/>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9669E4"/>
    <w:rPr>
      <w:rFonts w:ascii="Arial Black" w:hAnsi="Arial Black"/>
      <w:sz w:val="44"/>
      <w:szCs w:val="44"/>
    </w:rPr>
  </w:style>
  <w:style w:type="character" w:customStyle="1" w:styleId="Heading2Char">
    <w:name w:val="Heading 2 Char"/>
    <w:basedOn w:val="DefaultParagraphFont"/>
    <w:link w:val="Heading2"/>
    <w:rsid w:val="00DF73DB"/>
    <w:rPr>
      <w:rFonts w:ascii="Arial Black" w:eastAsiaTheme="majorEastAsia" w:hAnsi="Arial Black" w:cstheme="majorBidi"/>
      <w:sz w:val="24"/>
      <w:szCs w:val="26"/>
    </w:rPr>
  </w:style>
  <w:style w:type="character" w:customStyle="1" w:styleId="Heading3Char">
    <w:name w:val="Heading 3 Char"/>
    <w:basedOn w:val="DefaultParagraphFont"/>
    <w:link w:val="Heading3"/>
    <w:rsid w:val="00DF73DB"/>
    <w:rPr>
      <w:rFonts w:ascii="Arial Black" w:eastAsiaTheme="majorEastAsia" w:hAnsi="Arial Black" w:cstheme="majorBidi"/>
      <w:sz w:val="22"/>
      <w:szCs w:val="24"/>
    </w:rPr>
  </w:style>
  <w:style w:type="paragraph" w:customStyle="1" w:styleId="Bulletedlist">
    <w:name w:val="Bulleted list"/>
    <w:basedOn w:val="Normal"/>
    <w:link w:val="BulletedlistChar"/>
    <w:qFormat/>
    <w:rsid w:val="00A2577C"/>
    <w:pPr>
      <w:numPr>
        <w:numId w:val="2"/>
      </w:numPr>
      <w:ind w:left="720"/>
    </w:pPr>
    <w:rPr>
      <w:rFonts w:cs="Arial"/>
      <w:szCs w:val="22"/>
    </w:rPr>
  </w:style>
  <w:style w:type="character" w:customStyle="1" w:styleId="BulletedlistChar">
    <w:name w:val="Bulleted list Char"/>
    <w:basedOn w:val="DefaultParagraphFont"/>
    <w:link w:val="Bulletedlist"/>
    <w:rsid w:val="00A2577C"/>
    <w:rPr>
      <w:rFonts w:ascii="Arial" w:hAnsi="Arial" w:cs="Arial"/>
      <w:sz w:val="22"/>
      <w:szCs w:val="22"/>
    </w:rPr>
  </w:style>
  <w:style w:type="paragraph" w:customStyle="1" w:styleId="Numberedlist">
    <w:name w:val="Numbered list"/>
    <w:basedOn w:val="Normal"/>
    <w:link w:val="NumberedlistChar"/>
    <w:qFormat/>
    <w:rsid w:val="00C24EF5"/>
    <w:pPr>
      <w:numPr>
        <w:numId w:val="1"/>
      </w:numPr>
      <w:autoSpaceDE w:val="0"/>
      <w:autoSpaceDN w:val="0"/>
      <w:adjustRightInd w:val="0"/>
    </w:pPr>
    <w:rPr>
      <w:rFonts w:cs="Arial"/>
      <w:color w:val="000000"/>
      <w:lang w:val="fr-FR"/>
    </w:rPr>
  </w:style>
  <w:style w:type="character" w:customStyle="1" w:styleId="NumberedlistChar">
    <w:name w:val="Numbered list Char"/>
    <w:basedOn w:val="DefaultParagraphFont"/>
    <w:link w:val="Numberedlist"/>
    <w:rsid w:val="00C24EF5"/>
    <w:rPr>
      <w:rFonts w:ascii="Arial" w:hAnsi="Arial" w:cs="Arial"/>
      <w:color w:val="000000"/>
      <w:sz w:val="22"/>
      <w:szCs w:val="24"/>
      <w:lang w:val="fr-FR"/>
    </w:rPr>
  </w:style>
  <w:style w:type="paragraph" w:customStyle="1" w:styleId="subbullet">
    <w:name w:val="subbullet"/>
    <w:basedOn w:val="Bulletedlist"/>
    <w:link w:val="subbulletChar"/>
    <w:qFormat/>
    <w:rsid w:val="006A1AD3"/>
    <w:pPr>
      <w:ind w:left="1440"/>
    </w:pPr>
  </w:style>
  <w:style w:type="character" w:customStyle="1" w:styleId="subbulletChar">
    <w:name w:val="subbullet Char"/>
    <w:basedOn w:val="BulletedlistChar"/>
    <w:link w:val="subbullet"/>
    <w:rsid w:val="006A1AD3"/>
    <w:rPr>
      <w:rFonts w:ascii="Arial" w:hAnsi="Arial" w:cs="Arial"/>
      <w:sz w:val="22"/>
      <w:szCs w:val="22"/>
    </w:rPr>
  </w:style>
  <w:style w:type="paragraph" w:styleId="Revision">
    <w:name w:val="Revision"/>
    <w:hidden/>
    <w:uiPriority w:val="99"/>
    <w:semiHidden/>
    <w:rsid w:val="004E2B38"/>
    <w:rPr>
      <w:rFonts w:ascii="Arial" w:hAnsi="Arial"/>
      <w:sz w:val="22"/>
      <w:szCs w:val="24"/>
    </w:rPr>
  </w:style>
  <w:style w:type="character" w:styleId="FollowedHyperlink">
    <w:name w:val="FollowedHyperlink"/>
    <w:basedOn w:val="DefaultParagraphFont"/>
    <w:semiHidden/>
    <w:unhideWhenUsed/>
    <w:rsid w:val="005201F1"/>
    <w:rPr>
      <w:color w:val="800080" w:themeColor="followedHyperlink"/>
      <w:u w:val="single"/>
    </w:rPr>
  </w:style>
  <w:style w:type="character" w:styleId="UnresolvedMention">
    <w:name w:val="Unresolved Mention"/>
    <w:basedOn w:val="DefaultParagraphFont"/>
    <w:uiPriority w:val="99"/>
    <w:semiHidden/>
    <w:unhideWhenUsed/>
    <w:rsid w:val="00E905E5"/>
    <w:rPr>
      <w:color w:val="605E5C"/>
      <w:shd w:val="clear" w:color="auto" w:fill="E1DFDD"/>
    </w:rPr>
  </w:style>
  <w:style w:type="character" w:styleId="CommentReference">
    <w:name w:val="annotation reference"/>
    <w:basedOn w:val="DefaultParagraphFont"/>
    <w:semiHidden/>
    <w:unhideWhenUsed/>
    <w:rsid w:val="00BB73D4"/>
    <w:rPr>
      <w:sz w:val="16"/>
      <w:szCs w:val="16"/>
    </w:rPr>
  </w:style>
  <w:style w:type="paragraph" w:styleId="CommentText">
    <w:name w:val="annotation text"/>
    <w:basedOn w:val="Normal"/>
    <w:link w:val="CommentTextChar"/>
    <w:unhideWhenUsed/>
    <w:rsid w:val="00BB73D4"/>
    <w:pPr>
      <w:spacing w:line="240" w:lineRule="auto"/>
    </w:pPr>
    <w:rPr>
      <w:sz w:val="20"/>
      <w:szCs w:val="20"/>
    </w:rPr>
  </w:style>
  <w:style w:type="character" w:customStyle="1" w:styleId="CommentTextChar">
    <w:name w:val="Comment Text Char"/>
    <w:basedOn w:val="DefaultParagraphFont"/>
    <w:link w:val="CommentText"/>
    <w:rsid w:val="00BB73D4"/>
    <w:rPr>
      <w:rFonts w:ascii="Arial" w:hAnsi="Arial"/>
    </w:rPr>
  </w:style>
  <w:style w:type="paragraph" w:styleId="CommentSubject">
    <w:name w:val="annotation subject"/>
    <w:basedOn w:val="CommentText"/>
    <w:next w:val="CommentText"/>
    <w:link w:val="CommentSubjectChar"/>
    <w:semiHidden/>
    <w:unhideWhenUsed/>
    <w:rsid w:val="00BB73D4"/>
    <w:rPr>
      <w:b/>
      <w:bCs/>
    </w:rPr>
  </w:style>
  <w:style w:type="character" w:customStyle="1" w:styleId="CommentSubjectChar">
    <w:name w:val="Comment Subject Char"/>
    <w:basedOn w:val="CommentTextChar"/>
    <w:link w:val="CommentSubject"/>
    <w:semiHidden/>
    <w:rsid w:val="00BB73D4"/>
    <w:rPr>
      <w:rFonts w:ascii="Arial" w:hAnsi="Arial"/>
      <w:b/>
      <w:bCs/>
    </w:rPr>
  </w:style>
  <w:style w:type="character" w:customStyle="1" w:styleId="Heading4Char">
    <w:name w:val="Heading 4 Char"/>
    <w:basedOn w:val="DefaultParagraphFont"/>
    <w:link w:val="Heading4"/>
    <w:rsid w:val="00E83788"/>
    <w:rPr>
      <w:rFonts w:asciiTheme="majorHAnsi" w:eastAsiaTheme="majorEastAsia" w:hAnsiTheme="majorHAnsi" w:cstheme="majorBidi"/>
      <w:i/>
      <w:iCs/>
      <w:color w:val="365F91" w:themeColor="accent1" w:themeShade="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medicare/coverage/prescription-drug-coverage/medicare-glp-1-brid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regulations/130-CMR-406000-pharmacy-servic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4827</Characters>
  <Application>Microsoft Office Word</Application>
  <DocSecurity>0</DocSecurity>
  <Lines>79</Lines>
  <Paragraphs>32</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2026-06-29T16:54:00Z</dcterms:created>
  <dcterms:modified xsi:type="dcterms:W3CDTF">2026-06-29T16:54:00Z</dcterms:modified>
</cp:coreProperties>
</file>