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0"/>
        <w:rPr>
          <w:rFonts w:ascii="Times New Roman"/>
          <w:sz w:val="20"/>
        </w:rPr>
      </w:pPr>
      <w:r>
        <w:rPr>
          <w:rFonts w:ascii="Times New Roman"/>
          <w:sz w:val="20"/>
        </w:rPr>
        <w:pict>
          <v:group style="width:549.6pt;height:117pt;mso-position-horizontal-relative:char;mso-position-vertical-relative:line" coordorigin="0,0" coordsize="10992,2340">
            <v:shape style="position:absolute;left:0;top:0;width:10992;height:2340" type="#_x0000_t75" stroked="false">
              <v:imagedata r:id="rId5" o:title=""/>
            </v:shape>
            <v:shapetype id="_x0000_t202" o:spt="202" coordsize="21600,21600" path="m,l,21600r21600,l21600,xe">
              <v:stroke joinstyle="miter"/>
              <v:path gradientshapeok="t" o:connecttype="rect"/>
            </v:shapetype>
            <v:shape style="position:absolute;left:864;top:972;width:942;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28</w:t>
                    </w:r>
                  </w:p>
                  <w:p>
                    <w:pPr>
                      <w:spacing w:before="44"/>
                      <w:ind w:left="0" w:right="0" w:firstLine="0"/>
                      <w:jc w:val="left"/>
                      <w:rPr>
                        <w:rFonts w:ascii="Arial Narrow"/>
                        <w:b/>
                        <w:sz w:val="20"/>
                      </w:rPr>
                    </w:pPr>
                    <w:r>
                      <w:rPr>
                        <w:rFonts w:ascii="Arial Narrow"/>
                        <w:b/>
                        <w:sz w:val="20"/>
                      </w:rPr>
                      <w:t>July 2, 2007</w:t>
                    </w:r>
                  </w:p>
                </w:txbxContent>
              </v:textbox>
              <w10:wrap type="none"/>
            </v:shape>
            <v:shape style="position:absolute;left:4070;top:2134;width:2500;height:204" type="#_x0000_t202" filled="false" stroked="false">
              <v:textbox inset="0,0,0,0">
                <w:txbxContent>
                  <w:p>
                    <w:pPr>
                      <w:spacing w:line="204" w:lineRule="exact" w:before="0"/>
                      <w:ind w:left="0" w:right="0" w:firstLine="0"/>
                      <w:jc w:val="left"/>
                      <w:rPr>
                        <w:rFonts w:ascii="Arial Narrow"/>
                        <w:sz w:val="18"/>
                      </w:rPr>
                    </w:pPr>
                    <w:hyperlink r:id="rId6">
                      <w:r>
                        <w:rPr>
                          <w:rFonts w:ascii="Arial Narrow"/>
                          <w:sz w:val="18"/>
                        </w:rPr>
                        <w:t>www.mass.gov/masshealth/pharmacy</w:t>
                      </w:r>
                    </w:hyperlink>
                  </w:p>
                </w:txbxContent>
              </v:textbox>
              <w10:wrap type="none"/>
            </v:shape>
          </v:group>
        </w:pict>
      </w:r>
      <w:r>
        <w:rPr>
          <w:rFonts w:ascii="Times New Roman"/>
          <w:sz w:val="20"/>
        </w:rPr>
      </w:r>
    </w:p>
    <w:tbl>
      <w:tblPr>
        <w:tblW w:w="0" w:type="auto"/>
        <w:jc w:val="left"/>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
        <w:gridCol w:w="5202"/>
        <w:gridCol w:w="5303"/>
        <w:gridCol w:w="475"/>
      </w:tblGrid>
      <w:tr>
        <w:trPr>
          <w:trHeight w:val="300" w:hRule="atLeast"/>
        </w:trPr>
        <w:tc>
          <w:tcPr>
            <w:tcW w:w="10613" w:type="dxa"/>
            <w:gridSpan w:val="3"/>
            <w:tcBorders>
              <w:top w:val="single" w:sz="8" w:space="0" w:color="000000"/>
              <w:bottom w:val="single" w:sz="8" w:space="0" w:color="000000"/>
            </w:tcBorders>
          </w:tcPr>
          <w:p>
            <w:pPr>
              <w:pStyle w:val="TableParagraph"/>
              <w:numPr>
                <w:ilvl w:val="0"/>
                <w:numId w:val="1"/>
              </w:numPr>
              <w:tabs>
                <w:tab w:pos="1808" w:val="left" w:leader="none"/>
              </w:tabs>
              <w:spacing w:line="240" w:lineRule="auto" w:before="0" w:after="0"/>
              <w:ind w:left="1807"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Chuck Young</w:t>
            </w:r>
            <w:r>
              <w:rPr>
                <w:rFonts w:ascii="Arial Narrow" w:hAnsi="Arial Narrow"/>
                <w:spacing w:val="-22"/>
                <w:sz w:val="18"/>
              </w:rPr>
              <w:t> </w:t>
            </w:r>
            <w:r>
              <w:rPr>
                <w:rFonts w:ascii="Arial Black" w:hAnsi="Arial Black"/>
                <w:b/>
                <w:sz w:val="18"/>
              </w:rPr>
              <w:t>•</w:t>
            </w:r>
          </w:p>
        </w:tc>
        <w:tc>
          <w:tcPr>
            <w:tcW w:w="475" w:type="dxa"/>
          </w:tcPr>
          <w:p>
            <w:pPr>
              <w:pStyle w:val="TableParagraph"/>
              <w:rPr>
                <w:rFonts w:ascii="Times New Roman"/>
                <w:sz w:val="18"/>
              </w:rPr>
            </w:pPr>
          </w:p>
        </w:tc>
      </w:tr>
      <w:tr>
        <w:trPr>
          <w:trHeight w:val="11680" w:hRule="atLeast"/>
        </w:trPr>
        <w:tc>
          <w:tcPr>
            <w:tcW w:w="108" w:type="dxa"/>
            <w:tcBorders>
              <w:top w:val="single" w:sz="8" w:space="0" w:color="000000"/>
            </w:tcBorders>
          </w:tcPr>
          <w:p>
            <w:pPr>
              <w:pStyle w:val="TableParagraph"/>
              <w:rPr>
                <w:rFonts w:ascii="Times New Roman"/>
                <w:sz w:val="18"/>
              </w:rPr>
            </w:pPr>
          </w:p>
        </w:tc>
        <w:tc>
          <w:tcPr>
            <w:tcW w:w="5202" w:type="dxa"/>
            <w:tcBorders>
              <w:top w:val="single" w:sz="8" w:space="0" w:color="000000"/>
              <w:bottom w:val="double" w:sz="2" w:space="0" w:color="000000"/>
              <w:right w:val="single" w:sz="4" w:space="0" w:color="000000"/>
            </w:tcBorders>
          </w:tcPr>
          <w:p>
            <w:pPr>
              <w:pStyle w:val="TableParagraph"/>
              <w:spacing w:before="199"/>
              <w:rPr>
                <w:rFonts w:ascii="Arial Black"/>
                <w:b/>
                <w:sz w:val="22"/>
              </w:rPr>
            </w:pPr>
            <w:r>
              <w:rPr>
                <w:rFonts w:ascii="Arial Black"/>
                <w:b/>
                <w:sz w:val="22"/>
              </w:rPr>
              <w:t>MHDL Updates</w:t>
            </w:r>
          </w:p>
          <w:p>
            <w:pPr>
              <w:pStyle w:val="TableParagraph"/>
              <w:numPr>
                <w:ilvl w:val="0"/>
                <w:numId w:val="2"/>
              </w:numPr>
              <w:tabs>
                <w:tab w:pos="361" w:val="left" w:leader="none"/>
              </w:tabs>
              <w:spacing w:line="240" w:lineRule="auto" w:before="80" w:after="0"/>
              <w:ind w:left="360" w:right="0" w:hanging="360"/>
              <w:jc w:val="left"/>
              <w:rPr>
                <w:b/>
                <w:sz w:val="20"/>
              </w:rPr>
            </w:pPr>
            <w:r>
              <w:rPr>
                <w:b/>
                <w:sz w:val="20"/>
              </w:rPr>
              <w:t>Additions</w:t>
            </w:r>
          </w:p>
          <w:p>
            <w:pPr>
              <w:pStyle w:val="TableParagraph"/>
              <w:spacing w:before="182"/>
              <w:ind w:left="18" w:right="163" w:hanging="19"/>
              <w:rPr>
                <w:sz w:val="20"/>
              </w:rPr>
            </w:pPr>
            <w:r>
              <w:rPr>
                <w:sz w:val="20"/>
              </w:rPr>
              <w:t>The following newly marketed drugs have been added to the MassHealth Drug List.</w:t>
            </w:r>
          </w:p>
          <w:p>
            <w:pPr>
              <w:pStyle w:val="TableParagraph"/>
              <w:spacing w:before="10"/>
              <w:rPr>
                <w:rFonts w:ascii="Times New Roman"/>
                <w:sz w:val="19"/>
              </w:rPr>
            </w:pPr>
          </w:p>
          <w:p>
            <w:pPr>
              <w:pStyle w:val="TableParagraph"/>
              <w:ind w:left="197" w:right="2190"/>
              <w:rPr>
                <w:b/>
                <w:sz w:val="20"/>
              </w:rPr>
            </w:pPr>
            <w:r>
              <w:rPr>
                <w:sz w:val="20"/>
              </w:rPr>
              <w:t>Brovana (arformoterol) – </w:t>
            </w:r>
            <w:r>
              <w:rPr>
                <w:b/>
                <w:sz w:val="20"/>
              </w:rPr>
              <w:t>PA </w:t>
            </w:r>
            <w:r>
              <w:rPr>
                <w:sz w:val="20"/>
              </w:rPr>
              <w:t>Desonate (desonide) – </w:t>
            </w:r>
            <w:r>
              <w:rPr>
                <w:b/>
                <w:sz w:val="20"/>
              </w:rPr>
              <w:t>PA </w:t>
            </w:r>
            <w:r>
              <w:rPr>
                <w:sz w:val="20"/>
              </w:rPr>
              <w:t>Fexmid (cyclobenzaprine) – </w:t>
            </w:r>
            <w:r>
              <w:rPr>
                <w:b/>
                <w:sz w:val="20"/>
              </w:rPr>
              <w:t>PA</w:t>
            </w:r>
          </w:p>
          <w:p>
            <w:pPr>
              <w:pStyle w:val="TableParagraph"/>
              <w:spacing w:line="229" w:lineRule="exact"/>
              <w:ind w:left="197"/>
              <w:jc w:val="both"/>
              <w:rPr>
                <w:b/>
                <w:sz w:val="20"/>
              </w:rPr>
            </w:pPr>
            <w:r>
              <w:rPr>
                <w:sz w:val="20"/>
              </w:rPr>
              <w:t>Janumet (sitagliptin/metformin) – </w:t>
            </w:r>
            <w:r>
              <w:rPr>
                <w:b/>
                <w:sz w:val="20"/>
              </w:rPr>
              <w:t>PA</w:t>
            </w:r>
          </w:p>
          <w:p>
            <w:pPr>
              <w:pStyle w:val="TableParagraph"/>
              <w:spacing w:before="1"/>
              <w:ind w:left="197"/>
              <w:jc w:val="both"/>
              <w:rPr>
                <w:b/>
                <w:sz w:val="20"/>
              </w:rPr>
            </w:pPr>
            <w:r>
              <w:rPr>
                <w:sz w:val="20"/>
              </w:rPr>
              <w:t>Lialda (mesalamine) – </w:t>
            </w:r>
            <w:r>
              <w:rPr>
                <w:b/>
                <w:sz w:val="20"/>
              </w:rPr>
              <w:t>PA</w:t>
            </w:r>
          </w:p>
          <w:p>
            <w:pPr>
              <w:pStyle w:val="TableParagraph"/>
              <w:ind w:left="197" w:right="1040"/>
              <w:jc w:val="both"/>
              <w:rPr>
                <w:b/>
                <w:sz w:val="20"/>
              </w:rPr>
            </w:pPr>
            <w:r>
              <w:rPr>
                <w:sz w:val="20"/>
              </w:rPr>
              <w:t>Liquicet (hydrocodone/acetaminophen) – </w:t>
            </w:r>
            <w:r>
              <w:rPr>
                <w:b/>
                <w:sz w:val="20"/>
              </w:rPr>
              <w:t>PA </w:t>
            </w:r>
            <w:r>
              <w:rPr>
                <w:sz w:val="20"/>
              </w:rPr>
              <w:t>Magnacet (oxycodone/acetaminophen) – </w:t>
            </w:r>
            <w:r>
              <w:rPr>
                <w:b/>
                <w:sz w:val="20"/>
              </w:rPr>
              <w:t>PA </w:t>
            </w:r>
            <w:r>
              <w:rPr>
                <w:sz w:val="20"/>
              </w:rPr>
              <w:t>Omnitrope (somatropin) – </w:t>
            </w:r>
            <w:r>
              <w:rPr>
                <w:b/>
                <w:sz w:val="20"/>
              </w:rPr>
              <w:t>PA</w:t>
            </w:r>
          </w:p>
          <w:p>
            <w:pPr>
              <w:pStyle w:val="TableParagraph"/>
              <w:spacing w:line="229" w:lineRule="exact"/>
              <w:ind w:left="197"/>
              <w:jc w:val="both"/>
              <w:rPr>
                <w:b/>
                <w:sz w:val="20"/>
              </w:rPr>
            </w:pPr>
            <w:r>
              <w:rPr>
                <w:sz w:val="20"/>
              </w:rPr>
              <w:t>Pataday (olopatadine) – </w:t>
            </w:r>
            <w:r>
              <w:rPr>
                <w:b/>
                <w:sz w:val="20"/>
              </w:rPr>
              <w:t>PA</w:t>
            </w:r>
          </w:p>
          <w:p>
            <w:pPr>
              <w:pStyle w:val="TableParagraph"/>
              <w:spacing w:before="1"/>
              <w:ind w:left="197"/>
              <w:jc w:val="both"/>
              <w:rPr>
                <w:sz w:val="20"/>
              </w:rPr>
            </w:pPr>
            <w:r>
              <w:rPr>
                <w:sz w:val="20"/>
              </w:rPr>
              <w:t>Pylera (bismuth subcitrate/metronidazole/tetracycline) –</w:t>
            </w:r>
          </w:p>
          <w:p>
            <w:pPr>
              <w:pStyle w:val="TableParagraph"/>
              <w:spacing w:line="229" w:lineRule="exact" w:before="1"/>
              <w:ind w:left="287"/>
              <w:jc w:val="both"/>
              <w:rPr>
                <w:b/>
                <w:sz w:val="20"/>
              </w:rPr>
            </w:pPr>
            <w:r>
              <w:rPr>
                <w:b/>
                <w:sz w:val="20"/>
              </w:rPr>
              <w:t>PA</w:t>
            </w:r>
          </w:p>
          <w:p>
            <w:pPr>
              <w:pStyle w:val="TableParagraph"/>
              <w:ind w:left="197" w:right="2750"/>
              <w:jc w:val="both"/>
              <w:rPr>
                <w:sz w:val="20"/>
              </w:rPr>
            </w:pPr>
            <w:r>
              <w:rPr>
                <w:sz w:val="20"/>
              </w:rPr>
              <w:t>Qualaquin (quinine) – </w:t>
            </w:r>
            <w:r>
              <w:rPr>
                <w:b/>
                <w:sz w:val="20"/>
              </w:rPr>
              <w:t>PA </w:t>
            </w:r>
            <w:r>
              <w:rPr>
                <w:sz w:val="20"/>
              </w:rPr>
              <w:t>Soliris (eculizumab) – </w:t>
            </w:r>
            <w:r>
              <w:rPr>
                <w:b/>
                <w:sz w:val="20"/>
              </w:rPr>
              <w:t>PA </w:t>
            </w:r>
            <w:r>
              <w:rPr>
                <w:sz w:val="20"/>
              </w:rPr>
              <w:t>Tekturna (aliskiren) – </w:t>
            </w:r>
            <w:r>
              <w:rPr>
                <w:b/>
                <w:sz w:val="20"/>
              </w:rPr>
              <w:t>PA </w:t>
            </w:r>
            <w:r>
              <w:rPr>
                <w:sz w:val="20"/>
              </w:rPr>
              <w:t>Tykerb (lapatinib)</w:t>
            </w:r>
          </w:p>
          <w:p>
            <w:pPr>
              <w:pStyle w:val="TableParagraph"/>
              <w:numPr>
                <w:ilvl w:val="0"/>
                <w:numId w:val="2"/>
              </w:numPr>
              <w:tabs>
                <w:tab w:pos="360" w:val="left" w:leader="none"/>
              </w:tabs>
              <w:spacing w:line="240" w:lineRule="auto" w:before="188" w:after="0"/>
              <w:ind w:left="359" w:right="0" w:hanging="359"/>
              <w:jc w:val="left"/>
              <w:rPr>
                <w:b/>
                <w:sz w:val="21"/>
              </w:rPr>
            </w:pPr>
            <w:r>
              <w:rPr>
                <w:b/>
                <w:sz w:val="21"/>
              </w:rPr>
              <w:t>New FDA “A” – Rated</w:t>
            </w:r>
            <w:r>
              <w:rPr>
                <w:b/>
                <w:spacing w:val="-17"/>
                <w:sz w:val="21"/>
              </w:rPr>
              <w:t> </w:t>
            </w:r>
            <w:r>
              <w:rPr>
                <w:b/>
                <w:sz w:val="21"/>
              </w:rPr>
              <w:t>Generics</w:t>
            </w:r>
          </w:p>
          <w:p>
            <w:pPr>
              <w:pStyle w:val="TableParagraph"/>
              <w:spacing w:before="181"/>
              <w:ind w:right="207"/>
              <w:rPr>
                <w:sz w:val="20"/>
              </w:rPr>
            </w:pPr>
            <w:r>
              <w:rPr>
                <w:sz w:val="20"/>
              </w:rPr>
              <w:t>The following FDA “A”- rated generic drugs have been added to the MassHealth Drug List. The brand name is listed with a # symbol, to indicate that prior authorization is required for the brand.</w:t>
            </w:r>
          </w:p>
          <w:p>
            <w:pPr>
              <w:pStyle w:val="TableParagraph"/>
              <w:spacing w:before="193"/>
              <w:rPr>
                <w:b/>
                <w:sz w:val="20"/>
              </w:rPr>
            </w:pPr>
            <w:r>
              <w:rPr>
                <w:b/>
                <w:sz w:val="20"/>
                <w:u w:val="thick"/>
              </w:rPr>
              <w:t>New FDA “A” - Rated</w:t>
            </w:r>
          </w:p>
          <w:p>
            <w:pPr>
              <w:pStyle w:val="TableParagraph"/>
              <w:tabs>
                <w:tab w:pos="2447" w:val="left" w:leader="none"/>
              </w:tabs>
              <w:rPr>
                <w:b/>
                <w:sz w:val="20"/>
              </w:rPr>
            </w:pPr>
            <w:r>
              <w:rPr>
                <w:b/>
                <w:sz w:val="20"/>
                <w:u w:val="thick"/>
              </w:rPr>
              <w:t>Generic</w:t>
            </w:r>
            <w:r>
              <w:rPr>
                <w:b/>
                <w:spacing w:val="-2"/>
                <w:sz w:val="20"/>
                <w:u w:val="thick"/>
              </w:rPr>
              <w:t> </w:t>
            </w:r>
            <w:r>
              <w:rPr>
                <w:b/>
                <w:sz w:val="20"/>
                <w:u w:val="thick"/>
              </w:rPr>
              <w:t>Drug</w:t>
            </w:r>
            <w:r>
              <w:rPr>
                <w:b/>
                <w:sz w:val="20"/>
              </w:rPr>
              <w:tab/>
            </w:r>
            <w:r>
              <w:rPr>
                <w:b/>
                <w:sz w:val="20"/>
                <w:u w:val="thick"/>
              </w:rPr>
              <w:t>Generic Equivalent</w:t>
            </w:r>
            <w:r>
              <w:rPr>
                <w:b/>
                <w:spacing w:val="-16"/>
                <w:sz w:val="20"/>
                <w:u w:val="thick"/>
              </w:rPr>
              <w:t> </w:t>
            </w:r>
            <w:r>
              <w:rPr>
                <w:b/>
                <w:sz w:val="20"/>
                <w:u w:val="thick"/>
              </w:rPr>
              <w:t>of</w:t>
            </w:r>
          </w:p>
          <w:p>
            <w:pPr>
              <w:pStyle w:val="TableParagraph"/>
              <w:tabs>
                <w:tab w:pos="2448" w:val="left" w:leader="none"/>
              </w:tabs>
              <w:spacing w:before="159"/>
              <w:rPr>
                <w:sz w:val="20"/>
              </w:rPr>
            </w:pPr>
            <w:r>
              <w:rPr>
                <w:sz w:val="20"/>
              </w:rPr>
              <w:t>amlodipine</w:t>
              <w:tab/>
              <w:t>Norvasc</w:t>
            </w:r>
            <w:r>
              <w:rPr>
                <w:spacing w:val="-3"/>
                <w:sz w:val="20"/>
              </w:rPr>
              <w:t> </w:t>
            </w:r>
            <w:r>
              <w:rPr>
                <w:sz w:val="20"/>
              </w:rPr>
              <w:t>#</w:t>
            </w:r>
          </w:p>
          <w:p>
            <w:pPr>
              <w:pStyle w:val="TableParagraph"/>
              <w:tabs>
                <w:tab w:pos="2465" w:val="left" w:leader="none"/>
              </w:tabs>
              <w:ind w:left="165" w:right="1885" w:hanging="166"/>
              <w:rPr>
                <w:sz w:val="20"/>
              </w:rPr>
            </w:pPr>
            <w:r>
              <w:rPr>
                <w:sz w:val="20"/>
              </w:rPr>
              <w:t>moexipril/</w:t>
              <w:tab/>
              <w:t>Uniretic</w:t>
            </w:r>
            <w:r>
              <w:rPr>
                <w:spacing w:val="-6"/>
                <w:sz w:val="20"/>
              </w:rPr>
              <w:t> </w:t>
            </w:r>
            <w:r>
              <w:rPr>
                <w:sz w:val="20"/>
              </w:rPr>
              <w:t>#</w:t>
            </w:r>
            <w:r>
              <w:rPr>
                <w:w w:val="100"/>
                <w:sz w:val="20"/>
              </w:rPr>
              <w:t> </w:t>
            </w:r>
            <w:r>
              <w:rPr>
                <w:sz w:val="20"/>
              </w:rPr>
              <w:t>hydrochlorothiazide</w:t>
            </w:r>
          </w:p>
          <w:p>
            <w:pPr>
              <w:pStyle w:val="TableParagraph"/>
              <w:tabs>
                <w:tab w:pos="2476" w:val="left" w:leader="none"/>
              </w:tabs>
              <w:ind w:left="165" w:right="1773" w:hanging="166"/>
              <w:rPr>
                <w:sz w:val="20"/>
              </w:rPr>
            </w:pPr>
            <w:r>
              <w:rPr>
                <w:sz w:val="20"/>
              </w:rPr>
              <w:t>polyethylene</w:t>
            </w:r>
            <w:r>
              <w:rPr>
                <w:spacing w:val="-7"/>
                <w:sz w:val="20"/>
              </w:rPr>
              <w:t> </w:t>
            </w:r>
            <w:r>
              <w:rPr>
                <w:sz w:val="20"/>
              </w:rPr>
              <w:t>glycol-</w:t>
              <w:tab/>
              <w:t>NuLytely</w:t>
            </w:r>
            <w:r>
              <w:rPr>
                <w:spacing w:val="-7"/>
                <w:sz w:val="20"/>
              </w:rPr>
              <w:t> </w:t>
            </w:r>
            <w:r>
              <w:rPr>
                <w:sz w:val="20"/>
              </w:rPr>
              <w:t>#</w:t>
            </w:r>
            <w:r>
              <w:rPr>
                <w:w w:val="100"/>
                <w:sz w:val="20"/>
              </w:rPr>
              <w:t> </w:t>
            </w:r>
            <w:r>
              <w:rPr>
                <w:sz w:val="20"/>
              </w:rPr>
              <w:t>electrolyte</w:t>
            </w:r>
            <w:r>
              <w:rPr>
                <w:spacing w:val="-17"/>
                <w:sz w:val="20"/>
              </w:rPr>
              <w:t> </w:t>
            </w:r>
            <w:r>
              <w:rPr>
                <w:sz w:val="20"/>
              </w:rPr>
              <w:t>solution</w:t>
            </w:r>
          </w:p>
          <w:p>
            <w:pPr>
              <w:pStyle w:val="TableParagraph"/>
              <w:tabs>
                <w:tab w:pos="2502" w:val="left" w:leader="none"/>
              </w:tabs>
              <w:rPr>
                <w:sz w:val="20"/>
              </w:rPr>
            </w:pPr>
            <w:r>
              <w:rPr>
                <w:sz w:val="20"/>
              </w:rPr>
              <w:t>trandolapril</w:t>
              <w:tab/>
              <w:t>Mavik #</w:t>
            </w:r>
          </w:p>
          <w:p>
            <w:pPr>
              <w:pStyle w:val="TableParagraph"/>
              <w:tabs>
                <w:tab w:pos="2522" w:val="left" w:leader="none"/>
              </w:tabs>
              <w:spacing w:line="229" w:lineRule="exact"/>
              <w:rPr>
                <w:sz w:val="20"/>
              </w:rPr>
            </w:pPr>
            <w:r>
              <w:rPr>
                <w:sz w:val="20"/>
              </w:rPr>
              <w:t>zolpidem</w:t>
            </w:r>
            <w:r>
              <w:rPr>
                <w:spacing w:val="-3"/>
                <w:sz w:val="20"/>
              </w:rPr>
              <w:t> </w:t>
            </w:r>
            <w:r>
              <w:rPr>
                <w:sz w:val="20"/>
              </w:rPr>
              <w:t>–</w:t>
              <w:tab/>
              <w:t>Ambien #</w:t>
            </w:r>
            <w:r>
              <w:rPr>
                <w:spacing w:val="-6"/>
                <w:sz w:val="20"/>
              </w:rPr>
              <w:t> </w:t>
            </w:r>
            <w:r>
              <w:rPr>
                <w:sz w:val="20"/>
              </w:rPr>
              <w:t>–</w:t>
            </w:r>
          </w:p>
          <w:p>
            <w:pPr>
              <w:pStyle w:val="TableParagraph"/>
              <w:tabs>
                <w:tab w:pos="2649" w:val="left" w:leader="none"/>
              </w:tabs>
              <w:spacing w:line="206" w:lineRule="exact"/>
              <w:ind w:left="151"/>
              <w:jc w:val="both"/>
              <w:rPr>
                <w:b/>
                <w:sz w:val="18"/>
              </w:rPr>
            </w:pPr>
            <w:r>
              <w:rPr>
                <w:b/>
                <w:sz w:val="18"/>
              </w:rPr>
              <w:t>PA &gt;</w:t>
            </w:r>
            <w:r>
              <w:rPr>
                <w:b/>
                <w:spacing w:val="-4"/>
                <w:sz w:val="18"/>
              </w:rPr>
              <w:t> </w:t>
            </w:r>
            <w:r>
              <w:rPr>
                <w:b/>
                <w:sz w:val="18"/>
              </w:rPr>
              <w:t>10 units/month</w:t>
              <w:tab/>
              <w:t>PA &gt; 10</w:t>
            </w:r>
            <w:r>
              <w:rPr>
                <w:b/>
                <w:spacing w:val="-8"/>
                <w:sz w:val="18"/>
              </w:rPr>
              <w:t> </w:t>
            </w:r>
            <w:r>
              <w:rPr>
                <w:b/>
                <w:sz w:val="18"/>
              </w:rPr>
              <w:t>units/month</w:t>
            </w:r>
          </w:p>
          <w:p>
            <w:pPr>
              <w:pStyle w:val="TableParagraph"/>
              <w:spacing w:before="3"/>
              <w:rPr>
                <w:rFonts w:ascii="Times New Roman"/>
                <w:sz w:val="18"/>
              </w:rPr>
            </w:pPr>
          </w:p>
          <w:p>
            <w:pPr>
              <w:pStyle w:val="TableParagraph"/>
              <w:numPr>
                <w:ilvl w:val="0"/>
                <w:numId w:val="2"/>
              </w:numPr>
              <w:tabs>
                <w:tab w:pos="360" w:val="left" w:leader="none"/>
              </w:tabs>
              <w:spacing w:line="240" w:lineRule="auto" w:before="0" w:after="0"/>
              <w:ind w:left="359" w:right="0" w:hanging="359"/>
              <w:jc w:val="left"/>
              <w:rPr>
                <w:b/>
                <w:sz w:val="21"/>
              </w:rPr>
            </w:pPr>
            <w:r>
              <w:rPr>
                <w:b/>
                <w:sz w:val="21"/>
              </w:rPr>
              <w:t>Change in Prior-Authorization Status</w:t>
            </w:r>
          </w:p>
          <w:p>
            <w:pPr>
              <w:pStyle w:val="TableParagraph"/>
              <w:spacing w:before="2"/>
              <w:rPr>
                <w:rFonts w:ascii="Times New Roman"/>
                <w:sz w:val="19"/>
              </w:rPr>
            </w:pPr>
          </w:p>
          <w:p>
            <w:pPr>
              <w:pStyle w:val="TableParagraph"/>
              <w:numPr>
                <w:ilvl w:val="1"/>
                <w:numId w:val="2"/>
              </w:numPr>
              <w:tabs>
                <w:tab w:pos="289" w:val="left" w:leader="none"/>
              </w:tabs>
              <w:spacing w:line="240" w:lineRule="auto" w:before="0" w:after="0"/>
              <w:ind w:left="287" w:right="314" w:hanging="287"/>
              <w:jc w:val="left"/>
              <w:rPr>
                <w:sz w:val="20"/>
              </w:rPr>
            </w:pPr>
            <w:r>
              <w:rPr>
                <w:sz w:val="20"/>
              </w:rPr>
              <w:t>The prior-authorization requirements for the atypical antipsychotics medications will be changing. MassHealth will be adding the following quantity limits to the atypical antipsychotics, effective October 1, 2007. Where applicable, dose consolidation should be</w:t>
            </w:r>
            <w:r>
              <w:rPr>
                <w:spacing w:val="-12"/>
                <w:sz w:val="20"/>
              </w:rPr>
              <w:t> </w:t>
            </w:r>
            <w:r>
              <w:rPr>
                <w:sz w:val="20"/>
              </w:rPr>
              <w:t>considered.</w:t>
            </w:r>
          </w:p>
        </w:tc>
        <w:tc>
          <w:tcPr>
            <w:tcW w:w="5303" w:type="dxa"/>
            <w:tcBorders>
              <w:top w:val="single" w:sz="8" w:space="0" w:color="000000"/>
              <w:left w:val="single" w:sz="4" w:space="0" w:color="000000"/>
              <w:bottom w:val="double" w:sz="2" w:space="0" w:color="000000"/>
            </w:tcBorders>
          </w:tcPr>
          <w:p>
            <w:pPr>
              <w:pStyle w:val="TableParagraph"/>
              <w:spacing w:before="9"/>
              <w:rPr>
                <w:rFonts w:ascii="Times New Roman"/>
                <w:sz w:val="27"/>
              </w:rPr>
            </w:pPr>
          </w:p>
          <w:p>
            <w:pPr>
              <w:pStyle w:val="TableParagraph"/>
              <w:ind w:left="481" w:right="138" w:hanging="19"/>
              <w:rPr>
                <w:sz w:val="20"/>
              </w:rPr>
            </w:pPr>
            <w:r>
              <w:rPr>
                <w:sz w:val="20"/>
              </w:rPr>
              <w:t>For example, if the member is on two olanzapine (Zyprexa) 5 mg tablets once daily or one olanzapine (Zyprexa) 5 mg tablet twice daily, the dose can be consolidated to one olanzapine (Zyprexa) 10 mg tablet once daily. Updated versions of the Antipsychotic Prior Authorization Request Form, Antipsychotic Initiative, and Atypical Antipsychotic Table will be posted with the September MassHealth Drug List. Prior authorizations for greater than the quantity limit will be considered in August, two months before the start of the requirements.</w:t>
            </w:r>
          </w:p>
          <w:p>
            <w:pPr>
              <w:pStyle w:val="TableParagraph"/>
              <w:spacing w:before="184"/>
              <w:ind w:left="661" w:right="153"/>
              <w:rPr>
                <w:b/>
                <w:sz w:val="19"/>
              </w:rPr>
            </w:pPr>
            <w:r>
              <w:rPr>
                <w:sz w:val="19"/>
              </w:rPr>
              <w:t>Abilify (aripiprazole) tablet – </w:t>
            </w:r>
            <w:r>
              <w:rPr>
                <w:b/>
                <w:sz w:val="19"/>
              </w:rPr>
              <w:t>PA &gt; 30 units/month </w:t>
            </w:r>
            <w:r>
              <w:rPr>
                <w:sz w:val="19"/>
              </w:rPr>
              <w:t>Abilify (aripiprazole) solution – </w:t>
            </w:r>
            <w:r>
              <w:rPr>
                <w:b/>
                <w:sz w:val="19"/>
              </w:rPr>
              <w:t>PA &gt; 750 ml/month </w:t>
            </w:r>
            <w:r>
              <w:rPr>
                <w:sz w:val="19"/>
              </w:rPr>
              <w:t>Geodon (ziprasidone) – </w:t>
            </w:r>
            <w:r>
              <w:rPr>
                <w:b/>
                <w:sz w:val="19"/>
              </w:rPr>
              <w:t>PA &gt; 60 units/month </w:t>
            </w:r>
            <w:r>
              <w:rPr>
                <w:sz w:val="19"/>
              </w:rPr>
              <w:t>Invega (paliperidone) – </w:t>
            </w:r>
            <w:r>
              <w:rPr>
                <w:b/>
                <w:sz w:val="19"/>
              </w:rPr>
              <w:t>PA &gt; 30 units/month </w:t>
            </w:r>
            <w:r>
              <w:rPr>
                <w:sz w:val="19"/>
              </w:rPr>
              <w:t>Risperdal (risperidone) tablet – </w:t>
            </w:r>
            <w:r>
              <w:rPr>
                <w:b/>
                <w:sz w:val="19"/>
              </w:rPr>
              <w:t>PA &gt; 60</w:t>
            </w:r>
            <w:r>
              <w:rPr>
                <w:b/>
                <w:spacing w:val="-11"/>
                <w:sz w:val="19"/>
              </w:rPr>
              <w:t> </w:t>
            </w:r>
            <w:r>
              <w:rPr>
                <w:b/>
                <w:sz w:val="19"/>
              </w:rPr>
              <w:t>units/month </w:t>
            </w:r>
            <w:r>
              <w:rPr>
                <w:sz w:val="19"/>
              </w:rPr>
              <w:t>Risperdal (risperidone) solution – </w:t>
            </w:r>
            <w:r>
              <w:rPr>
                <w:b/>
                <w:sz w:val="19"/>
              </w:rPr>
              <w:t>PA &gt; 480</w:t>
            </w:r>
            <w:r>
              <w:rPr>
                <w:b/>
                <w:spacing w:val="-12"/>
                <w:sz w:val="19"/>
              </w:rPr>
              <w:t> </w:t>
            </w:r>
            <w:r>
              <w:rPr>
                <w:b/>
                <w:sz w:val="19"/>
              </w:rPr>
              <w:t>ml/</w:t>
            </w:r>
          </w:p>
          <w:p>
            <w:pPr>
              <w:pStyle w:val="TableParagraph"/>
              <w:ind w:left="840"/>
              <w:rPr>
                <w:b/>
                <w:sz w:val="19"/>
              </w:rPr>
            </w:pPr>
            <w:r>
              <w:rPr>
                <w:b/>
                <w:sz w:val="19"/>
              </w:rPr>
              <w:t>month</w:t>
            </w:r>
          </w:p>
          <w:p>
            <w:pPr>
              <w:pStyle w:val="TableParagraph"/>
              <w:ind w:left="661"/>
              <w:rPr>
                <w:b/>
                <w:sz w:val="19"/>
              </w:rPr>
            </w:pPr>
            <w:r>
              <w:rPr>
                <w:sz w:val="19"/>
              </w:rPr>
              <w:t>Seroquel (quetiapine) – </w:t>
            </w:r>
            <w:r>
              <w:rPr>
                <w:b/>
                <w:sz w:val="19"/>
              </w:rPr>
              <w:t>PA &gt; 90 units/month</w:t>
            </w:r>
          </w:p>
          <w:p>
            <w:pPr>
              <w:pStyle w:val="TableParagraph"/>
              <w:ind w:left="661"/>
              <w:rPr>
                <w:b/>
                <w:sz w:val="19"/>
              </w:rPr>
            </w:pPr>
            <w:r>
              <w:rPr>
                <w:sz w:val="19"/>
              </w:rPr>
              <w:t>Zyprexa (olanzapine) – </w:t>
            </w:r>
            <w:r>
              <w:rPr>
                <w:b/>
                <w:sz w:val="19"/>
              </w:rPr>
              <w:t>PA &gt; 30 units/month</w:t>
            </w:r>
          </w:p>
          <w:p>
            <w:pPr>
              <w:pStyle w:val="TableParagraph"/>
              <w:spacing w:before="2"/>
              <w:rPr>
                <w:rFonts w:ascii="Times New Roman"/>
                <w:sz w:val="21"/>
              </w:rPr>
            </w:pPr>
          </w:p>
          <w:p>
            <w:pPr>
              <w:pStyle w:val="TableParagraph"/>
              <w:numPr>
                <w:ilvl w:val="0"/>
                <w:numId w:val="3"/>
              </w:numPr>
              <w:tabs>
                <w:tab w:pos="482" w:val="left" w:leader="none"/>
              </w:tabs>
              <w:spacing w:line="240" w:lineRule="auto" w:before="0" w:after="0"/>
              <w:ind w:left="481" w:right="486" w:hanging="360"/>
              <w:jc w:val="both"/>
              <w:rPr>
                <w:sz w:val="19"/>
              </w:rPr>
            </w:pPr>
            <w:r>
              <w:rPr>
                <w:sz w:val="19"/>
              </w:rPr>
              <w:t>The prior-authorization requirements for fenofibrate medications have changed. The following drugs</w:t>
            </w:r>
            <w:r>
              <w:rPr>
                <w:spacing w:val="-8"/>
                <w:sz w:val="19"/>
              </w:rPr>
              <w:t> </w:t>
            </w:r>
            <w:r>
              <w:rPr>
                <w:sz w:val="19"/>
              </w:rPr>
              <w:t>will require prior authorization effective July 16,</w:t>
            </w:r>
            <w:r>
              <w:rPr>
                <w:spacing w:val="-7"/>
                <w:sz w:val="19"/>
              </w:rPr>
              <w:t> </w:t>
            </w:r>
            <w:r>
              <w:rPr>
                <w:sz w:val="19"/>
              </w:rPr>
              <w:t>2007.</w:t>
            </w:r>
          </w:p>
          <w:p>
            <w:pPr>
              <w:pStyle w:val="TableParagraph"/>
              <w:spacing w:before="8"/>
              <w:rPr>
                <w:rFonts w:ascii="Times New Roman"/>
                <w:sz w:val="15"/>
              </w:rPr>
            </w:pPr>
          </w:p>
          <w:p>
            <w:pPr>
              <w:pStyle w:val="TableParagraph"/>
              <w:ind w:left="660"/>
              <w:rPr>
                <w:b/>
                <w:sz w:val="20"/>
              </w:rPr>
            </w:pPr>
            <w:r>
              <w:rPr>
                <w:sz w:val="20"/>
              </w:rPr>
              <w:t>Tricor (fenofibrate) – </w:t>
            </w:r>
            <w:r>
              <w:rPr>
                <w:b/>
                <w:sz w:val="20"/>
              </w:rPr>
              <w:t>PA</w:t>
            </w:r>
          </w:p>
          <w:p>
            <w:pPr>
              <w:pStyle w:val="TableParagraph"/>
              <w:ind w:left="661"/>
              <w:rPr>
                <w:b/>
                <w:sz w:val="20"/>
              </w:rPr>
            </w:pPr>
            <w:r>
              <w:rPr>
                <w:sz w:val="20"/>
              </w:rPr>
              <w:t>Triglide (fenofibrate) – </w:t>
            </w:r>
            <w:r>
              <w:rPr>
                <w:b/>
                <w:sz w:val="20"/>
              </w:rPr>
              <w:t>PA</w:t>
            </w:r>
          </w:p>
          <w:p>
            <w:pPr>
              <w:pStyle w:val="TableParagraph"/>
              <w:spacing w:before="1"/>
              <w:rPr>
                <w:rFonts w:ascii="Times New Roman"/>
                <w:sz w:val="20"/>
              </w:rPr>
            </w:pPr>
          </w:p>
          <w:p>
            <w:pPr>
              <w:pStyle w:val="TableParagraph"/>
              <w:numPr>
                <w:ilvl w:val="0"/>
                <w:numId w:val="3"/>
              </w:numPr>
              <w:tabs>
                <w:tab w:pos="481" w:val="left" w:leader="none"/>
                <w:tab w:pos="482" w:val="left" w:leader="none"/>
              </w:tabs>
              <w:spacing w:line="240" w:lineRule="auto" w:before="1" w:after="0"/>
              <w:ind w:left="481" w:right="222" w:hanging="360"/>
              <w:jc w:val="left"/>
              <w:rPr>
                <w:sz w:val="19"/>
              </w:rPr>
            </w:pPr>
            <w:r>
              <w:rPr>
                <w:sz w:val="19"/>
              </w:rPr>
              <w:t>The prior-authorization requirements for gastro- intestinal drugs have changed. The following drugs</w:t>
            </w:r>
            <w:r>
              <w:rPr>
                <w:spacing w:val="-9"/>
                <w:sz w:val="19"/>
              </w:rPr>
              <w:t> </w:t>
            </w:r>
            <w:r>
              <w:rPr>
                <w:sz w:val="19"/>
              </w:rPr>
              <w:t>will require prior authorization effective July 16,</w:t>
            </w:r>
            <w:r>
              <w:rPr>
                <w:spacing w:val="-7"/>
                <w:sz w:val="19"/>
              </w:rPr>
              <w:t> </w:t>
            </w:r>
            <w:r>
              <w:rPr>
                <w:sz w:val="19"/>
              </w:rPr>
              <w:t>2007.</w:t>
            </w:r>
          </w:p>
          <w:p>
            <w:pPr>
              <w:pStyle w:val="TableParagraph"/>
              <w:spacing w:before="7"/>
              <w:rPr>
                <w:rFonts w:ascii="Times New Roman"/>
                <w:sz w:val="16"/>
              </w:rPr>
            </w:pPr>
          </w:p>
          <w:p>
            <w:pPr>
              <w:pStyle w:val="TableParagraph"/>
              <w:ind w:left="840" w:right="560" w:hanging="180"/>
              <w:rPr>
                <w:b/>
                <w:sz w:val="20"/>
              </w:rPr>
            </w:pPr>
            <w:r>
              <w:rPr>
                <w:sz w:val="20"/>
              </w:rPr>
              <w:t>Helidac (bismuth subsalicylate/metronidazole/ tetracycline) – </w:t>
            </w:r>
            <w:r>
              <w:rPr>
                <w:b/>
                <w:sz w:val="20"/>
              </w:rPr>
              <w:t>PA</w:t>
            </w:r>
          </w:p>
          <w:p>
            <w:pPr>
              <w:pStyle w:val="TableParagraph"/>
              <w:ind w:left="661"/>
              <w:rPr>
                <w:sz w:val="20"/>
              </w:rPr>
            </w:pPr>
            <w:r>
              <w:rPr>
                <w:sz w:val="20"/>
              </w:rPr>
              <w:t>Prevpac (lansoprazole/amoxicillin/clarithromycin) –</w:t>
            </w:r>
          </w:p>
          <w:p>
            <w:pPr>
              <w:pStyle w:val="TableParagraph"/>
              <w:ind w:left="840"/>
              <w:rPr>
                <w:b/>
                <w:sz w:val="20"/>
              </w:rPr>
            </w:pPr>
            <w:r>
              <w:rPr>
                <w:b/>
                <w:sz w:val="20"/>
              </w:rPr>
              <w:t>PA</w:t>
            </w:r>
          </w:p>
          <w:p>
            <w:pPr>
              <w:pStyle w:val="TableParagraph"/>
              <w:spacing w:before="10"/>
              <w:rPr>
                <w:rFonts w:ascii="Times New Roman"/>
                <w:sz w:val="20"/>
              </w:rPr>
            </w:pPr>
          </w:p>
          <w:p>
            <w:pPr>
              <w:pStyle w:val="TableParagraph"/>
              <w:numPr>
                <w:ilvl w:val="0"/>
                <w:numId w:val="3"/>
              </w:numPr>
              <w:tabs>
                <w:tab w:pos="481" w:val="left" w:leader="none"/>
              </w:tabs>
              <w:spacing w:line="240" w:lineRule="auto" w:before="0" w:after="0"/>
              <w:ind w:left="480" w:right="412" w:hanging="359"/>
              <w:jc w:val="left"/>
              <w:rPr>
                <w:sz w:val="20"/>
              </w:rPr>
            </w:pPr>
            <w:r>
              <w:rPr>
                <w:sz w:val="20"/>
              </w:rPr>
              <w:t>The following drugs will require prior authorization effective July 16,</w:t>
            </w:r>
            <w:r>
              <w:rPr>
                <w:spacing w:val="-18"/>
                <w:sz w:val="20"/>
              </w:rPr>
              <w:t> </w:t>
            </w:r>
            <w:r>
              <w:rPr>
                <w:sz w:val="20"/>
              </w:rPr>
              <w:t>2007.</w:t>
            </w:r>
          </w:p>
          <w:p>
            <w:pPr>
              <w:pStyle w:val="TableParagraph"/>
              <w:spacing w:before="192"/>
              <w:ind w:left="660" w:right="1960"/>
              <w:rPr>
                <w:b/>
                <w:sz w:val="20"/>
              </w:rPr>
            </w:pPr>
            <w:r>
              <w:rPr>
                <w:sz w:val="20"/>
              </w:rPr>
              <w:t>Kerol Redi-cloths (urea) – </w:t>
            </w:r>
            <w:r>
              <w:rPr>
                <w:b/>
                <w:sz w:val="20"/>
              </w:rPr>
              <w:t>PA </w:t>
            </w:r>
            <w:r>
              <w:rPr>
                <w:sz w:val="20"/>
              </w:rPr>
              <w:t>Palgic (carbinoxamine) – </w:t>
            </w:r>
            <w:r>
              <w:rPr>
                <w:b/>
                <w:sz w:val="20"/>
              </w:rPr>
              <w:t>PA </w:t>
            </w:r>
            <w:r>
              <w:rPr>
                <w:sz w:val="20"/>
              </w:rPr>
              <w:t>trazodone 300 mg tablet – </w:t>
            </w:r>
            <w:r>
              <w:rPr>
                <w:b/>
                <w:sz w:val="20"/>
              </w:rPr>
              <w:t>PA</w:t>
            </w:r>
          </w:p>
          <w:p>
            <w:pPr>
              <w:pStyle w:val="TableParagraph"/>
              <w:spacing w:before="10"/>
              <w:rPr>
                <w:rFonts w:ascii="Times New Roman"/>
                <w:sz w:val="20"/>
              </w:rPr>
            </w:pPr>
          </w:p>
          <w:p>
            <w:pPr>
              <w:pStyle w:val="TableParagraph"/>
              <w:numPr>
                <w:ilvl w:val="0"/>
                <w:numId w:val="3"/>
              </w:numPr>
              <w:tabs>
                <w:tab w:pos="480" w:val="left" w:leader="none"/>
                <w:tab w:pos="481" w:val="left" w:leader="none"/>
              </w:tabs>
              <w:spacing w:line="240" w:lineRule="auto" w:before="0" w:after="0"/>
              <w:ind w:left="480" w:right="1057" w:hanging="378"/>
              <w:jc w:val="left"/>
              <w:rPr>
                <w:sz w:val="20"/>
              </w:rPr>
            </w:pPr>
            <w:r>
              <w:rPr>
                <w:sz w:val="20"/>
              </w:rPr>
              <w:t>The following drugs no longer require prior authorization.</w:t>
            </w:r>
          </w:p>
          <w:p>
            <w:pPr>
              <w:pStyle w:val="TableParagraph"/>
              <w:spacing w:before="183"/>
              <w:ind w:left="661" w:right="2593"/>
              <w:rPr>
                <w:sz w:val="20"/>
              </w:rPr>
            </w:pPr>
            <w:r>
              <w:rPr>
                <w:sz w:val="20"/>
              </w:rPr>
              <w:t>Arixtra (fondaparinux) Keppra (levetiracetam)</w:t>
            </w:r>
          </w:p>
        </w:tc>
        <w:tc>
          <w:tcPr>
            <w:tcW w:w="475" w:type="dxa"/>
            <w:tcBorders>
              <w:bottom w:val="double" w:sz="2" w:space="0" w:color="000000"/>
            </w:tcBorders>
          </w:tcPr>
          <w:p>
            <w:pPr>
              <w:pStyle w:val="TableParagraph"/>
              <w:rPr>
                <w:rFonts w:ascii="Times New Roman"/>
                <w:sz w:val="18"/>
              </w:rPr>
            </w:pPr>
          </w:p>
        </w:tc>
      </w:tr>
    </w:tbl>
    <w:p>
      <w:pPr>
        <w:pStyle w:val="BodyText"/>
        <w:rPr>
          <w:rFonts w:ascii="Times New Roman"/>
          <w:sz w:val="11"/>
        </w:rPr>
      </w:pPr>
    </w:p>
    <w:p>
      <w:pPr>
        <w:pStyle w:val="BodyText"/>
        <w:spacing w:line="241" w:lineRule="exact" w:before="93"/>
        <w:ind w:left="1920" w:right="1621"/>
        <w:jc w:val="center"/>
      </w:pPr>
      <w:r>
        <w:rPr/>
        <w:t>Please direct any questions or comments (or to be taken off of this fax distribution) to</w:t>
      </w:r>
    </w:p>
    <w:p>
      <w:pPr>
        <w:spacing w:line="296" w:lineRule="exact" w:before="0"/>
        <w:ind w:left="1919" w:right="1621" w:firstLine="0"/>
        <w:jc w:val="center"/>
        <w:rPr>
          <w:sz w:val="21"/>
        </w:rPr>
      </w:pPr>
      <w:r>
        <w:rPr>
          <w:rFonts w:ascii="Arial Black"/>
          <w:b/>
          <w:sz w:val="21"/>
        </w:rPr>
        <w:t>Victor Moquin </w:t>
      </w:r>
      <w:r>
        <w:rPr>
          <w:sz w:val="21"/>
        </w:rPr>
        <w:t>of ACS at 617-423-9830.</w:t>
      </w:r>
    </w:p>
    <w:sectPr>
      <w:type w:val="continuous"/>
      <w:pgSz w:w="12240" w:h="15840"/>
      <w:pgMar w:top="360" w:bottom="0" w:left="60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lowerLetter"/>
      <w:lvlText w:val="%1."/>
      <w:lvlJc w:val="left"/>
      <w:pPr>
        <w:ind w:left="481" w:hanging="361"/>
        <w:jc w:val="left"/>
      </w:pPr>
      <w:rPr>
        <w:rFonts w:hint="default"/>
        <w:w w:val="99"/>
      </w:rPr>
    </w:lvl>
    <w:lvl w:ilvl="1">
      <w:start w:val="0"/>
      <w:numFmt w:val="bullet"/>
      <w:lvlText w:val="•"/>
      <w:lvlJc w:val="left"/>
      <w:pPr>
        <w:ind w:left="961" w:hanging="361"/>
      </w:pPr>
      <w:rPr>
        <w:rFonts w:hint="default"/>
      </w:rPr>
    </w:lvl>
    <w:lvl w:ilvl="2">
      <w:start w:val="0"/>
      <w:numFmt w:val="bullet"/>
      <w:lvlText w:val="•"/>
      <w:lvlJc w:val="left"/>
      <w:pPr>
        <w:ind w:left="1443" w:hanging="361"/>
      </w:pPr>
      <w:rPr>
        <w:rFonts w:hint="default"/>
      </w:rPr>
    </w:lvl>
    <w:lvl w:ilvl="3">
      <w:start w:val="0"/>
      <w:numFmt w:val="bullet"/>
      <w:lvlText w:val="•"/>
      <w:lvlJc w:val="left"/>
      <w:pPr>
        <w:ind w:left="1925" w:hanging="361"/>
      </w:pPr>
      <w:rPr>
        <w:rFonts w:hint="default"/>
      </w:rPr>
    </w:lvl>
    <w:lvl w:ilvl="4">
      <w:start w:val="0"/>
      <w:numFmt w:val="bullet"/>
      <w:lvlText w:val="•"/>
      <w:lvlJc w:val="left"/>
      <w:pPr>
        <w:ind w:left="2407" w:hanging="361"/>
      </w:pPr>
      <w:rPr>
        <w:rFonts w:hint="default"/>
      </w:rPr>
    </w:lvl>
    <w:lvl w:ilvl="5">
      <w:start w:val="0"/>
      <w:numFmt w:val="bullet"/>
      <w:lvlText w:val="•"/>
      <w:lvlJc w:val="left"/>
      <w:pPr>
        <w:ind w:left="2888" w:hanging="361"/>
      </w:pPr>
      <w:rPr>
        <w:rFonts w:hint="default"/>
      </w:rPr>
    </w:lvl>
    <w:lvl w:ilvl="6">
      <w:start w:val="0"/>
      <w:numFmt w:val="bullet"/>
      <w:lvlText w:val="•"/>
      <w:lvlJc w:val="left"/>
      <w:pPr>
        <w:ind w:left="3370" w:hanging="361"/>
      </w:pPr>
      <w:rPr>
        <w:rFonts w:hint="default"/>
      </w:rPr>
    </w:lvl>
    <w:lvl w:ilvl="7">
      <w:start w:val="0"/>
      <w:numFmt w:val="bullet"/>
      <w:lvlText w:val="•"/>
      <w:lvlJc w:val="left"/>
      <w:pPr>
        <w:ind w:left="3852" w:hanging="361"/>
      </w:pPr>
      <w:rPr>
        <w:rFonts w:hint="default"/>
      </w:rPr>
    </w:lvl>
    <w:lvl w:ilvl="8">
      <w:start w:val="0"/>
      <w:numFmt w:val="bullet"/>
      <w:lvlText w:val="•"/>
      <w:lvlJc w:val="left"/>
      <w:pPr>
        <w:ind w:left="4334" w:hanging="361"/>
      </w:pPr>
      <w:rPr>
        <w:rFonts w:hint="default"/>
      </w:rPr>
    </w:lvl>
  </w:abstractNum>
  <w:abstractNum w:abstractNumId="1">
    <w:multiLevelType w:val="hybridMultilevel"/>
    <w:lvl w:ilvl="0">
      <w:start w:val="1"/>
      <w:numFmt w:val="decimal"/>
      <w:lvlText w:val="%1."/>
      <w:lvlJc w:val="left"/>
      <w:pPr>
        <w:ind w:left="360" w:hanging="361"/>
        <w:jc w:val="left"/>
      </w:pPr>
      <w:rPr>
        <w:rFonts w:hint="default"/>
        <w:b/>
        <w:bCs/>
        <w:spacing w:val="-1"/>
        <w:w w:val="100"/>
      </w:rPr>
    </w:lvl>
    <w:lvl w:ilvl="1">
      <w:start w:val="1"/>
      <w:numFmt w:val="lowerLetter"/>
      <w:lvlText w:val="%2."/>
      <w:lvlJc w:val="left"/>
      <w:pPr>
        <w:ind w:left="287" w:hanging="289"/>
        <w:jc w:val="left"/>
      </w:pPr>
      <w:rPr>
        <w:rFonts w:hint="default" w:ascii="Arial" w:hAnsi="Arial" w:eastAsia="Arial" w:cs="Arial"/>
        <w:w w:val="100"/>
        <w:sz w:val="20"/>
        <w:szCs w:val="20"/>
      </w:rPr>
    </w:lvl>
    <w:lvl w:ilvl="2">
      <w:start w:val="0"/>
      <w:numFmt w:val="bullet"/>
      <w:lvlText w:val="•"/>
      <w:lvlJc w:val="left"/>
      <w:pPr>
        <w:ind w:left="897" w:hanging="289"/>
      </w:pPr>
      <w:rPr>
        <w:rFonts w:hint="default"/>
      </w:rPr>
    </w:lvl>
    <w:lvl w:ilvl="3">
      <w:start w:val="0"/>
      <w:numFmt w:val="bullet"/>
      <w:lvlText w:val="•"/>
      <w:lvlJc w:val="left"/>
      <w:pPr>
        <w:ind w:left="1434" w:hanging="289"/>
      </w:pPr>
      <w:rPr>
        <w:rFonts w:hint="default"/>
      </w:rPr>
    </w:lvl>
    <w:lvl w:ilvl="4">
      <w:start w:val="0"/>
      <w:numFmt w:val="bullet"/>
      <w:lvlText w:val="•"/>
      <w:lvlJc w:val="left"/>
      <w:pPr>
        <w:ind w:left="1972" w:hanging="289"/>
      </w:pPr>
      <w:rPr>
        <w:rFonts w:hint="default"/>
      </w:rPr>
    </w:lvl>
    <w:lvl w:ilvl="5">
      <w:start w:val="0"/>
      <w:numFmt w:val="bullet"/>
      <w:lvlText w:val="•"/>
      <w:lvlJc w:val="left"/>
      <w:pPr>
        <w:ind w:left="2509" w:hanging="289"/>
      </w:pPr>
      <w:rPr>
        <w:rFonts w:hint="default"/>
      </w:rPr>
    </w:lvl>
    <w:lvl w:ilvl="6">
      <w:start w:val="0"/>
      <w:numFmt w:val="bullet"/>
      <w:lvlText w:val="•"/>
      <w:lvlJc w:val="left"/>
      <w:pPr>
        <w:ind w:left="3047" w:hanging="289"/>
      </w:pPr>
      <w:rPr>
        <w:rFonts w:hint="default"/>
      </w:rPr>
    </w:lvl>
    <w:lvl w:ilvl="7">
      <w:start w:val="0"/>
      <w:numFmt w:val="bullet"/>
      <w:lvlText w:val="•"/>
      <w:lvlJc w:val="left"/>
      <w:pPr>
        <w:ind w:left="3584" w:hanging="289"/>
      </w:pPr>
      <w:rPr>
        <w:rFonts w:hint="default"/>
      </w:rPr>
    </w:lvl>
    <w:lvl w:ilvl="8">
      <w:start w:val="0"/>
      <w:numFmt w:val="bullet"/>
      <w:lvlText w:val="•"/>
      <w:lvlJc w:val="left"/>
      <w:pPr>
        <w:ind w:left="4122" w:hanging="289"/>
      </w:pPr>
      <w:rPr>
        <w:rFonts w:hint="default"/>
      </w:rPr>
    </w:lvl>
  </w:abstractNum>
  <w:abstractNum w:abstractNumId="0">
    <w:multiLevelType w:val="hybridMultilevel"/>
    <w:lvl w:ilvl="0">
      <w:start w:val="0"/>
      <w:numFmt w:val="bullet"/>
      <w:lvlText w:val="•"/>
      <w:lvlJc w:val="left"/>
      <w:pPr>
        <w:ind w:left="1807" w:hanging="150"/>
      </w:pPr>
      <w:rPr>
        <w:rFonts w:hint="default" w:ascii="Arial Black" w:hAnsi="Arial Black" w:eastAsia="Arial Black" w:cs="Arial Black"/>
        <w:b/>
        <w:bCs/>
        <w:w w:val="100"/>
        <w:sz w:val="18"/>
        <w:szCs w:val="18"/>
      </w:rPr>
    </w:lvl>
    <w:lvl w:ilvl="1">
      <w:start w:val="0"/>
      <w:numFmt w:val="bullet"/>
      <w:lvlText w:val="•"/>
      <w:lvlJc w:val="left"/>
      <w:pPr>
        <w:ind w:left="2681" w:hanging="150"/>
      </w:pPr>
      <w:rPr>
        <w:rFonts w:hint="default"/>
      </w:rPr>
    </w:lvl>
    <w:lvl w:ilvl="2">
      <w:start w:val="0"/>
      <w:numFmt w:val="bullet"/>
      <w:lvlText w:val="•"/>
      <w:lvlJc w:val="left"/>
      <w:pPr>
        <w:ind w:left="3562" w:hanging="150"/>
      </w:pPr>
      <w:rPr>
        <w:rFonts w:hint="default"/>
      </w:rPr>
    </w:lvl>
    <w:lvl w:ilvl="3">
      <w:start w:val="0"/>
      <w:numFmt w:val="bullet"/>
      <w:lvlText w:val="•"/>
      <w:lvlJc w:val="left"/>
      <w:pPr>
        <w:ind w:left="4443" w:hanging="150"/>
      </w:pPr>
      <w:rPr>
        <w:rFonts w:hint="default"/>
      </w:rPr>
    </w:lvl>
    <w:lvl w:ilvl="4">
      <w:start w:val="0"/>
      <w:numFmt w:val="bullet"/>
      <w:lvlText w:val="•"/>
      <w:lvlJc w:val="left"/>
      <w:pPr>
        <w:ind w:left="5325" w:hanging="150"/>
      </w:pPr>
      <w:rPr>
        <w:rFonts w:hint="default"/>
      </w:rPr>
    </w:lvl>
    <w:lvl w:ilvl="5">
      <w:start w:val="0"/>
      <w:numFmt w:val="bullet"/>
      <w:lvlText w:val="•"/>
      <w:lvlJc w:val="left"/>
      <w:pPr>
        <w:ind w:left="6206" w:hanging="150"/>
      </w:pPr>
      <w:rPr>
        <w:rFonts w:hint="default"/>
      </w:rPr>
    </w:lvl>
    <w:lvl w:ilvl="6">
      <w:start w:val="0"/>
      <w:numFmt w:val="bullet"/>
      <w:lvlText w:val="•"/>
      <w:lvlJc w:val="left"/>
      <w:pPr>
        <w:ind w:left="7087" w:hanging="150"/>
      </w:pPr>
      <w:rPr>
        <w:rFonts w:hint="default"/>
      </w:rPr>
    </w:lvl>
    <w:lvl w:ilvl="7">
      <w:start w:val="0"/>
      <w:numFmt w:val="bullet"/>
      <w:lvlText w:val="•"/>
      <w:lvlJc w:val="left"/>
      <w:pPr>
        <w:ind w:left="7968" w:hanging="150"/>
      </w:pPr>
      <w:rPr>
        <w:rFonts w:hint="default"/>
      </w:rPr>
    </w:lvl>
    <w:lvl w:ilvl="8">
      <w:start w:val="0"/>
      <w:numFmt w:val="bullet"/>
      <w:lvlText w:val="•"/>
      <w:lvlJc w:val="left"/>
      <w:pPr>
        <w:ind w:left="8850" w:hanging="15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2017-11-16T09:04:57Z</dcterms:created>
  <dcterms:modified xsi:type="dcterms:W3CDTF">2017-11-16T09:04:57Z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2007-07-03T00:00:00Z</vt:filetime>
  </property>
  <property fmtid="{D5CDD505-2E9C-101B-9397-08002B2CF9AE}" pid="3" name="Creator">
    <vt:lpwstr>Acrobat PDFMaker 7.0.7 for Word</vt:lpwstr>
  </property>
  <property fmtid="{D5CDD505-2E9C-101B-9397-08002B2CF9AE}" pid="4" name="LastSaved">
    <vt:filetime>2017-11-16T00:00:00Z</vt:filetime>
  </property>
</Properties>
</file>