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b w:val="0"/>
          <w:sz w:val="20"/>
        </w:rPr>
      </w:pPr>
      <w:r>
        <w:rPr/>
        <w:pict>
          <v:group style="position:absolute;margin-left:36pt;margin-top:18pt;width:549.6pt;height:117pt;mso-position-horizontal-relative:page;mso-position-vertical-relative:page;z-index:-4768" coordorigin="720,360" coordsize="10992,2340">
            <v:shape style="position:absolute;left:720;top:360;width:10992;height:2340" type="#_x0000_t75" stroked="false">
              <v:imagedata r:id="rId5" o:title=""/>
            </v:shape>
            <v:shapetype id="_x0000_t202" o:spt="202" coordsize="21600,21600" path="m,l,21600r21600,l21600,xe">
              <v:stroke joinstyle="miter"/>
              <v:path gradientshapeok="t" o:connecttype="rect"/>
            </v:shapetype>
            <v:shape style="position:absolute;left:1584;top:1332;width:1461;height:503" type="#_x0000_t202" filled="false" stroked="false">
              <v:textbox inset="0,0,0,0">
                <w:txbxContent>
                  <w:p>
                    <w:pPr>
                      <w:spacing w:line="229" w:lineRule="exact" w:before="0"/>
                      <w:ind w:left="0" w:right="0" w:firstLine="0"/>
                      <w:jc w:val="left"/>
                      <w:rPr>
                        <w:rFonts w:ascii="Arial Narrow"/>
                        <w:b/>
                        <w:sz w:val="20"/>
                      </w:rPr>
                    </w:pPr>
                    <w:r>
                      <w:rPr>
                        <w:rFonts w:ascii="Arial Narrow"/>
                        <w:b/>
                        <w:sz w:val="20"/>
                      </w:rPr>
                      <w:t>Number 30</w:t>
                    </w:r>
                  </w:p>
                  <w:p>
                    <w:pPr>
                      <w:spacing w:before="44"/>
                      <w:ind w:left="0" w:right="0" w:firstLine="0"/>
                      <w:jc w:val="left"/>
                      <w:rPr>
                        <w:rFonts w:ascii="Arial Narrow"/>
                        <w:b/>
                        <w:sz w:val="20"/>
                      </w:rPr>
                    </w:pPr>
                    <w:r>
                      <w:rPr>
                        <w:rFonts w:ascii="Arial Narrow"/>
                        <w:b/>
                        <w:sz w:val="20"/>
                      </w:rPr>
                      <w:t>September 7, 2007</w:t>
                    </w:r>
                  </w:p>
                </w:txbxContent>
              </v:textbox>
              <w10:wrap type="none"/>
            </v:shape>
            <v:shape style="position:absolute;left:4790;top:2494;width:2500;height:204" type="#_x0000_t202" filled="false" stroked="false">
              <v:textbox inset="0,0,0,0">
                <w:txbxContent>
                  <w:p>
                    <w:pPr>
                      <w:spacing w:line="204" w:lineRule="exact" w:before="0"/>
                      <w:ind w:left="0" w:right="0" w:firstLine="0"/>
                      <w:jc w:val="left"/>
                      <w:rPr>
                        <w:rFonts w:ascii="Arial Narrow"/>
                        <w:sz w:val="18"/>
                      </w:rPr>
                    </w:pPr>
                    <w:hyperlink r:id="rId6">
                      <w:r>
                        <w:rPr>
                          <w:rFonts w:ascii="Arial Narrow"/>
                          <w:sz w:val="18"/>
                        </w:rPr>
                        <w:t>www.mass.gov/masshealth/pharmacy</w:t>
                      </w:r>
                    </w:hyperlink>
                  </w:p>
                </w:txbxContent>
              </v:textbox>
              <w10:wrap type="none"/>
            </v:shape>
            <w10:wrap type="none"/>
          </v:group>
        </w:pict>
      </w: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spacing w:before="5"/>
        <w:rPr>
          <w:rFonts w:ascii="Times New Roman"/>
          <w:b w:val="0"/>
          <w:sz w:val="23"/>
        </w:rPr>
      </w:pPr>
    </w:p>
    <w:tbl>
      <w:tblPr>
        <w:tblW w:w="0" w:type="auto"/>
        <w:jc w:val="left"/>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32"/>
        <w:gridCol w:w="5232"/>
      </w:tblGrid>
      <w:tr>
        <w:trPr>
          <w:trHeight w:val="300" w:hRule="atLeast"/>
        </w:trPr>
        <w:tc>
          <w:tcPr>
            <w:tcW w:w="10464" w:type="dxa"/>
            <w:gridSpan w:val="2"/>
            <w:tcBorders>
              <w:top w:val="single" w:sz="4" w:space="0" w:color="000000"/>
              <w:bottom w:val="single" w:sz="4" w:space="0" w:color="000000"/>
            </w:tcBorders>
          </w:tcPr>
          <w:p>
            <w:pPr>
              <w:pStyle w:val="TableParagraph"/>
              <w:numPr>
                <w:ilvl w:val="0"/>
                <w:numId w:val="1"/>
              </w:numPr>
              <w:tabs>
                <w:tab w:pos="1924" w:val="left" w:leader="none"/>
              </w:tabs>
              <w:spacing w:line="240" w:lineRule="auto" w:before="1" w:after="0"/>
              <w:ind w:left="1923" w:right="0" w:hanging="150"/>
              <w:jc w:val="left"/>
              <w:rPr>
                <w:rFonts w:ascii="Arial Black" w:hAnsi="Arial Black"/>
                <w:b/>
                <w:sz w:val="18"/>
              </w:rPr>
            </w:pPr>
            <w:r>
              <w:rPr>
                <w:rFonts w:ascii="Arial Narrow" w:hAnsi="Arial Narrow"/>
                <w:sz w:val="18"/>
              </w:rPr>
              <w:t>Editor: Vic Vangel </w:t>
            </w:r>
            <w:r>
              <w:rPr>
                <w:rFonts w:ascii="Arial Black" w:hAnsi="Arial Black"/>
                <w:b/>
                <w:sz w:val="18"/>
              </w:rPr>
              <w:t>• </w:t>
            </w:r>
            <w:r>
              <w:rPr>
                <w:rFonts w:ascii="Arial Narrow" w:hAnsi="Arial Narrow"/>
                <w:sz w:val="18"/>
              </w:rPr>
              <w:t>Contributors: Chris Burke, Gary Gilmore, Paul Jeffrey, Vic Vangel, Chuck Young</w:t>
            </w:r>
            <w:r>
              <w:rPr>
                <w:rFonts w:ascii="Arial Narrow" w:hAnsi="Arial Narrow"/>
                <w:spacing w:val="-24"/>
                <w:sz w:val="18"/>
              </w:rPr>
              <w:t> </w:t>
            </w:r>
            <w:r>
              <w:rPr>
                <w:rFonts w:ascii="Arial Black" w:hAnsi="Arial Black"/>
                <w:b/>
                <w:sz w:val="18"/>
              </w:rPr>
              <w:t>•</w:t>
            </w:r>
          </w:p>
        </w:tc>
      </w:tr>
      <w:tr>
        <w:trPr>
          <w:trHeight w:val="12360" w:hRule="atLeast"/>
        </w:trPr>
        <w:tc>
          <w:tcPr>
            <w:tcW w:w="5232" w:type="dxa"/>
            <w:tcBorders>
              <w:top w:val="single" w:sz="4" w:space="0" w:color="000000"/>
              <w:right w:val="single" w:sz="4" w:space="0" w:color="000000"/>
            </w:tcBorders>
          </w:tcPr>
          <w:p>
            <w:pPr>
              <w:pStyle w:val="TableParagraph"/>
              <w:spacing w:line="288" w:lineRule="auto" w:before="198"/>
              <w:ind w:left="30" w:right="948"/>
              <w:rPr>
                <w:rFonts w:ascii="Arial Black"/>
                <w:b/>
                <w:sz w:val="22"/>
              </w:rPr>
            </w:pPr>
            <w:r>
              <w:rPr>
                <w:rFonts w:ascii="Arial Black"/>
                <w:b/>
                <w:sz w:val="22"/>
              </w:rPr>
              <w:t>Requirement for Tamper-Resistant, Written Prescriptions</w:t>
            </w:r>
          </w:p>
          <w:p>
            <w:pPr>
              <w:pStyle w:val="TableParagraph"/>
              <w:spacing w:before="79"/>
              <w:ind w:left="30" w:right="151"/>
              <w:rPr>
                <w:sz w:val="22"/>
              </w:rPr>
            </w:pPr>
            <w:r>
              <w:rPr>
                <w:sz w:val="22"/>
              </w:rPr>
              <w:t>Recently, Congress enacted a law mandating the use of tamper-resistant prescription pads for prescriptions for Medicaid members. The law states that payment shall not be made for ". . . amounts expended for medical assistance for covered outpatient drugs (as defined in section 1927(k)(2)) for which the prescription was executed in written (and non-electronic) form unless the prescription was executed on a tamper-resistant pad."</w:t>
            </w:r>
          </w:p>
          <w:p>
            <w:pPr>
              <w:pStyle w:val="TableParagraph"/>
              <w:spacing w:before="9"/>
              <w:rPr>
                <w:rFonts w:ascii="Times New Roman"/>
                <w:sz w:val="21"/>
              </w:rPr>
            </w:pPr>
          </w:p>
          <w:p>
            <w:pPr>
              <w:pStyle w:val="TableParagraph"/>
              <w:spacing w:before="1"/>
              <w:ind w:left="30" w:right="122"/>
              <w:rPr>
                <w:sz w:val="22"/>
              </w:rPr>
            </w:pPr>
            <w:r>
              <w:rPr>
                <w:sz w:val="22"/>
              </w:rPr>
              <w:t>The intent of this law is to reduce forged and altered prescriptions and to deter drug abuse. MassHealth stresses the importance of ensuring that MassHealth members receive appropriate care, and urges prescribers to use alternatives to paper prescriptions where possible while awaiting tamper- resistant prescriptions.</w:t>
            </w:r>
          </w:p>
          <w:p>
            <w:pPr>
              <w:pStyle w:val="TableParagraph"/>
              <w:rPr>
                <w:rFonts w:ascii="Times New Roman"/>
                <w:sz w:val="22"/>
              </w:rPr>
            </w:pPr>
          </w:p>
          <w:p>
            <w:pPr>
              <w:pStyle w:val="TableParagraph"/>
              <w:ind w:left="30" w:right="118"/>
              <w:rPr>
                <w:sz w:val="22"/>
              </w:rPr>
            </w:pPr>
            <w:r>
              <w:rPr>
                <w:sz w:val="22"/>
              </w:rPr>
              <w:t>This document is intended to clarify MassHealth’s interpretation and implementation of the new federal requirements that non-electronic prescriptions for Medicaid-covered outpatient drugs be issued using a tamper-resistant prescription. This new requirement is effective for dates of service on and after October 1, 2007.</w:t>
            </w:r>
          </w:p>
          <w:p>
            <w:pPr>
              <w:pStyle w:val="TableParagraph"/>
              <w:spacing w:before="10"/>
              <w:rPr>
                <w:rFonts w:ascii="Times New Roman"/>
                <w:sz w:val="21"/>
              </w:rPr>
            </w:pPr>
          </w:p>
          <w:p>
            <w:pPr>
              <w:pStyle w:val="TableParagraph"/>
              <w:ind w:left="30" w:right="127"/>
              <w:rPr>
                <w:sz w:val="22"/>
              </w:rPr>
            </w:pPr>
            <w:r>
              <w:rPr>
                <w:sz w:val="22"/>
              </w:rPr>
              <w:t>The new requirement applies to both prescription drugs and over-the-counter drugs prescribed for MassHealth members. The requirement is applicable when MassHealth is the primary or secondary payor of the prescription being filled. It includes drugs prescribed for MassHealth members in nursing facilities if MassHealth will be making any payment for the drugs.</w:t>
            </w:r>
          </w:p>
          <w:p>
            <w:pPr>
              <w:pStyle w:val="TableParagraph"/>
              <w:rPr>
                <w:rFonts w:ascii="Times New Roman"/>
                <w:sz w:val="22"/>
              </w:rPr>
            </w:pPr>
          </w:p>
          <w:p>
            <w:pPr>
              <w:pStyle w:val="TableParagraph"/>
              <w:ind w:left="30" w:right="90"/>
              <w:rPr>
                <w:sz w:val="22"/>
              </w:rPr>
            </w:pPr>
            <w:r>
              <w:rPr>
                <w:sz w:val="22"/>
              </w:rPr>
              <w:t>Drug Enforcement Administration regulations, Board of Registration in Pharmacy regulations, DPH regulations, MassHealth regulations, and Massachusetts Controlled Substances laws at</w:t>
            </w:r>
          </w:p>
          <w:p>
            <w:pPr>
              <w:pStyle w:val="TableParagraph"/>
              <w:ind w:left="30"/>
              <w:rPr>
                <w:sz w:val="22"/>
              </w:rPr>
            </w:pPr>
            <w:r>
              <w:rPr>
                <w:sz w:val="22"/>
              </w:rPr>
              <w:t>M.G.L. c. 94C still apply.</w:t>
            </w:r>
          </w:p>
          <w:p>
            <w:pPr>
              <w:pStyle w:val="TableParagraph"/>
              <w:spacing w:before="6"/>
              <w:rPr>
                <w:rFonts w:ascii="Times New Roman"/>
                <w:sz w:val="25"/>
              </w:rPr>
            </w:pPr>
          </w:p>
          <w:p>
            <w:pPr>
              <w:pStyle w:val="TableParagraph"/>
              <w:spacing w:before="1"/>
              <w:ind w:left="30" w:right="292"/>
              <w:rPr>
                <w:sz w:val="22"/>
              </w:rPr>
            </w:pPr>
            <w:r>
              <w:rPr>
                <w:sz w:val="22"/>
              </w:rPr>
              <w:t>MassHealth does not endorse specific suppliers of tamper-resistant pads. The federal law exempts</w:t>
            </w:r>
          </w:p>
        </w:tc>
        <w:tc>
          <w:tcPr>
            <w:tcW w:w="5232" w:type="dxa"/>
            <w:tcBorders>
              <w:top w:val="single" w:sz="4" w:space="0" w:color="000000"/>
              <w:left w:val="single" w:sz="4" w:space="0" w:color="000000"/>
            </w:tcBorders>
          </w:tcPr>
          <w:p>
            <w:pPr>
              <w:pStyle w:val="TableParagraph"/>
              <w:spacing w:before="8"/>
              <w:rPr>
                <w:rFonts w:ascii="Times New Roman"/>
                <w:sz w:val="21"/>
              </w:rPr>
            </w:pPr>
          </w:p>
          <w:p>
            <w:pPr>
              <w:pStyle w:val="TableParagraph"/>
              <w:ind w:left="102" w:right="531"/>
              <w:rPr>
                <w:sz w:val="22"/>
              </w:rPr>
            </w:pPr>
            <w:r>
              <w:rPr>
                <w:sz w:val="22"/>
              </w:rPr>
              <w:t>from the tamper-resistant prescription pad requirement MassHealth prescriptions that are:</w:t>
            </w:r>
          </w:p>
          <w:p>
            <w:pPr>
              <w:pStyle w:val="TableParagraph"/>
              <w:numPr>
                <w:ilvl w:val="0"/>
                <w:numId w:val="2"/>
              </w:numPr>
              <w:tabs>
                <w:tab w:pos="462" w:val="left" w:leader="none"/>
                <w:tab w:pos="464" w:val="left" w:leader="none"/>
              </w:tabs>
              <w:spacing w:line="237" w:lineRule="auto" w:before="3" w:after="0"/>
              <w:ind w:left="462" w:right="115" w:hanging="360"/>
              <w:jc w:val="left"/>
              <w:rPr>
                <w:sz w:val="22"/>
              </w:rPr>
            </w:pPr>
            <w:r>
              <w:rPr>
                <w:sz w:val="22"/>
              </w:rPr>
              <w:t>e-prescribed, faxed to the pharmacy from the provider’s office, or telephoned to the pharmacy by the</w:t>
            </w:r>
            <w:r>
              <w:rPr>
                <w:spacing w:val="-2"/>
                <w:sz w:val="22"/>
              </w:rPr>
              <w:t> </w:t>
            </w:r>
            <w:r>
              <w:rPr>
                <w:sz w:val="22"/>
              </w:rPr>
              <w:t>provider;</w:t>
            </w:r>
          </w:p>
          <w:p>
            <w:pPr>
              <w:pStyle w:val="TableParagraph"/>
              <w:numPr>
                <w:ilvl w:val="0"/>
                <w:numId w:val="2"/>
              </w:numPr>
              <w:tabs>
                <w:tab w:pos="462" w:val="left" w:leader="none"/>
                <w:tab w:pos="464" w:val="left" w:leader="none"/>
              </w:tabs>
              <w:spacing w:line="237" w:lineRule="auto" w:before="3" w:after="0"/>
              <w:ind w:left="462" w:right="1362" w:hanging="360"/>
              <w:jc w:val="left"/>
              <w:rPr>
                <w:sz w:val="22"/>
              </w:rPr>
            </w:pPr>
            <w:r>
              <w:rPr>
                <w:sz w:val="22"/>
              </w:rPr>
              <w:t>paid by MassHealth managed care organizations</w:t>
            </w:r>
            <w:r>
              <w:rPr>
                <w:spacing w:val="-6"/>
                <w:sz w:val="22"/>
              </w:rPr>
              <w:t> </w:t>
            </w:r>
            <w:r>
              <w:rPr>
                <w:sz w:val="22"/>
              </w:rPr>
              <w:t>(MCOs);</w:t>
            </w:r>
          </w:p>
          <w:p>
            <w:pPr>
              <w:pStyle w:val="TableParagraph"/>
              <w:numPr>
                <w:ilvl w:val="0"/>
                <w:numId w:val="2"/>
              </w:numPr>
              <w:tabs>
                <w:tab w:pos="462" w:val="left" w:leader="none"/>
                <w:tab w:pos="464" w:val="left" w:leader="none"/>
              </w:tabs>
              <w:spacing w:line="240" w:lineRule="auto" w:before="0" w:after="0"/>
              <w:ind w:left="462" w:right="31" w:hanging="360"/>
              <w:jc w:val="left"/>
              <w:rPr>
                <w:sz w:val="22"/>
              </w:rPr>
            </w:pPr>
            <w:r>
              <w:rPr>
                <w:sz w:val="22"/>
              </w:rPr>
              <w:t>provided in institutional and clinical settings for which the drug is not separately reimbursed, but is reimbursed as part of a bundled payment</w:t>
            </w:r>
            <w:r>
              <w:rPr>
                <w:spacing w:val="-12"/>
                <w:sz w:val="22"/>
              </w:rPr>
              <w:t> </w:t>
            </w:r>
            <w:r>
              <w:rPr>
                <w:sz w:val="22"/>
              </w:rPr>
              <w:t>rate; or</w:t>
            </w:r>
          </w:p>
          <w:p>
            <w:pPr>
              <w:pStyle w:val="TableParagraph"/>
              <w:numPr>
                <w:ilvl w:val="0"/>
                <w:numId w:val="2"/>
              </w:numPr>
              <w:tabs>
                <w:tab w:pos="462" w:val="left" w:leader="none"/>
                <w:tab w:pos="464" w:val="left" w:leader="none"/>
              </w:tabs>
              <w:spacing w:line="237" w:lineRule="auto" w:before="2" w:after="0"/>
              <w:ind w:left="462" w:right="519" w:hanging="360"/>
              <w:jc w:val="left"/>
              <w:rPr>
                <w:sz w:val="22"/>
              </w:rPr>
            </w:pPr>
            <w:r>
              <w:rPr>
                <w:sz w:val="22"/>
              </w:rPr>
              <w:t>refills for which the original prescription was filled before October 1,</w:t>
            </w:r>
            <w:r>
              <w:rPr>
                <w:spacing w:val="-7"/>
                <w:sz w:val="22"/>
              </w:rPr>
              <w:t> </w:t>
            </w:r>
            <w:r>
              <w:rPr>
                <w:sz w:val="22"/>
              </w:rPr>
              <w:t>2007.</w:t>
            </w:r>
          </w:p>
          <w:p>
            <w:pPr>
              <w:pStyle w:val="TableParagraph"/>
              <w:rPr>
                <w:rFonts w:ascii="Times New Roman"/>
                <w:sz w:val="29"/>
              </w:rPr>
            </w:pPr>
          </w:p>
          <w:p>
            <w:pPr>
              <w:pStyle w:val="TableParagraph"/>
              <w:ind w:left="102" w:right="48"/>
              <w:rPr>
                <w:sz w:val="22"/>
              </w:rPr>
            </w:pPr>
            <w:r>
              <w:rPr>
                <w:sz w:val="22"/>
              </w:rPr>
              <w:t>Emergency fills, where allowed, for prescriptions written on non-tamper-resistant pads are permitted as long as the prescriber provides a verbal, faxed, electronic, or compliant written prescription within 72 hours after the date on which the prescription was filled. This allows a pharmacy, in an emergency situation, to telephone a prescriber to obtain a verbal order for a prescription written on a noncompliant prescription</w:t>
            </w:r>
            <w:r>
              <w:rPr>
                <w:spacing w:val="-6"/>
                <w:sz w:val="22"/>
              </w:rPr>
              <w:t> </w:t>
            </w:r>
            <w:r>
              <w:rPr>
                <w:sz w:val="22"/>
              </w:rPr>
              <w:t>pad.</w:t>
            </w:r>
          </w:p>
          <w:p>
            <w:pPr>
              <w:pStyle w:val="TableParagraph"/>
              <w:spacing w:before="1"/>
              <w:rPr>
                <w:rFonts w:ascii="Times New Roman"/>
                <w:sz w:val="22"/>
              </w:rPr>
            </w:pPr>
          </w:p>
          <w:p>
            <w:pPr>
              <w:pStyle w:val="TableParagraph"/>
              <w:ind w:left="102" w:right="17"/>
              <w:rPr>
                <w:sz w:val="22"/>
              </w:rPr>
            </w:pPr>
            <w:r>
              <w:rPr>
                <w:b/>
                <w:sz w:val="22"/>
              </w:rPr>
              <w:t>Effective for dates of service on and after October 1, 2007</w:t>
            </w:r>
            <w:r>
              <w:rPr>
                <w:sz w:val="22"/>
              </w:rPr>
              <w:t>, a prescription pad must contain at least </w:t>
            </w:r>
            <w:r>
              <w:rPr>
                <w:b/>
                <w:sz w:val="22"/>
              </w:rPr>
              <w:t>one </w:t>
            </w:r>
            <w:r>
              <w:rPr>
                <w:sz w:val="22"/>
              </w:rPr>
              <w:t>of the characteristics listed on the table on page two of this Pharmacy Facts.</w:t>
            </w:r>
          </w:p>
          <w:p>
            <w:pPr>
              <w:pStyle w:val="TableParagraph"/>
              <w:spacing w:before="1"/>
              <w:rPr>
                <w:rFonts w:ascii="Times New Roman"/>
                <w:sz w:val="22"/>
              </w:rPr>
            </w:pPr>
          </w:p>
          <w:p>
            <w:pPr>
              <w:pStyle w:val="TableParagraph"/>
              <w:ind w:left="103" w:right="175"/>
              <w:rPr>
                <w:sz w:val="22"/>
              </w:rPr>
            </w:pPr>
            <w:r>
              <w:rPr>
                <w:b/>
                <w:sz w:val="22"/>
              </w:rPr>
              <w:t>Effective for dates of service on and after October 1, 2008</w:t>
            </w:r>
            <w:r>
              <w:rPr>
                <w:sz w:val="22"/>
              </w:rPr>
              <w:t>, a prescription pad must contain all </w:t>
            </w:r>
            <w:r>
              <w:rPr>
                <w:b/>
                <w:sz w:val="22"/>
              </w:rPr>
              <w:t>three </w:t>
            </w:r>
            <w:r>
              <w:rPr>
                <w:sz w:val="22"/>
              </w:rPr>
              <w:t>characteristics listed on the table on page two of this Pharmacy Facts.</w:t>
            </w:r>
          </w:p>
          <w:p>
            <w:pPr>
              <w:pStyle w:val="TableParagraph"/>
              <w:rPr>
                <w:rFonts w:ascii="Times New Roman"/>
                <w:sz w:val="22"/>
              </w:rPr>
            </w:pPr>
          </w:p>
          <w:p>
            <w:pPr>
              <w:pStyle w:val="TableParagraph"/>
              <w:ind w:left="121" w:right="59"/>
              <w:rPr>
                <w:sz w:val="22"/>
              </w:rPr>
            </w:pPr>
            <w:r>
              <w:rPr>
                <w:sz w:val="22"/>
              </w:rPr>
              <w:t>The authorizing federal law is the Troop Readiness, Veterans’ Care, Katrina Recovery, and Iraq Accountability Appropriations Act of 2007 (H.R.</w:t>
            </w:r>
          </w:p>
          <w:p>
            <w:pPr>
              <w:pStyle w:val="TableParagraph"/>
              <w:ind w:left="121"/>
              <w:rPr>
                <w:sz w:val="22"/>
              </w:rPr>
            </w:pPr>
            <w:r>
              <w:rPr>
                <w:sz w:val="22"/>
              </w:rPr>
              <w:t>2206) section 7002(b).</w:t>
            </w:r>
          </w:p>
          <w:p>
            <w:pPr>
              <w:pStyle w:val="TableParagraph"/>
              <w:spacing w:before="10"/>
              <w:rPr>
                <w:rFonts w:ascii="Times New Roman"/>
                <w:sz w:val="21"/>
              </w:rPr>
            </w:pPr>
          </w:p>
          <w:p>
            <w:pPr>
              <w:pStyle w:val="TableParagraph"/>
              <w:ind w:left="121" w:right="30"/>
              <w:rPr>
                <w:sz w:val="22"/>
              </w:rPr>
            </w:pPr>
            <w:r>
              <w:rPr>
                <w:sz w:val="22"/>
              </w:rPr>
              <w:t>For more information, please see Centers for Medicare &amp; Medicaid Services (CMS) Letter to State Medicaid Director (SMDL</w:t>
            </w:r>
            <w:r>
              <w:rPr>
                <w:spacing w:val="-11"/>
                <w:sz w:val="22"/>
              </w:rPr>
              <w:t> </w:t>
            </w:r>
            <w:r>
              <w:rPr>
                <w:sz w:val="22"/>
              </w:rPr>
              <w:t>#07-012,8/17/2007). The full letter is available at: </w:t>
            </w:r>
            <w:hyperlink r:id="rId7">
              <w:r>
                <w:rPr>
                  <w:color w:val="0000FF"/>
                  <w:sz w:val="22"/>
                  <w:u w:val="single" w:color="0000FF"/>
                </w:rPr>
                <w:t>http://www.cms.hhs.gov/SMDL/downloads/SMD081</w:t>
              </w:r>
            </w:hyperlink>
            <w:r>
              <w:rPr>
                <w:color w:val="0000FF"/>
                <w:sz w:val="22"/>
              </w:rPr>
              <w:t> </w:t>
            </w:r>
            <w:hyperlink r:id="rId7">
              <w:r>
                <w:rPr>
                  <w:color w:val="0000FF"/>
                  <w:sz w:val="22"/>
                  <w:u w:val="single" w:color="0000FF"/>
                </w:rPr>
                <w:t>707.pdf</w:t>
              </w:r>
            </w:hyperlink>
            <w:r>
              <w:rPr>
                <w:sz w:val="22"/>
              </w:rPr>
              <w:t>.</w:t>
            </w:r>
          </w:p>
          <w:p>
            <w:pPr>
              <w:pStyle w:val="TableParagraph"/>
              <w:spacing w:before="7"/>
              <w:rPr>
                <w:rFonts w:ascii="Times New Roman"/>
                <w:sz w:val="25"/>
              </w:rPr>
            </w:pPr>
          </w:p>
          <w:p>
            <w:pPr>
              <w:pStyle w:val="TableParagraph"/>
              <w:ind w:left="2619"/>
              <w:rPr>
                <w:i/>
                <w:sz w:val="22"/>
              </w:rPr>
            </w:pPr>
            <w:r>
              <w:rPr>
                <w:i/>
                <w:sz w:val="22"/>
              </w:rPr>
              <w:t>(continued on next page)</w:t>
            </w:r>
          </w:p>
        </w:tc>
      </w:tr>
    </w:tbl>
    <w:p>
      <w:pPr>
        <w:spacing w:after="0"/>
        <w:rPr>
          <w:sz w:val="22"/>
        </w:rPr>
        <w:sectPr>
          <w:type w:val="continuous"/>
          <w:pgSz w:w="12240" w:h="15840"/>
          <w:pgMar w:top="360" w:bottom="280" w:left="620" w:right="420"/>
        </w:sectPr>
      </w:pPr>
    </w:p>
    <w:p>
      <w:pPr>
        <w:pStyle w:val="BodyText"/>
        <w:spacing w:line="660" w:lineRule="auto" w:before="78"/>
        <w:ind w:left="2738" w:right="207" w:firstLine="1171"/>
      </w:pPr>
      <w:r>
        <w:rPr/>
        <w:pict>
          <v:shape style="position:absolute;margin-left:39.360001pt;margin-top:55.715885pt;width:510.15pt;height:183.3pt;mso-position-horizontal-relative:page;mso-position-vertical-relative:paragraph;z-index:1096"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68"/>
                    <w:gridCol w:w="5220"/>
                  </w:tblGrid>
                  <w:tr>
                    <w:trPr>
                      <w:trHeight w:val="500" w:hRule="atLeast"/>
                    </w:trPr>
                    <w:tc>
                      <w:tcPr>
                        <w:tcW w:w="4968" w:type="dxa"/>
                      </w:tcPr>
                      <w:p>
                        <w:pPr>
                          <w:pStyle w:val="TableParagraph"/>
                          <w:spacing w:line="254" w:lineRule="exact" w:before="2"/>
                          <w:ind w:left="103" w:right="446"/>
                          <w:rPr>
                            <w:b/>
                            <w:sz w:val="22"/>
                          </w:rPr>
                        </w:pPr>
                        <w:r>
                          <w:rPr>
                            <w:b/>
                            <w:sz w:val="22"/>
                          </w:rPr>
                          <w:t>One or more industry-recognized features designed to:</w:t>
                        </w:r>
                      </w:p>
                    </w:tc>
                    <w:tc>
                      <w:tcPr>
                        <w:tcW w:w="5220" w:type="dxa"/>
                      </w:tcPr>
                      <w:p>
                        <w:pPr>
                          <w:pStyle w:val="TableParagraph"/>
                          <w:spacing w:before="10"/>
                          <w:rPr>
                            <w:sz w:val="21"/>
                          </w:rPr>
                        </w:pPr>
                      </w:p>
                      <w:p>
                        <w:pPr>
                          <w:pStyle w:val="TableParagraph"/>
                          <w:spacing w:line="234" w:lineRule="exact"/>
                          <w:ind w:left="103"/>
                          <w:rPr>
                            <w:b/>
                            <w:sz w:val="22"/>
                          </w:rPr>
                        </w:pPr>
                        <w:r>
                          <w:rPr>
                            <w:b/>
                            <w:sz w:val="22"/>
                          </w:rPr>
                          <w:t>Examples include, but are not limited to:</w:t>
                        </w:r>
                      </w:p>
                    </w:tc>
                  </w:tr>
                  <w:tr>
                    <w:trPr>
                      <w:trHeight w:val="1797" w:hRule="atLeast"/>
                    </w:trPr>
                    <w:tc>
                      <w:tcPr>
                        <w:tcW w:w="4968" w:type="dxa"/>
                      </w:tcPr>
                      <w:p>
                        <w:pPr>
                          <w:pStyle w:val="TableParagraph"/>
                          <w:ind w:left="372" w:right="45" w:hanging="270"/>
                          <w:rPr>
                            <w:sz w:val="22"/>
                          </w:rPr>
                        </w:pPr>
                        <w:r>
                          <w:rPr>
                            <w:sz w:val="22"/>
                          </w:rPr>
                          <w:t>1. prevent unauthorized copying of a completed or blank prescription form</w:t>
                        </w:r>
                      </w:p>
                    </w:tc>
                    <w:tc>
                      <w:tcPr>
                        <w:tcW w:w="5220" w:type="dxa"/>
                      </w:tcPr>
                      <w:p>
                        <w:pPr>
                          <w:pStyle w:val="TableParagraph"/>
                          <w:numPr>
                            <w:ilvl w:val="0"/>
                            <w:numId w:val="3"/>
                          </w:numPr>
                          <w:tabs>
                            <w:tab w:pos="355" w:val="left" w:leader="none"/>
                          </w:tabs>
                          <w:spacing w:line="265" w:lineRule="exact" w:before="0" w:after="0"/>
                          <w:ind w:left="354" w:right="0" w:hanging="252"/>
                          <w:jc w:val="left"/>
                          <w:rPr>
                            <w:sz w:val="22"/>
                          </w:rPr>
                        </w:pPr>
                        <w:r>
                          <w:rPr>
                            <w:sz w:val="22"/>
                          </w:rPr>
                          <w:t>high security watermark on reverse side of</w:t>
                        </w:r>
                        <w:r>
                          <w:rPr>
                            <w:spacing w:val="-13"/>
                            <w:sz w:val="22"/>
                          </w:rPr>
                          <w:t> </w:t>
                        </w:r>
                        <w:r>
                          <w:rPr>
                            <w:sz w:val="22"/>
                          </w:rPr>
                          <w:t>blank</w:t>
                        </w:r>
                      </w:p>
                      <w:p>
                        <w:pPr>
                          <w:pStyle w:val="TableParagraph"/>
                          <w:numPr>
                            <w:ilvl w:val="0"/>
                            <w:numId w:val="3"/>
                          </w:numPr>
                          <w:tabs>
                            <w:tab w:pos="355" w:val="left" w:leader="none"/>
                          </w:tabs>
                          <w:spacing w:line="240" w:lineRule="auto" w:before="0" w:after="0"/>
                          <w:ind w:left="354" w:right="317" w:hanging="252"/>
                          <w:jc w:val="left"/>
                          <w:rPr>
                            <w:sz w:val="22"/>
                          </w:rPr>
                        </w:pPr>
                        <w:r>
                          <w:rPr>
                            <w:sz w:val="22"/>
                          </w:rPr>
                          <w:t>thermochromic ink (for example, a latent “void” pattern printed across the entire width of the front of the prescription blank, such that if it is photocopied the word “void” will appear in a pattern across the entire front of</w:t>
                        </w:r>
                        <w:r>
                          <w:rPr>
                            <w:spacing w:val="-8"/>
                            <w:sz w:val="22"/>
                          </w:rPr>
                          <w:t> </w:t>
                        </w:r>
                        <w:r>
                          <w:rPr>
                            <w:sz w:val="22"/>
                          </w:rPr>
                          <w:t>the</w:t>
                        </w:r>
                      </w:p>
                      <w:p>
                        <w:pPr>
                          <w:pStyle w:val="TableParagraph"/>
                          <w:spacing w:line="236" w:lineRule="exact"/>
                          <w:ind w:left="354"/>
                          <w:rPr>
                            <w:sz w:val="22"/>
                          </w:rPr>
                        </w:pPr>
                        <w:r>
                          <w:rPr>
                            <w:sz w:val="22"/>
                          </w:rPr>
                          <w:t>prescription.)</w:t>
                        </w:r>
                      </w:p>
                    </w:tc>
                  </w:tr>
                  <w:tr>
                    <w:trPr>
                      <w:trHeight w:val="760" w:hRule="atLeast"/>
                    </w:trPr>
                    <w:tc>
                      <w:tcPr>
                        <w:tcW w:w="4968" w:type="dxa"/>
                      </w:tcPr>
                      <w:p>
                        <w:pPr>
                          <w:pStyle w:val="TableParagraph"/>
                          <w:ind w:left="372" w:right="45" w:hanging="270"/>
                          <w:rPr>
                            <w:sz w:val="22"/>
                          </w:rPr>
                        </w:pPr>
                        <w:r>
                          <w:rPr>
                            <w:sz w:val="22"/>
                          </w:rPr>
                          <w:t>2. prevent erasure or modification of information written on the prescription by the prescriber</w:t>
                        </w:r>
                      </w:p>
                    </w:tc>
                    <w:tc>
                      <w:tcPr>
                        <w:tcW w:w="5220" w:type="dxa"/>
                      </w:tcPr>
                      <w:p>
                        <w:pPr>
                          <w:pStyle w:val="TableParagraph"/>
                          <w:numPr>
                            <w:ilvl w:val="0"/>
                            <w:numId w:val="4"/>
                          </w:numPr>
                          <w:tabs>
                            <w:tab w:pos="355" w:val="left" w:leader="none"/>
                          </w:tabs>
                          <w:spacing w:line="237" w:lineRule="auto" w:before="1" w:after="0"/>
                          <w:ind w:left="354" w:right="841" w:hanging="252"/>
                          <w:jc w:val="left"/>
                          <w:rPr>
                            <w:sz w:val="22"/>
                          </w:rPr>
                        </w:pPr>
                        <w:r>
                          <w:rPr>
                            <w:sz w:val="22"/>
                          </w:rPr>
                          <w:t>tamper-resistant background ink showing erasures or attempts to change</w:t>
                        </w:r>
                        <w:r>
                          <w:rPr>
                            <w:spacing w:val="-10"/>
                            <w:sz w:val="22"/>
                          </w:rPr>
                          <w:t> </w:t>
                        </w:r>
                        <w:r>
                          <w:rPr>
                            <w:sz w:val="22"/>
                          </w:rPr>
                          <w:t>written</w:t>
                        </w:r>
                      </w:p>
                      <w:p>
                        <w:pPr>
                          <w:pStyle w:val="TableParagraph"/>
                          <w:spacing w:line="235" w:lineRule="exact"/>
                          <w:ind w:left="354"/>
                          <w:rPr>
                            <w:sz w:val="22"/>
                          </w:rPr>
                        </w:pPr>
                        <w:r>
                          <w:rPr>
                            <w:sz w:val="22"/>
                          </w:rPr>
                          <w:t>information</w:t>
                        </w:r>
                      </w:p>
                    </w:tc>
                  </w:tr>
                  <w:tr>
                    <w:trPr>
                      <w:trHeight w:val="520" w:hRule="atLeast"/>
                    </w:trPr>
                    <w:tc>
                      <w:tcPr>
                        <w:tcW w:w="4968" w:type="dxa"/>
                      </w:tcPr>
                      <w:p>
                        <w:pPr>
                          <w:pStyle w:val="TableParagraph"/>
                          <w:ind w:left="372" w:right="446" w:hanging="270"/>
                          <w:rPr>
                            <w:sz w:val="22"/>
                          </w:rPr>
                        </w:pPr>
                        <w:r>
                          <w:rPr>
                            <w:sz w:val="22"/>
                          </w:rPr>
                          <w:t>3. prevent the use of counterfeit prescription forms</w:t>
                        </w:r>
                      </w:p>
                    </w:tc>
                    <w:tc>
                      <w:tcPr>
                        <w:tcW w:w="5220" w:type="dxa"/>
                      </w:tcPr>
                      <w:p>
                        <w:pPr>
                          <w:pStyle w:val="TableParagraph"/>
                          <w:numPr>
                            <w:ilvl w:val="0"/>
                            <w:numId w:val="5"/>
                          </w:numPr>
                          <w:tabs>
                            <w:tab w:pos="355" w:val="left" w:leader="none"/>
                          </w:tabs>
                          <w:spacing w:line="267" w:lineRule="exact" w:before="0" w:after="0"/>
                          <w:ind w:left="354" w:right="0" w:hanging="252"/>
                          <w:jc w:val="left"/>
                          <w:rPr>
                            <w:sz w:val="22"/>
                          </w:rPr>
                        </w:pPr>
                        <w:r>
                          <w:rPr>
                            <w:sz w:val="22"/>
                          </w:rPr>
                          <w:t>sequentially numbered</w:t>
                        </w:r>
                        <w:r>
                          <w:rPr>
                            <w:spacing w:val="-7"/>
                            <w:sz w:val="22"/>
                          </w:rPr>
                          <w:t> </w:t>
                        </w:r>
                        <w:r>
                          <w:rPr>
                            <w:sz w:val="22"/>
                          </w:rPr>
                          <w:t>blanks</w:t>
                        </w:r>
                      </w:p>
                      <w:p>
                        <w:pPr>
                          <w:pStyle w:val="TableParagraph"/>
                          <w:numPr>
                            <w:ilvl w:val="0"/>
                            <w:numId w:val="5"/>
                          </w:numPr>
                          <w:tabs>
                            <w:tab w:pos="355" w:val="left" w:leader="none"/>
                          </w:tabs>
                          <w:spacing w:line="249" w:lineRule="exact" w:before="0" w:after="0"/>
                          <w:ind w:left="354" w:right="0" w:hanging="252"/>
                          <w:jc w:val="left"/>
                          <w:rPr>
                            <w:sz w:val="22"/>
                          </w:rPr>
                        </w:pPr>
                        <w:r>
                          <w:rPr>
                            <w:sz w:val="22"/>
                          </w:rPr>
                          <w:t>duplicate or triplicate</w:t>
                        </w:r>
                        <w:r>
                          <w:rPr>
                            <w:spacing w:val="-9"/>
                            <w:sz w:val="22"/>
                          </w:rPr>
                          <w:t> </w:t>
                        </w:r>
                        <w:r>
                          <w:rPr>
                            <w:sz w:val="22"/>
                          </w:rPr>
                          <w:t>blanks</w:t>
                        </w:r>
                      </w:p>
                    </w:tc>
                  </w:tr>
                </w:tbl>
                <w:p>
                  <w:pPr>
                    <w:pStyle w:val="BodyText"/>
                  </w:pPr>
                </w:p>
              </w:txbxContent>
            </v:textbox>
            <w10:wrap type="none"/>
          </v:shape>
        </w:pict>
      </w:r>
      <w:r>
        <w:rPr/>
        <w:t>Pharmacy Facts Number 30, September 7, 2007, page 2 Required Tamper-Resistant Characteristics</w:t>
      </w: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1" w:lineRule="exact" w:before="213"/>
        <w:ind w:left="1840" w:right="661" w:firstLine="0"/>
        <w:jc w:val="center"/>
        <w:rPr>
          <w:sz w:val="21"/>
        </w:rPr>
      </w:pPr>
      <w:r>
        <w:rPr>
          <w:sz w:val="21"/>
        </w:rPr>
        <w:t>Please direct any questions or comments (or to be taken off of this fax distribution) to</w:t>
      </w:r>
    </w:p>
    <w:p>
      <w:pPr>
        <w:spacing w:line="296" w:lineRule="exact" w:before="0"/>
        <w:ind w:left="3810" w:right="0" w:firstLine="0"/>
        <w:jc w:val="left"/>
        <w:rPr>
          <w:sz w:val="21"/>
        </w:rPr>
      </w:pPr>
      <w:r>
        <w:rPr>
          <w:rFonts w:ascii="Arial Black"/>
          <w:b/>
          <w:sz w:val="21"/>
        </w:rPr>
        <w:t>Victor Moquin </w:t>
      </w:r>
      <w:r>
        <w:rPr>
          <w:sz w:val="21"/>
        </w:rPr>
        <w:t>of ACS at 617-423-9830.</w:t>
      </w:r>
    </w:p>
    <w:sectPr>
      <w:pgSz w:w="12240" w:h="15840"/>
      <w:pgMar w:top="280" w:bottom="280" w:left="680" w:right="11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Arial Black">
    <w:altName w:val="Arial Black"/>
    <w:charset w:val="0"/>
    <w:family w:val="swiss"/>
    <w:pitch w:val="variable"/>
  </w:font>
  <w:font w:name="Tahoma">
    <w:altName w:val="Tahoma"/>
    <w:charset w:val="0"/>
    <w:family w:val="swiss"/>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354" w:hanging="253"/>
      </w:pPr>
      <w:rPr>
        <w:rFonts w:hint="default" w:ascii="Symbol" w:hAnsi="Symbol" w:eastAsia="Symbol" w:cs="Symbol"/>
        <w:w w:val="99"/>
        <w:sz w:val="22"/>
        <w:szCs w:val="22"/>
      </w:rPr>
    </w:lvl>
    <w:lvl w:ilvl="1">
      <w:start w:val="0"/>
      <w:numFmt w:val="bullet"/>
      <w:lvlText w:val="•"/>
      <w:lvlJc w:val="left"/>
      <w:pPr>
        <w:ind w:left="845" w:hanging="253"/>
      </w:pPr>
      <w:rPr>
        <w:rFonts w:hint="default"/>
      </w:rPr>
    </w:lvl>
    <w:lvl w:ilvl="2">
      <w:start w:val="0"/>
      <w:numFmt w:val="bullet"/>
      <w:lvlText w:val="•"/>
      <w:lvlJc w:val="left"/>
      <w:pPr>
        <w:ind w:left="1330" w:hanging="253"/>
      </w:pPr>
      <w:rPr>
        <w:rFonts w:hint="default"/>
      </w:rPr>
    </w:lvl>
    <w:lvl w:ilvl="3">
      <w:start w:val="0"/>
      <w:numFmt w:val="bullet"/>
      <w:lvlText w:val="•"/>
      <w:lvlJc w:val="left"/>
      <w:pPr>
        <w:ind w:left="1815" w:hanging="253"/>
      </w:pPr>
      <w:rPr>
        <w:rFonts w:hint="default"/>
      </w:rPr>
    </w:lvl>
    <w:lvl w:ilvl="4">
      <w:start w:val="0"/>
      <w:numFmt w:val="bullet"/>
      <w:lvlText w:val="•"/>
      <w:lvlJc w:val="left"/>
      <w:pPr>
        <w:ind w:left="2300" w:hanging="253"/>
      </w:pPr>
      <w:rPr>
        <w:rFonts w:hint="default"/>
      </w:rPr>
    </w:lvl>
    <w:lvl w:ilvl="5">
      <w:start w:val="0"/>
      <w:numFmt w:val="bullet"/>
      <w:lvlText w:val="•"/>
      <w:lvlJc w:val="left"/>
      <w:pPr>
        <w:ind w:left="2785" w:hanging="253"/>
      </w:pPr>
      <w:rPr>
        <w:rFonts w:hint="default"/>
      </w:rPr>
    </w:lvl>
    <w:lvl w:ilvl="6">
      <w:start w:val="0"/>
      <w:numFmt w:val="bullet"/>
      <w:lvlText w:val="•"/>
      <w:lvlJc w:val="left"/>
      <w:pPr>
        <w:ind w:left="3270" w:hanging="253"/>
      </w:pPr>
      <w:rPr>
        <w:rFonts w:hint="default"/>
      </w:rPr>
    </w:lvl>
    <w:lvl w:ilvl="7">
      <w:start w:val="0"/>
      <w:numFmt w:val="bullet"/>
      <w:lvlText w:val="•"/>
      <w:lvlJc w:val="left"/>
      <w:pPr>
        <w:ind w:left="3755" w:hanging="253"/>
      </w:pPr>
      <w:rPr>
        <w:rFonts w:hint="default"/>
      </w:rPr>
    </w:lvl>
    <w:lvl w:ilvl="8">
      <w:start w:val="0"/>
      <w:numFmt w:val="bullet"/>
      <w:lvlText w:val="•"/>
      <w:lvlJc w:val="left"/>
      <w:pPr>
        <w:ind w:left="4240" w:hanging="253"/>
      </w:pPr>
      <w:rPr>
        <w:rFonts w:hint="default"/>
      </w:rPr>
    </w:lvl>
  </w:abstractNum>
  <w:abstractNum w:abstractNumId="3">
    <w:multiLevelType w:val="hybridMultilevel"/>
    <w:lvl w:ilvl="0">
      <w:start w:val="0"/>
      <w:numFmt w:val="bullet"/>
      <w:lvlText w:val=""/>
      <w:lvlJc w:val="left"/>
      <w:pPr>
        <w:ind w:left="354" w:hanging="253"/>
      </w:pPr>
      <w:rPr>
        <w:rFonts w:hint="default" w:ascii="Symbol" w:hAnsi="Symbol" w:eastAsia="Symbol" w:cs="Symbol"/>
        <w:w w:val="99"/>
        <w:sz w:val="22"/>
        <w:szCs w:val="22"/>
      </w:rPr>
    </w:lvl>
    <w:lvl w:ilvl="1">
      <w:start w:val="0"/>
      <w:numFmt w:val="bullet"/>
      <w:lvlText w:val="•"/>
      <w:lvlJc w:val="left"/>
      <w:pPr>
        <w:ind w:left="845" w:hanging="253"/>
      </w:pPr>
      <w:rPr>
        <w:rFonts w:hint="default"/>
      </w:rPr>
    </w:lvl>
    <w:lvl w:ilvl="2">
      <w:start w:val="0"/>
      <w:numFmt w:val="bullet"/>
      <w:lvlText w:val="•"/>
      <w:lvlJc w:val="left"/>
      <w:pPr>
        <w:ind w:left="1330" w:hanging="253"/>
      </w:pPr>
      <w:rPr>
        <w:rFonts w:hint="default"/>
      </w:rPr>
    </w:lvl>
    <w:lvl w:ilvl="3">
      <w:start w:val="0"/>
      <w:numFmt w:val="bullet"/>
      <w:lvlText w:val="•"/>
      <w:lvlJc w:val="left"/>
      <w:pPr>
        <w:ind w:left="1815" w:hanging="253"/>
      </w:pPr>
      <w:rPr>
        <w:rFonts w:hint="default"/>
      </w:rPr>
    </w:lvl>
    <w:lvl w:ilvl="4">
      <w:start w:val="0"/>
      <w:numFmt w:val="bullet"/>
      <w:lvlText w:val="•"/>
      <w:lvlJc w:val="left"/>
      <w:pPr>
        <w:ind w:left="2300" w:hanging="253"/>
      </w:pPr>
      <w:rPr>
        <w:rFonts w:hint="default"/>
      </w:rPr>
    </w:lvl>
    <w:lvl w:ilvl="5">
      <w:start w:val="0"/>
      <w:numFmt w:val="bullet"/>
      <w:lvlText w:val="•"/>
      <w:lvlJc w:val="left"/>
      <w:pPr>
        <w:ind w:left="2785" w:hanging="253"/>
      </w:pPr>
      <w:rPr>
        <w:rFonts w:hint="default"/>
      </w:rPr>
    </w:lvl>
    <w:lvl w:ilvl="6">
      <w:start w:val="0"/>
      <w:numFmt w:val="bullet"/>
      <w:lvlText w:val="•"/>
      <w:lvlJc w:val="left"/>
      <w:pPr>
        <w:ind w:left="3270" w:hanging="253"/>
      </w:pPr>
      <w:rPr>
        <w:rFonts w:hint="default"/>
      </w:rPr>
    </w:lvl>
    <w:lvl w:ilvl="7">
      <w:start w:val="0"/>
      <w:numFmt w:val="bullet"/>
      <w:lvlText w:val="•"/>
      <w:lvlJc w:val="left"/>
      <w:pPr>
        <w:ind w:left="3755" w:hanging="253"/>
      </w:pPr>
      <w:rPr>
        <w:rFonts w:hint="default"/>
      </w:rPr>
    </w:lvl>
    <w:lvl w:ilvl="8">
      <w:start w:val="0"/>
      <w:numFmt w:val="bullet"/>
      <w:lvlText w:val="•"/>
      <w:lvlJc w:val="left"/>
      <w:pPr>
        <w:ind w:left="4240" w:hanging="253"/>
      </w:pPr>
      <w:rPr>
        <w:rFonts w:hint="default"/>
      </w:rPr>
    </w:lvl>
  </w:abstractNum>
  <w:abstractNum w:abstractNumId="2">
    <w:multiLevelType w:val="hybridMultilevel"/>
    <w:lvl w:ilvl="0">
      <w:start w:val="0"/>
      <w:numFmt w:val="bullet"/>
      <w:lvlText w:val=""/>
      <w:lvlJc w:val="left"/>
      <w:pPr>
        <w:ind w:left="354" w:hanging="253"/>
      </w:pPr>
      <w:rPr>
        <w:rFonts w:hint="default" w:ascii="Symbol" w:hAnsi="Symbol" w:eastAsia="Symbol" w:cs="Symbol"/>
        <w:w w:val="99"/>
        <w:sz w:val="22"/>
        <w:szCs w:val="22"/>
      </w:rPr>
    </w:lvl>
    <w:lvl w:ilvl="1">
      <w:start w:val="0"/>
      <w:numFmt w:val="bullet"/>
      <w:lvlText w:val="•"/>
      <w:lvlJc w:val="left"/>
      <w:pPr>
        <w:ind w:left="845" w:hanging="253"/>
      </w:pPr>
      <w:rPr>
        <w:rFonts w:hint="default"/>
      </w:rPr>
    </w:lvl>
    <w:lvl w:ilvl="2">
      <w:start w:val="0"/>
      <w:numFmt w:val="bullet"/>
      <w:lvlText w:val="•"/>
      <w:lvlJc w:val="left"/>
      <w:pPr>
        <w:ind w:left="1330" w:hanging="253"/>
      </w:pPr>
      <w:rPr>
        <w:rFonts w:hint="default"/>
      </w:rPr>
    </w:lvl>
    <w:lvl w:ilvl="3">
      <w:start w:val="0"/>
      <w:numFmt w:val="bullet"/>
      <w:lvlText w:val="•"/>
      <w:lvlJc w:val="left"/>
      <w:pPr>
        <w:ind w:left="1815" w:hanging="253"/>
      </w:pPr>
      <w:rPr>
        <w:rFonts w:hint="default"/>
      </w:rPr>
    </w:lvl>
    <w:lvl w:ilvl="4">
      <w:start w:val="0"/>
      <w:numFmt w:val="bullet"/>
      <w:lvlText w:val="•"/>
      <w:lvlJc w:val="left"/>
      <w:pPr>
        <w:ind w:left="2300" w:hanging="253"/>
      </w:pPr>
      <w:rPr>
        <w:rFonts w:hint="default"/>
      </w:rPr>
    </w:lvl>
    <w:lvl w:ilvl="5">
      <w:start w:val="0"/>
      <w:numFmt w:val="bullet"/>
      <w:lvlText w:val="•"/>
      <w:lvlJc w:val="left"/>
      <w:pPr>
        <w:ind w:left="2785" w:hanging="253"/>
      </w:pPr>
      <w:rPr>
        <w:rFonts w:hint="default"/>
      </w:rPr>
    </w:lvl>
    <w:lvl w:ilvl="6">
      <w:start w:val="0"/>
      <w:numFmt w:val="bullet"/>
      <w:lvlText w:val="•"/>
      <w:lvlJc w:val="left"/>
      <w:pPr>
        <w:ind w:left="3270" w:hanging="253"/>
      </w:pPr>
      <w:rPr>
        <w:rFonts w:hint="default"/>
      </w:rPr>
    </w:lvl>
    <w:lvl w:ilvl="7">
      <w:start w:val="0"/>
      <w:numFmt w:val="bullet"/>
      <w:lvlText w:val="•"/>
      <w:lvlJc w:val="left"/>
      <w:pPr>
        <w:ind w:left="3755" w:hanging="253"/>
      </w:pPr>
      <w:rPr>
        <w:rFonts w:hint="default"/>
      </w:rPr>
    </w:lvl>
    <w:lvl w:ilvl="8">
      <w:start w:val="0"/>
      <w:numFmt w:val="bullet"/>
      <w:lvlText w:val="•"/>
      <w:lvlJc w:val="left"/>
      <w:pPr>
        <w:ind w:left="4240" w:hanging="253"/>
      </w:pPr>
      <w:rPr>
        <w:rFonts w:hint="default"/>
      </w:rPr>
    </w:lvl>
  </w:abstractNum>
  <w:abstractNum w:abstractNumId="1">
    <w:multiLevelType w:val="hybridMultilevel"/>
    <w:lvl w:ilvl="0">
      <w:start w:val="0"/>
      <w:numFmt w:val="bullet"/>
      <w:lvlText w:val=""/>
      <w:lvlJc w:val="left"/>
      <w:pPr>
        <w:ind w:left="462" w:hanging="361"/>
      </w:pPr>
      <w:rPr>
        <w:rFonts w:hint="default" w:ascii="Symbol" w:hAnsi="Symbol" w:eastAsia="Symbol" w:cs="Symbol"/>
        <w:w w:val="99"/>
        <w:sz w:val="22"/>
        <w:szCs w:val="22"/>
      </w:rPr>
    </w:lvl>
    <w:lvl w:ilvl="1">
      <w:start w:val="0"/>
      <w:numFmt w:val="bullet"/>
      <w:lvlText w:val="•"/>
      <w:lvlJc w:val="left"/>
      <w:pPr>
        <w:ind w:left="936" w:hanging="361"/>
      </w:pPr>
      <w:rPr>
        <w:rFonts w:hint="default"/>
      </w:rPr>
    </w:lvl>
    <w:lvl w:ilvl="2">
      <w:start w:val="0"/>
      <w:numFmt w:val="bullet"/>
      <w:lvlText w:val="•"/>
      <w:lvlJc w:val="left"/>
      <w:pPr>
        <w:ind w:left="1413" w:hanging="361"/>
      </w:pPr>
      <w:rPr>
        <w:rFonts w:hint="default"/>
      </w:rPr>
    </w:lvl>
    <w:lvl w:ilvl="3">
      <w:start w:val="0"/>
      <w:numFmt w:val="bullet"/>
      <w:lvlText w:val="•"/>
      <w:lvlJc w:val="left"/>
      <w:pPr>
        <w:ind w:left="1890" w:hanging="361"/>
      </w:pPr>
      <w:rPr>
        <w:rFonts w:hint="default"/>
      </w:rPr>
    </w:lvl>
    <w:lvl w:ilvl="4">
      <w:start w:val="0"/>
      <w:numFmt w:val="bullet"/>
      <w:lvlText w:val="•"/>
      <w:lvlJc w:val="left"/>
      <w:pPr>
        <w:ind w:left="2366" w:hanging="361"/>
      </w:pPr>
      <w:rPr>
        <w:rFonts w:hint="default"/>
      </w:rPr>
    </w:lvl>
    <w:lvl w:ilvl="5">
      <w:start w:val="0"/>
      <w:numFmt w:val="bullet"/>
      <w:lvlText w:val="•"/>
      <w:lvlJc w:val="left"/>
      <w:pPr>
        <w:ind w:left="2843" w:hanging="361"/>
      </w:pPr>
      <w:rPr>
        <w:rFonts w:hint="default"/>
      </w:rPr>
    </w:lvl>
    <w:lvl w:ilvl="6">
      <w:start w:val="0"/>
      <w:numFmt w:val="bullet"/>
      <w:lvlText w:val="•"/>
      <w:lvlJc w:val="left"/>
      <w:pPr>
        <w:ind w:left="3320" w:hanging="361"/>
      </w:pPr>
      <w:rPr>
        <w:rFonts w:hint="default"/>
      </w:rPr>
    </w:lvl>
    <w:lvl w:ilvl="7">
      <w:start w:val="0"/>
      <w:numFmt w:val="bullet"/>
      <w:lvlText w:val="•"/>
      <w:lvlJc w:val="left"/>
      <w:pPr>
        <w:ind w:left="3796" w:hanging="361"/>
      </w:pPr>
      <w:rPr>
        <w:rFonts w:hint="default"/>
      </w:rPr>
    </w:lvl>
    <w:lvl w:ilvl="8">
      <w:start w:val="0"/>
      <w:numFmt w:val="bullet"/>
      <w:lvlText w:val="•"/>
      <w:lvlJc w:val="left"/>
      <w:pPr>
        <w:ind w:left="4273" w:hanging="361"/>
      </w:pPr>
      <w:rPr>
        <w:rFonts w:hint="default"/>
      </w:rPr>
    </w:lvl>
  </w:abstractNum>
  <w:abstractNum w:abstractNumId="0">
    <w:multiLevelType w:val="hybridMultilevel"/>
    <w:lvl w:ilvl="0">
      <w:start w:val="0"/>
      <w:numFmt w:val="bullet"/>
      <w:lvlText w:val="•"/>
      <w:lvlJc w:val="left"/>
      <w:pPr>
        <w:ind w:left="1923" w:hanging="150"/>
      </w:pPr>
      <w:rPr>
        <w:rFonts w:hint="default" w:ascii="Arial Black" w:hAnsi="Arial Black" w:eastAsia="Arial Black" w:cs="Arial Black"/>
        <w:b/>
        <w:bCs/>
        <w:w w:val="100"/>
        <w:sz w:val="18"/>
        <w:szCs w:val="18"/>
      </w:rPr>
    </w:lvl>
    <w:lvl w:ilvl="1">
      <w:start w:val="0"/>
      <w:numFmt w:val="bullet"/>
      <w:lvlText w:val="•"/>
      <w:lvlJc w:val="left"/>
      <w:pPr>
        <w:ind w:left="2774" w:hanging="150"/>
      </w:pPr>
      <w:rPr>
        <w:rFonts w:hint="default"/>
      </w:rPr>
    </w:lvl>
    <w:lvl w:ilvl="2">
      <w:start w:val="0"/>
      <w:numFmt w:val="bullet"/>
      <w:lvlText w:val="•"/>
      <w:lvlJc w:val="left"/>
      <w:pPr>
        <w:ind w:left="3628" w:hanging="150"/>
      </w:pPr>
      <w:rPr>
        <w:rFonts w:hint="default"/>
      </w:rPr>
    </w:lvl>
    <w:lvl w:ilvl="3">
      <w:start w:val="0"/>
      <w:numFmt w:val="bullet"/>
      <w:lvlText w:val="•"/>
      <w:lvlJc w:val="left"/>
      <w:pPr>
        <w:ind w:left="4483" w:hanging="150"/>
      </w:pPr>
      <w:rPr>
        <w:rFonts w:hint="default"/>
      </w:rPr>
    </w:lvl>
    <w:lvl w:ilvl="4">
      <w:start w:val="0"/>
      <w:numFmt w:val="bullet"/>
      <w:lvlText w:val="•"/>
      <w:lvlJc w:val="left"/>
      <w:pPr>
        <w:ind w:left="5337" w:hanging="150"/>
      </w:pPr>
      <w:rPr>
        <w:rFonts w:hint="default"/>
      </w:rPr>
    </w:lvl>
    <w:lvl w:ilvl="5">
      <w:start w:val="0"/>
      <w:numFmt w:val="bullet"/>
      <w:lvlText w:val="•"/>
      <w:lvlJc w:val="left"/>
      <w:pPr>
        <w:ind w:left="6192" w:hanging="150"/>
      </w:pPr>
      <w:rPr>
        <w:rFonts w:hint="default"/>
      </w:rPr>
    </w:lvl>
    <w:lvl w:ilvl="6">
      <w:start w:val="0"/>
      <w:numFmt w:val="bullet"/>
      <w:lvlText w:val="•"/>
      <w:lvlJc w:val="left"/>
      <w:pPr>
        <w:ind w:left="7046" w:hanging="150"/>
      </w:pPr>
      <w:rPr>
        <w:rFonts w:hint="default"/>
      </w:rPr>
    </w:lvl>
    <w:lvl w:ilvl="7">
      <w:start w:val="0"/>
      <w:numFmt w:val="bullet"/>
      <w:lvlText w:val="•"/>
      <w:lvlJc w:val="left"/>
      <w:pPr>
        <w:ind w:left="7900" w:hanging="150"/>
      </w:pPr>
      <w:rPr>
        <w:rFonts w:hint="default"/>
      </w:rPr>
    </w:lvl>
    <w:lvl w:ilvl="8">
      <w:start w:val="0"/>
      <w:numFmt w:val="bullet"/>
      <w:lvlText w:val="•"/>
      <w:lvlJc w:val="left"/>
      <w:pPr>
        <w:ind w:left="8755" w:hanging="150"/>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masshealth/pharmacy" TargetMode="External"/><Relationship Id="rId7" Type="http://schemas.openxmlformats.org/officeDocument/2006/relationships/hyperlink" Target="http://www.cms.hhs.gov/SMDL/downloads/SMD081707.pdf"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dcterms:created xsi:type="dcterms:W3CDTF">2017-11-16T09:05:34Z</dcterms:created>
  <dcterms:modified xsi:type="dcterms:W3CDTF">2017-11-16T09:05:34Z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2007-09-07T00:00:00Z</vt:filetime>
  </property>
  <property fmtid="{D5CDD505-2E9C-101B-9397-08002B2CF9AE}" pid="3" name="Creator">
    <vt:lpwstr>Acrobat PDFMaker 8.1 for Word</vt:lpwstr>
  </property>
  <property fmtid="{D5CDD505-2E9C-101B-9397-08002B2CF9AE}" pid="4" name="LastSaved">
    <vt:filetime>2017-11-16T00:00:00Z</vt:filetime>
  </property>
</Properties>
</file>