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36pt;margin-top:18pt;width:549.6pt;height:117pt;mso-position-horizontal-relative:page;mso-position-vertical-relative:page;z-index:-3904" coordorigin="720,360" coordsize="10992,2340">
            <v:shape style="position:absolute;left:720;top:360;width:10992;height:234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84;top:1332;width:1497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32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December 13, 2007</w:t>
                    </w:r>
                  </w:p>
                </w:txbxContent>
              </v:textbox>
              <w10:wrap type="none"/>
            </v:shape>
            <v:shape style="position:absolute;left:4790;top:2494;width:2500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hyperlink r:id="rId6">
                      <w:r>
                        <w:rPr>
                          <w:rFonts w:ascii="Arial Narrow"/>
                          <w:sz w:val="18"/>
                        </w:rPr>
                        <w:t>www.mass.gov/masshealth/pharmacy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5202"/>
        <w:gridCol w:w="5708"/>
        <w:gridCol w:w="70"/>
      </w:tblGrid>
      <w:tr>
        <w:trPr>
          <w:trHeight w:val="300" w:hRule="atLeast"/>
        </w:trPr>
        <w:tc>
          <w:tcPr>
            <w:tcW w:w="1108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006" w:val="left" w:leader="none"/>
              </w:tabs>
              <w:spacing w:line="240" w:lineRule="auto" w:before="0" w:after="0"/>
              <w:ind w:left="2005" w:right="0" w:hanging="150"/>
              <w:jc w:val="left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>Editor: Vic Vangel </w:t>
            </w:r>
            <w:r>
              <w:rPr>
                <w:rFonts w:ascii="Arial Black" w:hAnsi="Arial Black"/>
                <w:b/>
                <w:sz w:val="18"/>
              </w:rPr>
              <w:t>• </w:t>
            </w:r>
            <w:r>
              <w:rPr>
                <w:rFonts w:ascii="Arial Narrow" w:hAnsi="Arial Narrow"/>
                <w:sz w:val="18"/>
              </w:rPr>
              <w:t>Contributors: Chris Burke, Gary Gilmore, Paul Jeffrey, James Monahan, Chuck Young</w:t>
            </w:r>
            <w:r>
              <w:rPr>
                <w:rFonts w:ascii="Arial Narrow" w:hAnsi="Arial Narrow"/>
                <w:spacing w:val="-22"/>
                <w:sz w:val="18"/>
              </w:rPr>
              <w:t> </w:t>
            </w:r>
            <w:r>
              <w:rPr>
                <w:rFonts w:ascii="Arial Black" w:hAnsi="Arial Black"/>
                <w:b/>
                <w:sz w:val="18"/>
              </w:rPr>
              <w:t>•</w:t>
            </w:r>
          </w:p>
        </w:tc>
      </w:tr>
      <w:tr>
        <w:trPr>
          <w:trHeight w:val="11800" w:hRule="atLeast"/>
        </w:trPr>
        <w:tc>
          <w:tcPr>
            <w:tcW w:w="10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02" w:type="dxa"/>
            <w:tcBorders>
              <w:top w:val="single" w:sz="8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0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Health Safety Net (HSN) Claims</w:t>
            </w:r>
          </w:p>
          <w:p>
            <w:pPr>
              <w:pStyle w:val="TableParagraph"/>
              <w:spacing w:line="290" w:lineRule="auto" w:before="194"/>
              <w:ind w:left="0" w:right="122"/>
              <w:rPr>
                <w:sz w:val="21"/>
              </w:rPr>
            </w:pPr>
            <w:r>
              <w:rPr>
                <w:sz w:val="21"/>
              </w:rPr>
              <w:t>As of 10/1/07 the Pharmacy Online Processing System (POPS) has accepted claims from Health Safety Net (HSN) at in-network pharmacies. This program was formerly known as the Uncompensated Care Pool. HSN is a fund set up to help pay for health services at participating hospitals and community health centers for certain individuals. Health Safety Net is not a MassHealth coverage type, but MassHealth determines an applicant’s eligibility for HSN services. Eligible applicants may receive HSN services at participating hospitals and community health centers only, including hospitals and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community health centers that are federally designated “340-B” entities. If a non-participating pharmacy tries to submit a claim for a HSN member it will receive the following message:</w:t>
            </w:r>
          </w:p>
          <w:p>
            <w:pPr>
              <w:pStyle w:val="TableParagraph"/>
              <w:spacing w:line="249" w:lineRule="auto" w:before="81"/>
              <w:ind w:right="849"/>
              <w:rPr>
                <w:i/>
                <w:sz w:val="20"/>
              </w:rPr>
            </w:pPr>
            <w:r>
              <w:rPr>
                <w:i/>
                <w:sz w:val="20"/>
              </w:rPr>
              <w:t>40- Contact Health Safety Net Help Desk </w:t>
            </w:r>
            <w:r>
              <w:rPr>
                <w:i/>
                <w:sz w:val="20"/>
              </w:rPr>
              <w:t>(877-910-2100) for assistance. Claim must be processed by HSN-designated provider.</w:t>
            </w:r>
          </w:p>
          <w:p>
            <w:pPr>
              <w:pStyle w:val="TableParagraph"/>
              <w:spacing w:before="191"/>
              <w:ind w:left="0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MHDL Update</w:t>
            </w:r>
          </w:p>
          <w:p>
            <w:pPr>
              <w:pStyle w:val="TableParagraph"/>
              <w:spacing w:line="290" w:lineRule="auto" w:before="194"/>
              <w:ind w:left="0" w:right="145"/>
              <w:rPr>
                <w:sz w:val="21"/>
              </w:rPr>
            </w:pPr>
            <w:r>
              <w:rPr>
                <w:sz w:val="21"/>
              </w:rPr>
              <w:t>The following newly marketed drugs have been added to the MassHealth Drug List.</w:t>
            </w: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sz w:val="20"/>
              </w:rPr>
              <w:t>Amrix (cyclobenzaprine extended-release)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ind w:right="1310"/>
              <w:rPr>
                <w:b/>
                <w:sz w:val="20"/>
              </w:rPr>
            </w:pPr>
            <w:r>
              <w:rPr>
                <w:sz w:val="20"/>
              </w:rPr>
              <w:t>AzaSite (azithromycin, ophthalmic)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Azor (amlodipine/olmesartan)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CaloMist (cyanocobalamin)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Centany Kit (mupirocin)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ind w:right="3278"/>
              <w:rPr>
                <w:sz w:val="20"/>
              </w:rPr>
            </w:pPr>
            <w:r>
              <w:rPr>
                <w:sz w:val="20"/>
              </w:rPr>
              <w:t>Divigel (estradiol) Elestrin (estradiol)</w:t>
            </w:r>
          </w:p>
          <w:p>
            <w:pPr>
              <w:pStyle w:val="TableParagraph"/>
              <w:spacing w:before="1"/>
              <w:ind w:right="2199"/>
              <w:rPr>
                <w:sz w:val="20"/>
              </w:rPr>
            </w:pPr>
            <w:r>
              <w:rPr>
                <w:sz w:val="20"/>
              </w:rPr>
              <w:t>Extina (ketoconazole)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Inova (benzoyl peroxide)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Isentress (raltegravir)</w:t>
            </w:r>
          </w:p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sz w:val="20"/>
              </w:rPr>
              <w:t>Lipofen (fenofibrate)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Peranex HC (hydrocortisone/lidocaine)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sz w:val="20"/>
              </w:rPr>
              <w:t>Perforomist (formoterol)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47" w:lineRule="exact"/>
              <w:rPr>
                <w:sz w:val="13"/>
              </w:rPr>
            </w:pPr>
            <w:r>
              <w:rPr>
                <w:sz w:val="20"/>
              </w:rPr>
              <w:t>Selzentry (maraviroc) – </w:t>
            </w:r>
            <w:r>
              <w:rPr>
                <w:b/>
                <w:sz w:val="20"/>
              </w:rPr>
              <w:t>PA </w:t>
            </w:r>
            <w:r>
              <w:rPr>
                <w:position w:val="10"/>
                <w:sz w:val="13"/>
              </w:rPr>
              <w:t>1</w:t>
            </w:r>
          </w:p>
          <w:p>
            <w:pPr>
              <w:pStyle w:val="TableParagraph"/>
              <w:spacing w:line="208" w:lineRule="auto" w:before="29"/>
              <w:ind w:left="647" w:right="145" w:hanging="360"/>
              <w:rPr>
                <w:sz w:val="20"/>
              </w:rPr>
            </w:pPr>
            <w:r>
              <w:rPr>
                <w:sz w:val="20"/>
              </w:rPr>
              <w:t>Tamiflu 30 mg (oseltamivir)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all quantities (June 1</w:t>
            </w:r>
            <w:r>
              <w:rPr>
                <w:position w:val="10"/>
                <w:sz w:val="13"/>
              </w:rPr>
              <w:t>st </w:t>
            </w:r>
            <w:r>
              <w:rPr>
                <w:sz w:val="20"/>
              </w:rPr>
              <w:t>to September 30</w:t>
            </w:r>
            <w:r>
              <w:rPr>
                <w:position w:val="10"/>
                <w:sz w:val="13"/>
              </w:rPr>
              <w:t>th</w:t>
            </w:r>
            <w:r>
              <w:rPr>
                <w:sz w:val="20"/>
              </w:rPr>
              <w:t>); </w:t>
            </w:r>
            <w:r>
              <w:rPr>
                <w:b/>
                <w:sz w:val="20"/>
              </w:rPr>
              <w:t>PA &gt; 20 capsules/month </w:t>
            </w:r>
            <w:r>
              <w:rPr>
                <w:sz w:val="20"/>
              </w:rPr>
              <w:t>and </w:t>
            </w:r>
            <w:r>
              <w:rPr>
                <w:b/>
                <w:sz w:val="20"/>
              </w:rPr>
              <w:t>PA &gt; 40 capsules/season </w:t>
            </w:r>
            <w:r>
              <w:rPr>
                <w:sz w:val="20"/>
              </w:rPr>
              <w:t>(October 1</w:t>
            </w:r>
            <w:r>
              <w:rPr>
                <w:position w:val="10"/>
                <w:sz w:val="13"/>
              </w:rPr>
              <w:t>st </w:t>
            </w:r>
            <w:r>
              <w:rPr>
                <w:sz w:val="20"/>
              </w:rPr>
              <w:t>to May 31</w:t>
            </w:r>
            <w:r>
              <w:rPr>
                <w:position w:val="10"/>
                <w:sz w:val="13"/>
              </w:rPr>
              <w:t>st</w:t>
            </w:r>
            <w:r>
              <w:rPr>
                <w:sz w:val="20"/>
              </w:rPr>
              <w:t>)</w:t>
            </w:r>
          </w:p>
        </w:tc>
        <w:tc>
          <w:tcPr>
            <w:tcW w:w="5708" w:type="dxa"/>
            <w:tcBorders>
              <w:top w:val="single" w:sz="8" w:space="0" w:color="000000"/>
              <w:left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00"/>
              <w:rPr>
                <w:b/>
                <w:sz w:val="20"/>
              </w:rPr>
            </w:pPr>
            <w:r>
              <w:rPr>
                <w:sz w:val="20"/>
              </w:rPr>
              <w:t>Tersi (selenium sulfide)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30" w:lineRule="exact"/>
              <w:ind w:left="318"/>
              <w:rPr>
                <w:b/>
                <w:sz w:val="20"/>
              </w:rPr>
            </w:pPr>
            <w:r>
              <w:rPr>
                <w:sz w:val="20"/>
              </w:rPr>
              <w:t>Xyralid (hydrocortisone/lidocaine)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30" w:lineRule="exact"/>
              <w:ind w:left="318"/>
              <w:rPr>
                <w:b/>
                <w:sz w:val="20"/>
              </w:rPr>
            </w:pPr>
            <w:r>
              <w:rPr>
                <w:sz w:val="20"/>
              </w:rPr>
              <w:t>Xyzal (levocetirizine)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3"/>
              <w:ind w:left="301"/>
              <w:rPr>
                <w:b/>
                <w:sz w:val="21"/>
              </w:rPr>
            </w:pPr>
            <w:r>
              <w:rPr>
                <w:sz w:val="21"/>
              </w:rPr>
              <w:t>Zytopic (triamcinolone)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before="93"/>
              <w:ind w:left="643" w:right="-12" w:hanging="181"/>
              <w:rPr>
                <w:sz w:val="16"/>
              </w:rPr>
            </w:pPr>
            <w:r>
              <w:rPr>
                <w:position w:val="8"/>
                <w:sz w:val="10"/>
              </w:rPr>
              <w:t>1  </w:t>
            </w:r>
            <w:r>
              <w:rPr>
                <w:sz w:val="16"/>
              </w:rPr>
              <w:t>The Trofile assay test, which predicts response to Selzentry, requires PA. Please use the Selzentry PA Request form and send request 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 MassHealth Drug Utilization Review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Program.</w:t>
            </w:r>
          </w:p>
          <w:p>
            <w:pPr>
              <w:pStyle w:val="TableParagraph"/>
              <w:spacing w:before="122"/>
              <w:ind w:left="103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Change in PA Status</w:t>
            </w:r>
          </w:p>
          <w:p>
            <w:pPr>
              <w:pStyle w:val="TableParagraph"/>
              <w:spacing w:line="290" w:lineRule="auto" w:before="245"/>
              <w:ind w:left="103" w:right="549"/>
              <w:rPr>
                <w:sz w:val="21"/>
              </w:rPr>
            </w:pPr>
            <w:r>
              <w:rPr>
                <w:sz w:val="21"/>
              </w:rPr>
              <w:t>The PA requirements for Subutex and Suboxone are changing. The following PA requirements are effective January 2, 2008.</w:t>
            </w:r>
          </w:p>
          <w:p>
            <w:pPr>
              <w:pStyle w:val="TableParagraph"/>
              <w:spacing w:before="68"/>
              <w:ind w:left="301"/>
              <w:rPr>
                <w:b/>
                <w:sz w:val="20"/>
              </w:rPr>
            </w:pPr>
            <w:r>
              <w:rPr>
                <w:sz w:val="20"/>
              </w:rPr>
              <w:t>Subutex (buprenorphine)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ind w:left="301"/>
              <w:rPr>
                <w:b/>
                <w:sz w:val="20"/>
              </w:rPr>
            </w:pPr>
            <w:r>
              <w:rPr>
                <w:sz w:val="20"/>
              </w:rPr>
              <w:t>Suboxone (buprenorphine/naloxone) &gt; 32 mg/day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30" w:lineRule="exact"/>
              <w:ind w:left="301"/>
              <w:rPr>
                <w:sz w:val="20"/>
              </w:rPr>
            </w:pPr>
            <w:r>
              <w:rPr>
                <w:sz w:val="20"/>
              </w:rPr>
              <w:t>Suboxone (buprenorphine/naloxone) &gt; 24 and </w:t>
            </w:r>
            <w:r>
              <w:rPr>
                <w:sz w:val="20"/>
                <w:u w:val="single"/>
              </w:rPr>
              <w:t>&lt;</w:t>
            </w:r>
            <w:r>
              <w:rPr>
                <w:sz w:val="20"/>
              </w:rPr>
              <w:t> 32 mg/day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30" w:lineRule="exact" w:before="0" w:after="0"/>
              <w:ind w:left="827" w:right="0" w:hanging="1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 is required after 90 days duration of</w:t>
            </w:r>
            <w:r>
              <w:rPr>
                <w:b/>
                <w:spacing w:val="-32"/>
                <w:sz w:val="20"/>
              </w:rPr>
              <w:t> </w:t>
            </w:r>
            <w:r>
              <w:rPr>
                <w:b/>
                <w:sz w:val="20"/>
              </w:rPr>
              <w:t>therapy</w:t>
            </w:r>
          </w:p>
          <w:p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Suboxone (buprenorphine/naloxone) &gt; 16 and </w:t>
            </w:r>
            <w:r>
              <w:rPr>
                <w:sz w:val="20"/>
                <w:u w:val="single"/>
              </w:rPr>
              <w:t>&lt;</w:t>
            </w:r>
            <w:r>
              <w:rPr>
                <w:sz w:val="20"/>
              </w:rPr>
              <w:t> 24 mg/day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30" w:lineRule="exact" w:before="0" w:after="0"/>
              <w:ind w:left="827" w:right="0" w:hanging="1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 is required after 180 days duration of</w:t>
            </w:r>
            <w:r>
              <w:rPr>
                <w:b/>
                <w:spacing w:val="-37"/>
                <w:sz w:val="20"/>
              </w:rPr>
              <w:t> </w:t>
            </w:r>
            <w:r>
              <w:rPr>
                <w:b/>
                <w:sz w:val="20"/>
              </w:rPr>
              <w:t>therapy</w:t>
            </w:r>
          </w:p>
          <w:p>
            <w:pPr>
              <w:pStyle w:val="TableParagraph"/>
              <w:ind w:left="661" w:right="251" w:hanging="361"/>
              <w:rPr>
                <w:b/>
                <w:sz w:val="20"/>
              </w:rPr>
            </w:pPr>
            <w:r>
              <w:rPr>
                <w:sz w:val="20"/>
              </w:rPr>
              <w:t>Suboxone (buprenorphine/naloxone) </w:t>
            </w:r>
            <w:r>
              <w:rPr>
                <w:sz w:val="20"/>
                <w:u w:val="single"/>
              </w:rPr>
              <w:t>&lt;</w:t>
            </w:r>
            <w:r>
              <w:rPr>
                <w:sz w:val="20"/>
              </w:rPr>
              <w:t> 16 mg/day – </w:t>
            </w:r>
            <w:r>
              <w:rPr>
                <w:b/>
                <w:sz w:val="20"/>
              </w:rPr>
              <w:t>PA is required after 365 days duration of therapy</w:t>
            </w:r>
          </w:p>
          <w:p>
            <w:pPr>
              <w:pStyle w:val="TableParagraph"/>
              <w:spacing w:line="290" w:lineRule="auto" w:before="172"/>
              <w:ind w:left="103" w:right="339"/>
              <w:rPr>
                <w:sz w:val="21"/>
              </w:rPr>
            </w:pPr>
            <w:r>
              <w:rPr>
                <w:sz w:val="21"/>
              </w:rPr>
              <w:t>The PA requirements for ocular antibiotics are changing. The following PA requirements are effective January 2, 2008.</w:t>
            </w:r>
          </w:p>
          <w:p>
            <w:pPr>
              <w:pStyle w:val="TableParagraph"/>
              <w:spacing w:before="69"/>
              <w:ind w:left="301"/>
              <w:rPr>
                <w:b/>
                <w:sz w:val="20"/>
              </w:rPr>
            </w:pPr>
            <w:r>
              <w:rPr>
                <w:sz w:val="20"/>
              </w:rPr>
              <w:t>Ciloxan Ointment (ciprofloxacin, ophthalmic ointment)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ind w:left="301"/>
              <w:rPr>
                <w:b/>
                <w:sz w:val="20"/>
              </w:rPr>
            </w:pPr>
            <w:r>
              <w:rPr>
                <w:sz w:val="20"/>
              </w:rPr>
              <w:t>Iquix (levofloxacin, ophthalmic)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30" w:lineRule="exact"/>
              <w:ind w:left="300"/>
              <w:rPr>
                <w:b/>
                <w:sz w:val="20"/>
              </w:rPr>
            </w:pPr>
            <w:r>
              <w:rPr>
                <w:sz w:val="20"/>
              </w:rPr>
              <w:t>Quixin (levofloxacin, ophthalmic)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30" w:lineRule="exact"/>
              <w:ind w:left="300"/>
              <w:rPr>
                <w:b/>
                <w:sz w:val="20"/>
              </w:rPr>
            </w:pPr>
            <w:r>
              <w:rPr>
                <w:sz w:val="20"/>
              </w:rPr>
              <w:t>Tobrex Ointment (tobramycin, ophthalmic ointment)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1"/>
              <w:ind w:left="300"/>
              <w:rPr>
                <w:b/>
                <w:sz w:val="20"/>
              </w:rPr>
            </w:pPr>
            <w:r>
              <w:rPr>
                <w:sz w:val="20"/>
              </w:rPr>
              <w:t>Vigamox (moxifloxacin, ophthalmic)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sz w:val="20"/>
              </w:rPr>
              <w:t>Zymar (gatifloxacin, ophthalmic)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121"/>
              <w:ind w:left="103" w:right="479"/>
              <w:rPr>
                <w:sz w:val="21"/>
              </w:rPr>
            </w:pPr>
            <w:r>
              <w:rPr>
                <w:sz w:val="21"/>
              </w:rPr>
              <w:t>The following PA requirements are effective January 2, 2008.</w:t>
            </w:r>
          </w:p>
          <w:p>
            <w:pPr>
              <w:pStyle w:val="TableParagraph"/>
              <w:spacing w:before="118"/>
              <w:ind w:left="304"/>
              <w:rPr>
                <w:sz w:val="20"/>
              </w:rPr>
            </w:pPr>
            <w:r>
              <w:rPr>
                <w:sz w:val="20"/>
              </w:rPr>
              <w:t>Restasis (cyclosporine, ophthalmic)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&gt; 64 units/month</w:t>
            </w:r>
          </w:p>
          <w:p>
            <w:pPr>
              <w:pStyle w:val="TableParagraph"/>
              <w:spacing w:line="290" w:lineRule="auto" w:before="172"/>
              <w:ind w:left="103" w:right="257"/>
              <w:rPr>
                <w:sz w:val="21"/>
              </w:rPr>
            </w:pPr>
            <w:r>
              <w:rPr>
                <w:sz w:val="21"/>
              </w:rPr>
              <w:t>The PA requirements for the following Triptans are changing. Please refer to Table 14 for the complete list of prior authorization requirements for the Triptans.</w:t>
            </w:r>
          </w:p>
          <w:p>
            <w:pPr>
              <w:pStyle w:val="TableParagraph"/>
              <w:spacing w:before="70"/>
              <w:ind w:left="318"/>
              <w:rPr>
                <w:b/>
                <w:sz w:val="20"/>
              </w:rPr>
            </w:pPr>
            <w:r>
              <w:rPr>
                <w:sz w:val="20"/>
              </w:rPr>
              <w:t>Axert (almotriptan) – </w:t>
            </w:r>
            <w:r>
              <w:rPr>
                <w:b/>
                <w:sz w:val="20"/>
              </w:rPr>
              <w:t>PA &gt; 8 units/month</w:t>
            </w:r>
          </w:p>
          <w:p>
            <w:pPr>
              <w:pStyle w:val="TableParagraph"/>
              <w:ind w:left="661" w:right="1098" w:hanging="361"/>
              <w:rPr>
                <w:b/>
                <w:sz w:val="20"/>
              </w:rPr>
            </w:pPr>
            <w:r>
              <w:rPr>
                <w:sz w:val="20"/>
              </w:rPr>
              <w:t>Imitrex (sumatriptan), injection – </w:t>
            </w:r>
            <w:r>
              <w:rPr>
                <w:b/>
                <w:sz w:val="20"/>
              </w:rPr>
              <w:t>PA &gt; 4 units (8 injections/month)</w:t>
            </w:r>
          </w:p>
          <w:p>
            <w:pPr>
              <w:pStyle w:val="TableParagraph"/>
              <w:spacing w:line="229" w:lineRule="exact"/>
              <w:ind w:left="319"/>
              <w:rPr>
                <w:b/>
                <w:sz w:val="20"/>
              </w:rPr>
            </w:pPr>
            <w:r>
              <w:rPr>
                <w:sz w:val="20"/>
              </w:rPr>
              <w:t>Zomig (zolmitriptan) – </w:t>
            </w:r>
            <w:r>
              <w:rPr>
                <w:b/>
                <w:sz w:val="20"/>
              </w:rPr>
              <w:t>PA &gt; 8 units/month</w:t>
            </w:r>
          </w:p>
          <w:p>
            <w:pPr>
              <w:pStyle w:val="TableParagraph"/>
              <w:spacing w:before="123"/>
              <w:ind w:left="117"/>
              <w:rPr>
                <w:sz w:val="21"/>
              </w:rPr>
            </w:pPr>
            <w:r>
              <w:rPr>
                <w:sz w:val="21"/>
              </w:rPr>
              <w:t>The following drug requires PA.</w:t>
            </w:r>
          </w:p>
          <w:p>
            <w:pPr>
              <w:pStyle w:val="TableParagraph"/>
              <w:spacing w:before="116"/>
              <w:ind w:left="318"/>
              <w:rPr>
                <w:b/>
                <w:sz w:val="20"/>
              </w:rPr>
            </w:pPr>
            <w:r>
              <w:rPr>
                <w:sz w:val="20"/>
              </w:rPr>
              <w:t>Acthar (corticotropin) – </w:t>
            </w:r>
            <w:r>
              <w:rPr>
                <w:b/>
                <w:sz w:val="20"/>
              </w:rPr>
              <w:t>PA</w:t>
            </w:r>
          </w:p>
        </w:tc>
        <w:tc>
          <w:tcPr>
            <w:tcW w:w="70" w:type="dxa"/>
            <w:tcBorders>
              <w:bottom w:val="doub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spacing w:before="94"/>
        <w:ind w:left="2086" w:right="1810"/>
        <w:jc w:val="center"/>
      </w:pPr>
      <w:r>
        <w:rPr/>
        <w:t>Please direct any questions or comments (or to be taken off of this fax distribution) to</w:t>
      </w:r>
    </w:p>
    <w:p>
      <w:pPr>
        <w:spacing w:before="11"/>
        <w:ind w:left="2086" w:right="1809" w:firstLine="0"/>
        <w:jc w:val="center"/>
        <w:rPr>
          <w:sz w:val="20"/>
        </w:rPr>
      </w:pPr>
      <w:r>
        <w:rPr>
          <w:rFonts w:ascii="Arial Black"/>
          <w:b/>
          <w:sz w:val="20"/>
        </w:rPr>
        <w:t>Victor Moquin </w:t>
      </w:r>
      <w:r>
        <w:rPr>
          <w:sz w:val="20"/>
        </w:rPr>
        <w:t>of ACS at 617-423-9830.</w:t>
      </w:r>
    </w:p>
    <w:sectPr>
      <w:type w:val="continuous"/>
      <w:pgSz w:w="12240" w:h="15840"/>
      <w:pgMar w:top="360" w:bottom="0" w:left="6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827" w:hanging="167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08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96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84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73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61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9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8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26" w:hanging="16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005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908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7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26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5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4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2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1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0" w:hanging="15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8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2017-11-16T09:07:54Z</dcterms:created>
  <dcterms:modified xsi:type="dcterms:W3CDTF">2017-11-16T09:07:54Z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2007-12-13T00:00:00Z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2017-11-16T00:00:00Z</vt:filetime>
  </property>
</Properties>
</file>