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23"/>
        </w:rPr>
      </w:pPr>
    </w:p>
    <w:p>
      <w:pPr>
        <w:spacing w:before="0" w:after="2"/>
        <w:ind w:left="944" w:right="1441" w:firstLine="0"/>
        <w:jc w:val="center"/>
        <w:rPr>
          <w:rFonts w:ascii="Arial Narrow"/>
          <w:sz w:val="18"/>
        </w:rPr>
      </w:pPr>
      <w:r>
        <w:rPr/>
        <w:pict>
          <v:group style="position:absolute;margin-left:41.279999pt;margin-top:-105.210442pt;width:542.4pt;height:107.85pt;mso-position-horizontal-relative:page;mso-position-vertical-relative:paragraph;z-index:-3112" coordorigin="826,-2104" coordsize="10848,2157">
            <v:shape style="position:absolute;left:825;top:-2105;width:10848;height:2157" type="#_x0000_t75" stroked="false">
              <v:imagedata r:id="rId5" o:title=""/>
            </v:shape>
            <v:shapetype id="_x0000_t202" o:spt="202" coordsize="21600,21600" path="m,l,21600r21600,l21600,xe">
              <v:stroke joinstyle="miter"/>
              <v:path gradientshapeok="t" o:connecttype="rect"/>
            </v:shapetype>
            <v:shape style="position:absolute;left:1584;top:-1160;width:1333;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33</w:t>
                    </w:r>
                  </w:p>
                  <w:p>
                    <w:pPr>
                      <w:spacing w:before="44"/>
                      <w:ind w:left="0" w:right="0" w:firstLine="0"/>
                      <w:jc w:val="left"/>
                      <w:rPr>
                        <w:rFonts w:ascii="Arial Narrow"/>
                        <w:b/>
                        <w:sz w:val="20"/>
                      </w:rPr>
                    </w:pPr>
                    <w:r>
                      <w:rPr>
                        <w:rFonts w:ascii="Arial Narrow"/>
                        <w:b/>
                        <w:sz w:val="20"/>
                      </w:rPr>
                      <w:t>January 23, 2008</w:t>
                    </w:r>
                  </w:p>
                </w:txbxContent>
              </v:textbox>
              <w10:wrap type="none"/>
            </v:shape>
            <w10:wrap type="none"/>
          </v:group>
        </w:pict>
      </w:r>
      <w:hyperlink r:id="rId6">
        <w:r>
          <w:rPr>
            <w:rFonts w:ascii="Arial Narrow"/>
            <w:sz w:val="18"/>
          </w:rPr>
          <w:t>www.mass.gov/masshealth/pharmacy</w:t>
        </w:r>
      </w:hyperlink>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82"/>
        <w:gridCol w:w="5598"/>
      </w:tblGrid>
      <w:tr>
        <w:trPr>
          <w:trHeight w:val="313" w:hRule="atLeast"/>
        </w:trPr>
        <w:tc>
          <w:tcPr>
            <w:tcW w:w="10980" w:type="dxa"/>
            <w:gridSpan w:val="2"/>
          </w:tcPr>
          <w:p>
            <w:pPr>
              <w:pStyle w:val="TableParagraph"/>
              <w:numPr>
                <w:ilvl w:val="0"/>
                <w:numId w:val="1"/>
              </w:numPr>
              <w:tabs>
                <w:tab w:pos="1880" w:val="left" w:leader="none"/>
              </w:tabs>
              <w:spacing w:line="240" w:lineRule="auto" w:before="10" w:after="0"/>
              <w:ind w:left="1879" w:right="0" w:hanging="150"/>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Chuck Young</w:t>
            </w:r>
            <w:r>
              <w:rPr>
                <w:rFonts w:ascii="Arial Narrow" w:hAnsi="Arial Narrow"/>
                <w:spacing w:val="16"/>
                <w:sz w:val="18"/>
              </w:rPr>
              <w:t> </w:t>
            </w:r>
            <w:r>
              <w:rPr>
                <w:rFonts w:ascii="Arial Black" w:hAnsi="Arial Black"/>
                <w:b/>
                <w:sz w:val="18"/>
              </w:rPr>
              <w:t>•</w:t>
            </w:r>
          </w:p>
        </w:tc>
      </w:tr>
      <w:tr>
        <w:trPr>
          <w:trHeight w:val="11842" w:hRule="atLeast"/>
        </w:trPr>
        <w:tc>
          <w:tcPr>
            <w:tcW w:w="5382" w:type="dxa"/>
            <w:tcBorders>
              <w:top w:val="single" w:sz="8" w:space="0" w:color="000000"/>
              <w:bottom w:val="double" w:sz="2" w:space="0" w:color="000000"/>
              <w:right w:val="single" w:sz="4" w:space="0" w:color="000000"/>
            </w:tcBorders>
          </w:tcPr>
          <w:p>
            <w:pPr>
              <w:pStyle w:val="TableParagraph"/>
              <w:spacing w:before="199"/>
              <w:ind w:left="180"/>
              <w:rPr>
                <w:rFonts w:ascii="Arial Black"/>
                <w:b/>
                <w:sz w:val="22"/>
              </w:rPr>
            </w:pPr>
            <w:r>
              <w:rPr>
                <w:rFonts w:ascii="Arial Black"/>
                <w:b/>
                <w:sz w:val="22"/>
              </w:rPr>
              <w:t>MHDL Update</w:t>
            </w:r>
          </w:p>
          <w:p>
            <w:pPr>
              <w:pStyle w:val="TableParagraph"/>
              <w:spacing w:before="79"/>
              <w:ind w:left="180" w:right="114" w:hanging="15"/>
              <w:rPr>
                <w:sz w:val="20"/>
              </w:rPr>
            </w:pPr>
            <w:r>
              <w:rPr>
                <w:sz w:val="20"/>
              </w:rPr>
              <w:t>The prior-authorization (PA) requirements for the proton pump inhibitors are changing. Effective February 1, 2008, Prilosec OTC will be removed from the Nonlegend (OTC) Drug List and will no longer be covered. Please see Table 3 for a complete list of PA requirements for the proton pump inhibitors. Omeprazole will no longer require prior</w:t>
            </w:r>
            <w:r>
              <w:rPr>
                <w:spacing w:val="-1"/>
                <w:sz w:val="20"/>
              </w:rPr>
              <w:t> </w:t>
            </w:r>
            <w:r>
              <w:rPr>
                <w:sz w:val="20"/>
              </w:rPr>
              <w:t>authorization.</w:t>
            </w:r>
          </w:p>
          <w:p>
            <w:pPr>
              <w:pStyle w:val="TableParagraph"/>
              <w:spacing w:before="6"/>
              <w:rPr>
                <w:rFonts w:ascii="Arial Narrow"/>
                <w:sz w:val="17"/>
              </w:rPr>
            </w:pPr>
          </w:p>
          <w:p>
            <w:pPr>
              <w:pStyle w:val="TableParagraph"/>
              <w:ind w:left="180" w:right="133" w:hanging="15"/>
              <w:rPr>
                <w:sz w:val="20"/>
              </w:rPr>
            </w:pPr>
            <w:r>
              <w:rPr>
                <w:sz w:val="20"/>
              </w:rPr>
              <w:t>In addition, the following drugs will no longer require prior authorization.</w:t>
            </w:r>
          </w:p>
          <w:p>
            <w:pPr>
              <w:pStyle w:val="TableParagraph"/>
              <w:spacing w:before="80"/>
              <w:ind w:left="692" w:right="2864"/>
              <w:rPr>
                <w:sz w:val="20"/>
              </w:rPr>
            </w:pPr>
            <w:r>
              <w:rPr>
                <w:sz w:val="20"/>
              </w:rPr>
              <w:t>Estrasorb (estradiol) EstroGel (estradiol) Femring (estradiol)</w:t>
            </w:r>
          </w:p>
          <w:p>
            <w:pPr>
              <w:pStyle w:val="TableParagraph"/>
              <w:spacing w:before="4"/>
              <w:rPr>
                <w:rFonts w:ascii="Arial Narrow"/>
                <w:sz w:val="17"/>
              </w:rPr>
            </w:pPr>
          </w:p>
          <w:p>
            <w:pPr>
              <w:pStyle w:val="TableParagraph"/>
              <w:spacing w:before="1"/>
              <w:ind w:left="180"/>
              <w:rPr>
                <w:rFonts w:ascii="Arial Black"/>
                <w:b/>
                <w:sz w:val="22"/>
              </w:rPr>
            </w:pPr>
            <w:r>
              <w:rPr>
                <w:rFonts w:ascii="Arial Black"/>
                <w:b/>
                <w:sz w:val="22"/>
              </w:rPr>
              <w:t>Claims-Processing Reminders</w:t>
            </w:r>
          </w:p>
          <w:p>
            <w:pPr>
              <w:pStyle w:val="TableParagraph"/>
              <w:numPr>
                <w:ilvl w:val="0"/>
                <w:numId w:val="2"/>
              </w:numPr>
              <w:tabs>
                <w:tab w:pos="458" w:val="left" w:leader="none"/>
              </w:tabs>
              <w:spacing w:line="240" w:lineRule="auto" w:before="120" w:after="0"/>
              <w:ind w:left="457" w:right="0" w:hanging="277"/>
              <w:jc w:val="left"/>
              <w:rPr>
                <w:b/>
                <w:sz w:val="20"/>
              </w:rPr>
            </w:pPr>
            <w:r>
              <w:rPr>
                <w:b/>
                <w:sz w:val="20"/>
              </w:rPr>
              <w:t>B3</w:t>
            </w:r>
            <w:r>
              <w:rPr>
                <w:b/>
                <w:spacing w:val="-2"/>
                <w:sz w:val="20"/>
              </w:rPr>
              <w:t> </w:t>
            </w:r>
            <w:r>
              <w:rPr>
                <w:b/>
                <w:sz w:val="20"/>
              </w:rPr>
              <w:t>Transactions</w:t>
            </w:r>
          </w:p>
          <w:p>
            <w:pPr>
              <w:pStyle w:val="TableParagraph"/>
              <w:spacing w:before="119"/>
              <w:ind w:left="179" w:right="106"/>
              <w:rPr>
                <w:sz w:val="20"/>
              </w:rPr>
            </w:pPr>
            <w:r>
              <w:rPr>
                <w:sz w:val="20"/>
              </w:rPr>
              <w:t>MassHealth has a 90-day timely filing limit for the submission of claims. If a claim was filed on a timely basis but requires an adjustment after the 90-day time period has elapsed, pharmacies should use the B3 rebill transaction. The B3 rebill transaction is a reversal and resubmission of a claim in one step. For more</w:t>
            </w:r>
            <w:r>
              <w:rPr>
                <w:spacing w:val="-40"/>
                <w:sz w:val="20"/>
              </w:rPr>
              <w:t> </w:t>
            </w:r>
            <w:r>
              <w:rPr>
                <w:sz w:val="20"/>
              </w:rPr>
              <w:t>information on how to perform a B3 transaction please contact your software</w:t>
            </w:r>
            <w:r>
              <w:rPr>
                <w:spacing w:val="-2"/>
                <w:sz w:val="20"/>
              </w:rPr>
              <w:t> </w:t>
            </w:r>
            <w:r>
              <w:rPr>
                <w:sz w:val="20"/>
              </w:rPr>
              <w:t>helpdesk.</w:t>
            </w:r>
          </w:p>
          <w:p>
            <w:pPr>
              <w:pStyle w:val="TableParagraph"/>
              <w:numPr>
                <w:ilvl w:val="0"/>
                <w:numId w:val="2"/>
              </w:numPr>
              <w:tabs>
                <w:tab w:pos="458" w:val="left" w:leader="none"/>
              </w:tabs>
              <w:spacing w:line="240" w:lineRule="auto" w:before="122" w:after="0"/>
              <w:ind w:left="457" w:right="0" w:hanging="277"/>
              <w:jc w:val="left"/>
              <w:rPr>
                <w:b/>
                <w:sz w:val="20"/>
              </w:rPr>
            </w:pPr>
            <w:r>
              <w:rPr>
                <w:b/>
                <w:sz w:val="20"/>
              </w:rPr>
              <w:t>Medicare-D Copay</w:t>
            </w:r>
            <w:r>
              <w:rPr>
                <w:b/>
                <w:spacing w:val="-5"/>
                <w:sz w:val="20"/>
              </w:rPr>
              <w:t> </w:t>
            </w:r>
            <w:r>
              <w:rPr>
                <w:b/>
                <w:sz w:val="20"/>
              </w:rPr>
              <w:t>Assistance</w:t>
            </w:r>
          </w:p>
          <w:p>
            <w:pPr>
              <w:pStyle w:val="TableParagraph"/>
              <w:spacing w:before="118"/>
              <w:ind w:left="179" w:right="149"/>
              <w:rPr>
                <w:sz w:val="20"/>
              </w:rPr>
            </w:pPr>
            <w:r>
              <w:rPr>
                <w:sz w:val="20"/>
              </w:rPr>
              <w:t>MassHealth continues to provide assistance with Part D plan copayments. The pharmacy should collect the same copayment that the member would pay under MassHealth ($0 to $3) and send a claim to MassHealth for the balance, using other-coverage code 2, 4, or 8. A dual-eligible member is never responsible for copayments greater than the standard MassHealth copayments.</w:t>
            </w:r>
          </w:p>
          <w:p>
            <w:pPr>
              <w:pStyle w:val="TableParagraph"/>
              <w:numPr>
                <w:ilvl w:val="0"/>
                <w:numId w:val="2"/>
              </w:numPr>
              <w:tabs>
                <w:tab w:pos="458" w:val="left" w:leader="none"/>
              </w:tabs>
              <w:spacing w:line="240" w:lineRule="auto" w:before="121" w:after="0"/>
              <w:ind w:left="457" w:right="0" w:hanging="277"/>
              <w:jc w:val="left"/>
              <w:rPr>
                <w:b/>
                <w:sz w:val="20"/>
              </w:rPr>
            </w:pPr>
            <w:r>
              <w:rPr>
                <w:b/>
                <w:sz w:val="20"/>
              </w:rPr>
              <w:t>Emergency</w:t>
            </w:r>
            <w:r>
              <w:rPr>
                <w:b/>
                <w:spacing w:val="-4"/>
                <w:sz w:val="20"/>
              </w:rPr>
              <w:t> </w:t>
            </w:r>
            <w:r>
              <w:rPr>
                <w:b/>
                <w:sz w:val="20"/>
              </w:rPr>
              <w:t>Fill</w:t>
            </w:r>
          </w:p>
          <w:p>
            <w:pPr>
              <w:pStyle w:val="TableParagraph"/>
              <w:spacing w:before="119"/>
              <w:ind w:left="179" w:right="264"/>
              <w:rPr>
                <w:sz w:val="20"/>
              </w:rPr>
            </w:pPr>
            <w:r>
              <w:rPr>
                <w:sz w:val="20"/>
              </w:rPr>
              <w:t>MassHealth Pharmacy regulations at 130 CMR 406.411(B) allow a pharmacist to dispense an appropriate emergency supply of selected drugs when denied for coverage after normal business hours and prior authorization cannot be obtained from the UMASS DUR Unit. The pharmacy must indicate a level-of- service value of “3” (emergency service) in field 418.</w:t>
            </w:r>
          </w:p>
          <w:p>
            <w:pPr>
              <w:pStyle w:val="TableParagraph"/>
              <w:spacing w:before="1"/>
              <w:ind w:left="179" w:right="260"/>
              <w:rPr>
                <w:sz w:val="20"/>
              </w:rPr>
            </w:pPr>
            <w:r>
              <w:rPr>
                <w:sz w:val="20"/>
              </w:rPr>
              <w:t>When the pharmacist determines that an emergency exists, the MassHealth agency will pay the pharmacy for</w:t>
            </w:r>
            <w:r>
              <w:rPr>
                <w:spacing w:val="-5"/>
                <w:sz w:val="20"/>
              </w:rPr>
              <w:t> </w:t>
            </w:r>
            <w:r>
              <w:rPr>
                <w:sz w:val="20"/>
              </w:rPr>
              <w:t>at</w:t>
            </w:r>
            <w:r>
              <w:rPr>
                <w:spacing w:val="-5"/>
                <w:sz w:val="20"/>
              </w:rPr>
              <w:t> </w:t>
            </w:r>
            <w:r>
              <w:rPr>
                <w:sz w:val="20"/>
              </w:rPr>
              <w:t>least</w:t>
            </w:r>
            <w:r>
              <w:rPr>
                <w:spacing w:val="-5"/>
                <w:sz w:val="20"/>
              </w:rPr>
              <w:t> </w:t>
            </w:r>
            <w:r>
              <w:rPr>
                <w:sz w:val="20"/>
              </w:rPr>
              <w:t>a</w:t>
            </w:r>
            <w:r>
              <w:rPr>
                <w:spacing w:val="-5"/>
                <w:sz w:val="20"/>
              </w:rPr>
              <w:t> </w:t>
            </w:r>
            <w:r>
              <w:rPr>
                <w:sz w:val="20"/>
              </w:rPr>
              <w:t>72-hour,</w:t>
            </w:r>
            <w:r>
              <w:rPr>
                <w:spacing w:val="-5"/>
                <w:sz w:val="20"/>
              </w:rPr>
              <w:t> </w:t>
            </w:r>
            <w:r>
              <w:rPr>
                <w:sz w:val="20"/>
              </w:rPr>
              <w:t>nonrefillable</w:t>
            </w:r>
            <w:r>
              <w:rPr>
                <w:spacing w:val="-5"/>
                <w:sz w:val="20"/>
              </w:rPr>
              <w:t> </w:t>
            </w:r>
            <w:r>
              <w:rPr>
                <w:sz w:val="20"/>
              </w:rPr>
              <w:t>supply</w:t>
            </w:r>
            <w:r>
              <w:rPr>
                <w:spacing w:val="-5"/>
                <w:sz w:val="20"/>
              </w:rPr>
              <w:t> </w:t>
            </w:r>
            <w:r>
              <w:rPr>
                <w:sz w:val="20"/>
              </w:rPr>
              <w:t>of</w:t>
            </w:r>
            <w:r>
              <w:rPr>
                <w:spacing w:val="-5"/>
                <w:sz w:val="20"/>
              </w:rPr>
              <w:t> </w:t>
            </w:r>
            <w:r>
              <w:rPr>
                <w:sz w:val="20"/>
              </w:rPr>
              <w:t>the</w:t>
            </w:r>
            <w:r>
              <w:rPr>
                <w:spacing w:val="-5"/>
                <w:sz w:val="20"/>
              </w:rPr>
              <w:t> </w:t>
            </w:r>
            <w:r>
              <w:rPr>
                <w:sz w:val="20"/>
              </w:rPr>
              <w:t>drug,</w:t>
            </w:r>
            <w:r>
              <w:rPr>
                <w:spacing w:val="-5"/>
                <w:sz w:val="20"/>
              </w:rPr>
              <w:t> </w:t>
            </w:r>
            <w:r>
              <w:rPr>
                <w:sz w:val="20"/>
              </w:rPr>
              <w:t>in compliance with state and federal</w:t>
            </w:r>
            <w:r>
              <w:rPr>
                <w:spacing w:val="-5"/>
                <w:sz w:val="20"/>
              </w:rPr>
              <w:t> </w:t>
            </w:r>
            <w:r>
              <w:rPr>
                <w:sz w:val="20"/>
              </w:rPr>
              <w:t>regulations.</w:t>
            </w:r>
          </w:p>
        </w:tc>
        <w:tc>
          <w:tcPr>
            <w:tcW w:w="5598" w:type="dxa"/>
            <w:tcBorders>
              <w:top w:val="single" w:sz="8" w:space="0" w:color="000000"/>
              <w:left w:val="single" w:sz="4" w:space="0" w:color="000000"/>
              <w:bottom w:val="double" w:sz="2" w:space="0" w:color="000000"/>
            </w:tcBorders>
          </w:tcPr>
          <w:p>
            <w:pPr>
              <w:pStyle w:val="TableParagraph"/>
              <w:spacing w:before="5"/>
              <w:rPr>
                <w:rFonts w:ascii="Arial Narrow"/>
                <w:sz w:val="22"/>
              </w:rPr>
            </w:pPr>
          </w:p>
          <w:p>
            <w:pPr>
              <w:pStyle w:val="TableParagraph"/>
              <w:spacing w:before="1"/>
              <w:ind w:left="304" w:right="577" w:hanging="15"/>
              <w:rPr>
                <w:sz w:val="20"/>
              </w:rPr>
            </w:pPr>
            <w:r>
              <w:rPr>
                <w:sz w:val="20"/>
              </w:rPr>
              <w:t>After the prescription is adjudicated, the pharmacy should remove the “3” from the level-of-service field before the next fill. The DUR Unit at UMass must be contacted during normal business hours to obtain PA for additional refills.</w:t>
            </w:r>
          </w:p>
          <w:p>
            <w:pPr>
              <w:pStyle w:val="TableParagraph"/>
              <w:spacing w:before="121"/>
              <w:ind w:left="660" w:right="577" w:hanging="360"/>
              <w:rPr>
                <w:b/>
                <w:sz w:val="20"/>
              </w:rPr>
            </w:pPr>
            <w:r>
              <w:rPr>
                <w:b/>
                <w:sz w:val="20"/>
              </w:rPr>
              <w:t>4. Claim Submission When MassHealth Is Secondary Insurer</w:t>
            </w:r>
          </w:p>
          <w:p>
            <w:pPr>
              <w:pStyle w:val="TableParagraph"/>
              <w:spacing w:before="119"/>
              <w:ind w:left="301" w:right="536"/>
              <w:rPr>
                <w:sz w:val="20"/>
              </w:rPr>
            </w:pPr>
            <w:r>
              <w:rPr>
                <w:sz w:val="20"/>
              </w:rPr>
              <w:t>Listed below are valid other-coverage codes (NCPDP field 308) that may be used.</w:t>
            </w:r>
          </w:p>
          <w:p>
            <w:pPr>
              <w:pStyle w:val="TableParagraph"/>
              <w:spacing w:before="80"/>
              <w:ind w:left="660" w:right="1016"/>
              <w:rPr>
                <w:sz w:val="20"/>
              </w:rPr>
            </w:pPr>
            <w:r>
              <w:rPr>
                <w:sz w:val="20"/>
              </w:rPr>
              <w:t>02-Other coverage exists-payment collected 03-Other coverage exists-claim not covered</w:t>
            </w:r>
          </w:p>
          <w:p>
            <w:pPr>
              <w:pStyle w:val="TableParagraph"/>
              <w:ind w:left="660" w:right="617"/>
              <w:rPr>
                <w:sz w:val="20"/>
              </w:rPr>
            </w:pPr>
            <w:r>
              <w:rPr>
                <w:sz w:val="20"/>
              </w:rPr>
              <w:t>04-Other coverage exists-payment not collected 07-Other coverage exists-not in effect on Date of</w:t>
            </w:r>
          </w:p>
          <w:p>
            <w:pPr>
              <w:pStyle w:val="TableParagraph"/>
              <w:spacing w:line="230" w:lineRule="exact"/>
              <w:ind w:left="1020"/>
              <w:rPr>
                <w:sz w:val="20"/>
              </w:rPr>
            </w:pPr>
            <w:r>
              <w:rPr>
                <w:sz w:val="20"/>
              </w:rPr>
              <w:t>Service</w:t>
            </w:r>
          </w:p>
          <w:p>
            <w:pPr>
              <w:pStyle w:val="TableParagraph"/>
              <w:spacing w:before="1"/>
              <w:ind w:left="664"/>
              <w:rPr>
                <w:sz w:val="20"/>
              </w:rPr>
            </w:pPr>
            <w:r>
              <w:rPr>
                <w:sz w:val="20"/>
              </w:rPr>
              <w:t>08-Claim is billing for copay</w:t>
            </w:r>
          </w:p>
          <w:p>
            <w:pPr>
              <w:pStyle w:val="TableParagraph"/>
              <w:spacing w:before="4"/>
              <w:rPr>
                <w:rFonts w:ascii="Arial Narrow"/>
                <w:sz w:val="17"/>
              </w:rPr>
            </w:pPr>
          </w:p>
          <w:p>
            <w:pPr>
              <w:pStyle w:val="TableParagraph"/>
              <w:ind w:left="304" w:right="456"/>
              <w:rPr>
                <w:sz w:val="20"/>
              </w:rPr>
            </w:pPr>
            <w:r>
              <w:rPr>
                <w:sz w:val="20"/>
              </w:rPr>
              <w:t>Remember that claims submitted with other -coverage </w:t>
            </w:r>
            <w:r>
              <w:rPr>
                <w:b/>
                <w:sz w:val="20"/>
              </w:rPr>
              <w:t>code 04 </w:t>
            </w:r>
            <w:r>
              <w:rPr>
                <w:sz w:val="20"/>
              </w:rPr>
              <w:t>will be automatically reversed in 90 days (except for Medicare-D copayment assistance claims). This code is to be used only when online adjudication from the primary insurance is not available. When a pharmacist is notified of the claim status from the primary insurer, the pharmacist should reverse and resubmit the claim with the correct other-coverage code.</w:t>
            </w:r>
          </w:p>
          <w:p>
            <w:pPr>
              <w:pStyle w:val="TableParagraph"/>
              <w:spacing w:before="6"/>
              <w:rPr>
                <w:rFonts w:ascii="Arial Narrow"/>
                <w:sz w:val="17"/>
              </w:rPr>
            </w:pPr>
          </w:p>
          <w:p>
            <w:pPr>
              <w:pStyle w:val="TableParagraph"/>
              <w:ind w:left="301" w:right="448" w:hanging="1"/>
              <w:rPr>
                <w:sz w:val="20"/>
              </w:rPr>
            </w:pPr>
            <w:r>
              <w:rPr>
                <w:sz w:val="20"/>
              </w:rPr>
              <w:t>A pharmacy should use other-coverage </w:t>
            </w:r>
            <w:r>
              <w:rPr>
                <w:b/>
                <w:sz w:val="20"/>
              </w:rPr>
              <w:t>code 08 </w:t>
            </w:r>
            <w:r>
              <w:rPr>
                <w:sz w:val="20"/>
              </w:rPr>
              <w:t>when billing 100% of the copay from a paid claim to MassHealth. For example, when a member has a $10 copay with their primary insurer and the member receives a prescription with a total cost of $7, the pharmacy would bill MassHealth for the full $7 using code 08. If the primary insurer has made any payment toward the claim, </w:t>
            </w:r>
            <w:r>
              <w:rPr>
                <w:b/>
                <w:sz w:val="20"/>
              </w:rPr>
              <w:t>code 02 </w:t>
            </w:r>
            <w:r>
              <w:rPr>
                <w:sz w:val="20"/>
              </w:rPr>
              <w:t>should be used.</w:t>
            </w:r>
          </w:p>
        </w:tc>
      </w:tr>
    </w:tbl>
    <w:p>
      <w:pPr>
        <w:pStyle w:val="BodyText"/>
        <w:spacing w:line="241" w:lineRule="exact" w:before="180"/>
        <w:ind w:left="1840" w:right="1441"/>
        <w:jc w:val="center"/>
      </w:pPr>
      <w:r>
        <w:rPr/>
        <w:t>Please direct any questions or comments (or to be taken off of this fax distribution) to</w:t>
      </w:r>
    </w:p>
    <w:p>
      <w:pPr>
        <w:spacing w:line="296" w:lineRule="exact" w:before="0"/>
        <w:ind w:left="1839" w:right="1441" w:firstLine="0"/>
        <w:jc w:val="center"/>
        <w:rPr>
          <w:sz w:val="21"/>
        </w:rPr>
      </w:pPr>
      <w:r>
        <w:rPr>
          <w:rFonts w:ascii="Arial Black"/>
          <w:b/>
          <w:sz w:val="21"/>
        </w:rPr>
        <w:t>Victor Moquin </w:t>
      </w:r>
      <w:r>
        <w:rPr>
          <w:sz w:val="21"/>
        </w:rPr>
        <w:t>of ACS at 617-423-9830.</w:t>
      </w:r>
    </w:p>
    <w:sectPr>
      <w:type w:val="continuous"/>
      <w:pgSz w:w="12240" w:h="15840"/>
      <w:pgMar w:top="380" w:bottom="0" w:left="6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Black">
    <w:altName w:val="Arial Black"/>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57" w:hanging="278"/>
        <w:jc w:val="left"/>
      </w:pPr>
      <w:rPr>
        <w:rFonts w:hint="default" w:ascii="Arial" w:hAnsi="Arial" w:eastAsia="Arial" w:cs="Arial"/>
        <w:b/>
        <w:bCs/>
        <w:spacing w:val="-1"/>
        <w:w w:val="100"/>
        <w:sz w:val="20"/>
        <w:szCs w:val="20"/>
        <w:lang w:val="en-us" w:eastAsia="en-us" w:bidi="en-us"/>
      </w:rPr>
    </w:lvl>
    <w:lvl w:ilvl="1">
      <w:start w:val="0"/>
      <w:numFmt w:val="bullet"/>
      <w:lvlText w:val="•"/>
      <w:lvlJc w:val="left"/>
      <w:pPr>
        <w:ind w:left="951" w:hanging="278"/>
      </w:pPr>
      <w:rPr>
        <w:rFonts w:hint="default"/>
        <w:lang w:val="en-us" w:eastAsia="en-us" w:bidi="en-us"/>
      </w:rPr>
    </w:lvl>
    <w:lvl w:ilvl="2">
      <w:start w:val="0"/>
      <w:numFmt w:val="bullet"/>
      <w:lvlText w:val="•"/>
      <w:lvlJc w:val="left"/>
      <w:pPr>
        <w:ind w:left="1443" w:hanging="278"/>
      </w:pPr>
      <w:rPr>
        <w:rFonts w:hint="default"/>
        <w:lang w:val="en-us" w:eastAsia="en-us" w:bidi="en-us"/>
      </w:rPr>
    </w:lvl>
    <w:lvl w:ilvl="3">
      <w:start w:val="0"/>
      <w:numFmt w:val="bullet"/>
      <w:lvlText w:val="•"/>
      <w:lvlJc w:val="left"/>
      <w:pPr>
        <w:ind w:left="1935" w:hanging="278"/>
      </w:pPr>
      <w:rPr>
        <w:rFonts w:hint="default"/>
        <w:lang w:val="en-us" w:eastAsia="en-us" w:bidi="en-us"/>
      </w:rPr>
    </w:lvl>
    <w:lvl w:ilvl="4">
      <w:start w:val="0"/>
      <w:numFmt w:val="bullet"/>
      <w:lvlText w:val="•"/>
      <w:lvlJc w:val="left"/>
      <w:pPr>
        <w:ind w:left="2426" w:hanging="278"/>
      </w:pPr>
      <w:rPr>
        <w:rFonts w:hint="default"/>
        <w:lang w:val="en-us" w:eastAsia="en-us" w:bidi="en-us"/>
      </w:rPr>
    </w:lvl>
    <w:lvl w:ilvl="5">
      <w:start w:val="0"/>
      <w:numFmt w:val="bullet"/>
      <w:lvlText w:val="•"/>
      <w:lvlJc w:val="left"/>
      <w:pPr>
        <w:ind w:left="2918" w:hanging="278"/>
      </w:pPr>
      <w:rPr>
        <w:rFonts w:hint="default"/>
        <w:lang w:val="en-us" w:eastAsia="en-us" w:bidi="en-us"/>
      </w:rPr>
    </w:lvl>
    <w:lvl w:ilvl="6">
      <w:start w:val="0"/>
      <w:numFmt w:val="bullet"/>
      <w:lvlText w:val="•"/>
      <w:lvlJc w:val="left"/>
      <w:pPr>
        <w:ind w:left="3410" w:hanging="278"/>
      </w:pPr>
      <w:rPr>
        <w:rFonts w:hint="default"/>
        <w:lang w:val="en-us" w:eastAsia="en-us" w:bidi="en-us"/>
      </w:rPr>
    </w:lvl>
    <w:lvl w:ilvl="7">
      <w:start w:val="0"/>
      <w:numFmt w:val="bullet"/>
      <w:lvlText w:val="•"/>
      <w:lvlJc w:val="left"/>
      <w:pPr>
        <w:ind w:left="3901" w:hanging="278"/>
      </w:pPr>
      <w:rPr>
        <w:rFonts w:hint="default"/>
        <w:lang w:val="en-us" w:eastAsia="en-us" w:bidi="en-us"/>
      </w:rPr>
    </w:lvl>
    <w:lvl w:ilvl="8">
      <w:start w:val="0"/>
      <w:numFmt w:val="bullet"/>
      <w:lvlText w:val="•"/>
      <w:lvlJc w:val="left"/>
      <w:pPr>
        <w:ind w:left="4393" w:hanging="278"/>
      </w:pPr>
      <w:rPr>
        <w:rFonts w:hint="default"/>
        <w:lang w:val="en-us" w:eastAsia="en-us" w:bidi="en-us"/>
      </w:rPr>
    </w:lvl>
  </w:abstractNum>
  <w:abstractNum w:abstractNumId="0">
    <w:multiLevelType w:val="hybridMultilevel"/>
    <w:lvl w:ilvl="0">
      <w:start w:val="0"/>
      <w:numFmt w:val="bullet"/>
      <w:lvlText w:val="•"/>
      <w:lvlJc w:val="left"/>
      <w:pPr>
        <w:ind w:left="1879" w:hanging="150"/>
      </w:pPr>
      <w:rPr>
        <w:rFonts w:hint="default" w:ascii="Arial Black" w:hAnsi="Arial Black" w:eastAsia="Arial Black" w:cs="Arial Black"/>
        <w:b/>
        <w:bCs/>
        <w:w w:val="100"/>
        <w:sz w:val="18"/>
        <w:szCs w:val="18"/>
        <w:lang w:val="en-us" w:eastAsia="en-us" w:bidi="en-us"/>
      </w:rPr>
    </w:lvl>
    <w:lvl w:ilvl="1">
      <w:start w:val="0"/>
      <w:numFmt w:val="bullet"/>
      <w:lvlText w:val="•"/>
      <w:lvlJc w:val="left"/>
      <w:pPr>
        <w:ind w:left="2790" w:hanging="150"/>
      </w:pPr>
      <w:rPr>
        <w:rFonts w:hint="default"/>
        <w:lang w:val="en-us" w:eastAsia="en-us" w:bidi="en-us"/>
      </w:rPr>
    </w:lvl>
    <w:lvl w:ilvl="2">
      <w:start w:val="0"/>
      <w:numFmt w:val="bullet"/>
      <w:lvlText w:val="•"/>
      <w:lvlJc w:val="left"/>
      <w:pPr>
        <w:ind w:left="3700" w:hanging="150"/>
      </w:pPr>
      <w:rPr>
        <w:rFonts w:hint="default"/>
        <w:lang w:val="en-us" w:eastAsia="en-us" w:bidi="en-us"/>
      </w:rPr>
    </w:lvl>
    <w:lvl w:ilvl="3">
      <w:start w:val="0"/>
      <w:numFmt w:val="bullet"/>
      <w:lvlText w:val="•"/>
      <w:lvlJc w:val="left"/>
      <w:pPr>
        <w:ind w:left="4610" w:hanging="150"/>
      </w:pPr>
      <w:rPr>
        <w:rFonts w:hint="default"/>
        <w:lang w:val="en-us" w:eastAsia="en-us" w:bidi="en-us"/>
      </w:rPr>
    </w:lvl>
    <w:lvl w:ilvl="4">
      <w:start w:val="0"/>
      <w:numFmt w:val="bullet"/>
      <w:lvlText w:val="•"/>
      <w:lvlJc w:val="left"/>
      <w:pPr>
        <w:ind w:left="5520" w:hanging="150"/>
      </w:pPr>
      <w:rPr>
        <w:rFonts w:hint="default"/>
        <w:lang w:val="en-us" w:eastAsia="en-us" w:bidi="en-us"/>
      </w:rPr>
    </w:lvl>
    <w:lvl w:ilvl="5">
      <w:start w:val="0"/>
      <w:numFmt w:val="bullet"/>
      <w:lvlText w:val="•"/>
      <w:lvlJc w:val="left"/>
      <w:pPr>
        <w:ind w:left="6430" w:hanging="150"/>
      </w:pPr>
      <w:rPr>
        <w:rFonts w:hint="default"/>
        <w:lang w:val="en-us" w:eastAsia="en-us" w:bidi="en-us"/>
      </w:rPr>
    </w:lvl>
    <w:lvl w:ilvl="6">
      <w:start w:val="0"/>
      <w:numFmt w:val="bullet"/>
      <w:lvlText w:val="•"/>
      <w:lvlJc w:val="left"/>
      <w:pPr>
        <w:ind w:left="7340" w:hanging="150"/>
      </w:pPr>
      <w:rPr>
        <w:rFonts w:hint="default"/>
        <w:lang w:val="en-us" w:eastAsia="en-us" w:bidi="en-us"/>
      </w:rPr>
    </w:lvl>
    <w:lvl w:ilvl="7">
      <w:start w:val="0"/>
      <w:numFmt w:val="bullet"/>
      <w:lvlText w:val="•"/>
      <w:lvlJc w:val="left"/>
      <w:pPr>
        <w:ind w:left="8250" w:hanging="150"/>
      </w:pPr>
      <w:rPr>
        <w:rFonts w:hint="default"/>
        <w:lang w:val="en-us" w:eastAsia="en-us" w:bidi="en-us"/>
      </w:rPr>
    </w:lvl>
    <w:lvl w:ilvl="8">
      <w:start w:val="0"/>
      <w:numFmt w:val="bullet"/>
      <w:lvlText w:val="•"/>
      <w:lvlJc w:val="left"/>
      <w:pPr>
        <w:ind w:left="9160" w:hanging="150"/>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1"/>
      <w:szCs w:val="21"/>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dcterms:created xsi:type="dcterms:W3CDTF">2017-11-20T14:41:50Z</dcterms:created>
  <dcterms:modified xsi:type="dcterms:W3CDTF">2017-11-20T14:41:50Z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2008-01-25T00:00:00Z</vt:filetime>
  </property>
  <property fmtid="{D5CDD505-2E9C-101B-9397-08002B2CF9AE}" pid="3" name="Creator">
    <vt:lpwstr>Acrobat PDFMaker 8.1 for Word</vt:lpwstr>
  </property>
  <property fmtid="{D5CDD505-2E9C-101B-9397-08002B2CF9AE}" pid="4" name="LastSaved">
    <vt:filetime>2017-11-20T00:00:00Z</vt:filetime>
  </property>
</Properties>
</file>