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45pt;margin-top:749.190002pt;width:549pt;height:1.35pt;mso-position-horizontal-relative:page;mso-position-vertical-relative:page;z-index:1072" coordorigin="900,14984" coordsize="10980,27" path="m900,14984l11880,14984m900,15010l11880,15010e" filled="false" stroked="true" strokeweight=".66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spacing w:before="0" w:after="2"/>
        <w:ind w:left="1004" w:right="1101" w:firstLine="0"/>
        <w:jc w:val="center"/>
        <w:rPr>
          <w:rFonts w:ascii="Arial Narrow"/>
          <w:sz w:val="18"/>
        </w:rPr>
      </w:pPr>
      <w:r>
        <w:rPr/>
        <w:pict>
          <v:group style="position:absolute;margin-left:41.279999pt;margin-top:-105.210442pt;width:542.4pt;height:107.85pt;mso-position-horizontal-relative:page;mso-position-vertical-relative:paragraph;z-index:-3208" coordorigin="826,-2104" coordsize="10848,2157">
            <v:shape style="position:absolute;left:825;top:-2105;width:10848;height:215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84;top:-1160;width:1188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34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March 21, 2008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6">
        <w:r>
          <w:rPr>
            <w:rFonts w:ascii="Arial Narrow"/>
            <w:sz w:val="18"/>
          </w:rPr>
          <w:t>www.mass.gov/masshealth/pharmacy</w:t>
        </w:r>
      </w:hyperlink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5303"/>
      </w:tblGrid>
      <w:tr>
        <w:trPr>
          <w:trHeight w:val="303" w:hRule="atLeast"/>
        </w:trPr>
        <w:tc>
          <w:tcPr>
            <w:tcW w:w="1070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853" w:val="left" w:leader="none"/>
              </w:tabs>
              <w:spacing w:line="240" w:lineRule="auto" w:before="0" w:after="0"/>
              <w:ind w:left="1852" w:right="0" w:hanging="150"/>
              <w:jc w:val="left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>Editor: Vic Vangel </w:t>
            </w:r>
            <w:r>
              <w:rPr>
                <w:rFonts w:ascii="Arial Black" w:hAnsi="Arial Black"/>
                <w:b/>
                <w:sz w:val="18"/>
              </w:rPr>
              <w:t>• </w:t>
            </w:r>
            <w:r>
              <w:rPr>
                <w:rFonts w:ascii="Arial Narrow" w:hAnsi="Arial Narrow"/>
                <w:sz w:val="18"/>
              </w:rPr>
              <w:t>Contributors: Chris Burke, Gary Gilmore, Paul Jeffrey, James Monahan, Chuck Young</w:t>
            </w:r>
            <w:r>
              <w:rPr>
                <w:rFonts w:ascii="Arial Narrow" w:hAnsi="Arial Narrow"/>
                <w:spacing w:val="15"/>
                <w:sz w:val="18"/>
              </w:rPr>
              <w:t> </w:t>
            </w:r>
            <w:r>
              <w:rPr>
                <w:rFonts w:ascii="Arial Black" w:hAnsi="Arial Black"/>
                <w:b/>
                <w:sz w:val="18"/>
              </w:rPr>
              <w:t>•</w:t>
            </w:r>
          </w:p>
        </w:tc>
      </w:tr>
      <w:tr>
        <w:trPr>
          <w:trHeight w:val="11940" w:hRule="atLeast"/>
        </w:trPr>
        <w:tc>
          <w:tcPr>
            <w:tcW w:w="5400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auto" w:before="199"/>
              <w:ind w:left="107" w:right="1589"/>
              <w:rPr>
                <w:rFonts w:ascii="Arial Black"/>
                <w:b/>
                <w:sz w:val="22"/>
              </w:rPr>
            </w:pPr>
            <w:r>
              <w:rPr>
                <w:rFonts w:ascii="Arial Black"/>
                <w:b/>
                <w:sz w:val="22"/>
              </w:rPr>
              <w:t>Tamper-Resistant Prescription Requirements</w:t>
            </w:r>
          </w:p>
          <w:p>
            <w:pPr>
              <w:pStyle w:val="TableParagraph"/>
              <w:spacing w:line="278" w:lineRule="auto" w:before="119"/>
              <w:ind w:left="107" w:right="682"/>
              <w:rPr>
                <w:sz w:val="22"/>
              </w:rPr>
            </w:pPr>
            <w:r>
              <w:rPr>
                <w:sz w:val="22"/>
              </w:rPr>
              <w:t>Tamper-resistant prescription requirements are being phased in over the next seven months.</w:t>
            </w:r>
          </w:p>
          <w:p>
            <w:pPr>
              <w:pStyle w:val="TableParagraph"/>
              <w:spacing w:line="276" w:lineRule="auto"/>
              <w:ind w:left="107" w:right="107"/>
              <w:rPr>
                <w:sz w:val="22"/>
              </w:rPr>
            </w:pPr>
            <w:r>
              <w:rPr>
                <w:sz w:val="22"/>
              </w:rPr>
              <w:t>Effective April 1, 2008, the Centers for Medicare &amp; Medicaid Services (CMS) will require that all Medicaid prescription blanks incorporate at least </w:t>
            </w:r>
            <w:r>
              <w:rPr>
                <w:b/>
                <w:sz w:val="22"/>
              </w:rPr>
              <w:t>one </w:t>
            </w:r>
            <w:r>
              <w:rPr>
                <w:sz w:val="22"/>
              </w:rPr>
              <w:t>of the characteristics listed below. To be considered tamper resistant after October 1, 2008, prescription blanks must include </w:t>
            </w:r>
            <w:r>
              <w:rPr>
                <w:b/>
                <w:sz w:val="22"/>
              </w:rPr>
              <w:t>all </w:t>
            </w:r>
            <w:r>
              <w:rPr>
                <w:sz w:val="22"/>
              </w:rPr>
              <w:t>three of the following characteristics: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40" w:val="left" w:leader="none"/>
                <w:tab w:pos="541" w:val="left" w:leader="none"/>
              </w:tabs>
              <w:spacing w:line="244" w:lineRule="auto" w:before="88" w:after="0"/>
              <w:ind w:left="539" w:right="341" w:hanging="359"/>
              <w:jc w:val="left"/>
              <w:rPr>
                <w:sz w:val="22"/>
              </w:rPr>
            </w:pPr>
            <w:r>
              <w:rPr>
                <w:sz w:val="22"/>
              </w:rPr>
              <w:t>one or more industry-recognized features designed to prevent unauthorized copying 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 completed or blank prescription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40" w:val="left" w:leader="none"/>
                <w:tab w:pos="541" w:val="left" w:leader="none"/>
              </w:tabs>
              <w:spacing w:line="247" w:lineRule="auto" w:before="0" w:after="0"/>
              <w:ind w:left="539" w:right="256" w:hanging="359"/>
              <w:jc w:val="left"/>
              <w:rPr>
                <w:sz w:val="22"/>
              </w:rPr>
            </w:pPr>
            <w:r>
              <w:rPr>
                <w:sz w:val="22"/>
              </w:rPr>
              <w:t>one or more industry-recognized features designed to prevent the erasure 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modification of information written on the prescription by the prescriber;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41" w:val="left" w:leader="none"/>
              </w:tabs>
              <w:spacing w:line="244" w:lineRule="auto" w:before="0" w:after="0"/>
              <w:ind w:left="539" w:right="806" w:hanging="359"/>
              <w:jc w:val="both"/>
              <w:rPr>
                <w:sz w:val="22"/>
              </w:rPr>
            </w:pPr>
            <w:r>
              <w:rPr>
                <w:sz w:val="22"/>
              </w:rPr>
              <w:t>one or more industry-recognized features designed to prevent the use 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counterfeit prescription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forms.</w:t>
            </w:r>
          </w:p>
          <w:p>
            <w:pPr>
              <w:pStyle w:val="TableParagraph"/>
              <w:spacing w:before="8"/>
              <w:ind w:left="0"/>
              <w:rPr>
                <w:rFonts w:ascii="Arial Narrow"/>
                <w:sz w:val="22"/>
              </w:rPr>
            </w:pPr>
          </w:p>
          <w:p>
            <w:pPr>
              <w:pStyle w:val="TableParagraph"/>
              <w:spacing w:line="276" w:lineRule="auto"/>
              <w:ind w:left="107" w:right="168"/>
              <w:rPr>
                <w:sz w:val="22"/>
              </w:rPr>
            </w:pPr>
            <w:r>
              <w:rPr>
                <w:sz w:val="22"/>
              </w:rPr>
              <w:t>For more information about tamper-resistant requirements, go to the CMS Web site at </w:t>
            </w:r>
            <w:hyperlink r:id="rId7">
              <w:r>
                <w:rPr>
                  <w:color w:val="0000FF"/>
                  <w:sz w:val="22"/>
                  <w:u w:val="single" w:color="0000FF"/>
                </w:rPr>
                <w:t>http://www.cms.hhs.gov</w:t>
              </w:r>
            </w:hyperlink>
            <w:r>
              <w:rPr>
                <w:color w:val="0000FF"/>
                <w:sz w:val="22"/>
              </w:rPr>
              <w:t> </w:t>
            </w:r>
            <w:r>
              <w:rPr>
                <w:sz w:val="22"/>
              </w:rPr>
              <w:t>The CMS Web site also includes recently updated information that may be of value to health facilities using tamper-resistant paper.</w:t>
            </w:r>
          </w:p>
          <w:p>
            <w:pPr>
              <w:pStyle w:val="TableParagraph"/>
              <w:spacing w:before="6"/>
              <w:ind w:left="0"/>
              <w:rPr>
                <w:rFonts w:ascii="Arial Narrow"/>
                <w:sz w:val="21"/>
              </w:rPr>
            </w:pPr>
          </w:p>
          <w:p>
            <w:pPr>
              <w:pStyle w:val="TableParagraph"/>
              <w:spacing w:line="276" w:lineRule="auto"/>
              <w:ind w:left="107" w:right="132"/>
              <w:rPr>
                <w:sz w:val="22"/>
              </w:rPr>
            </w:pPr>
            <w:r>
              <w:rPr>
                <w:sz w:val="22"/>
              </w:rPr>
              <w:t>MassHealth has met with representatives from pharmacy and medical organizations to develop the characteristics of a tamper-resistant blank that would meet the federal requirements and be easily used by all providers. Prescription blanks must satisfy</w:t>
            </w:r>
          </w:p>
          <w:p>
            <w:pPr>
              <w:pStyle w:val="TableParagraph"/>
              <w:spacing w:line="276" w:lineRule="auto" w:before="6"/>
              <w:ind w:left="107" w:right="205"/>
              <w:rPr>
                <w:sz w:val="22"/>
              </w:rPr>
            </w:pPr>
            <w:r>
              <w:rPr>
                <w:sz w:val="22"/>
              </w:rPr>
              <w:t>tamper-resistant requirements before MassHealth is able to pay the corresponding claim.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rFonts w:ascii="Arial Narrow"/>
                <w:sz w:val="20"/>
              </w:rPr>
            </w:pPr>
          </w:p>
          <w:p>
            <w:pPr>
              <w:pStyle w:val="TableParagraph"/>
              <w:spacing w:before="1"/>
              <w:ind w:left="174" w:right="106"/>
              <w:rPr>
                <w:sz w:val="22"/>
              </w:rPr>
            </w:pPr>
            <w:r>
              <w:rPr>
                <w:sz w:val="22"/>
              </w:rPr>
              <w:t>To help determine whether a prescription complies with tamper-resistant requirements, three examples are listed below. Note that these are only some examples of tamper-resistant features. Pharmacies should fill prescriptions that are compliant under the CMS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rules.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4" w:val="left" w:leader="none"/>
                <w:tab w:pos="536" w:val="left" w:leader="none"/>
              </w:tabs>
              <w:spacing w:line="247" w:lineRule="auto" w:before="121" w:after="0"/>
              <w:ind w:left="534" w:right="200" w:hanging="360"/>
              <w:jc w:val="left"/>
              <w:rPr>
                <w:sz w:val="22"/>
              </w:rPr>
            </w:pPr>
            <w:r>
              <w:rPr>
                <w:sz w:val="22"/>
              </w:rPr>
              <w:t>a heat sensitive feature that will either change color or disappear and then reappear when rubbed (e.g., sensing imprint or thermochromic ink);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4" w:val="left" w:leader="none"/>
                <w:tab w:pos="536" w:val="left" w:leader="none"/>
              </w:tabs>
              <w:spacing w:line="244" w:lineRule="auto" w:before="0" w:after="0"/>
              <w:ind w:left="534" w:right="407" w:hanging="360"/>
              <w:jc w:val="left"/>
              <w:rPr>
                <w:sz w:val="22"/>
              </w:rPr>
            </w:pPr>
            <w:r>
              <w:rPr>
                <w:sz w:val="22"/>
              </w:rPr>
              <w:t>erasure protection, such that the prescription has a background that resists alteration and erasure (e.g., special security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paper);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4" w:val="left" w:leader="none"/>
                <w:tab w:pos="536" w:val="left" w:leader="none"/>
              </w:tabs>
              <w:spacing w:line="244" w:lineRule="auto" w:before="0" w:after="0"/>
              <w:ind w:left="534" w:right="371" w:hanging="360"/>
              <w:jc w:val="left"/>
              <w:rPr>
                <w:sz w:val="22"/>
              </w:rPr>
            </w:pPr>
            <w:r>
              <w:rPr>
                <w:sz w:val="22"/>
              </w:rPr>
              <w:t>use of a latent, repetitive, printed word “Void” that will appear across the front of the prescription if it is scanned or photocopied. This feature must be patterned in such a way as not to obscure prescribing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  <w:p>
            <w:pPr>
              <w:pStyle w:val="TableParagraph"/>
              <w:spacing w:before="1"/>
              <w:ind w:left="0"/>
              <w:rPr>
                <w:rFonts w:ascii="Arial Narrow"/>
                <w:sz w:val="23"/>
              </w:rPr>
            </w:pPr>
          </w:p>
          <w:p>
            <w:pPr>
              <w:pStyle w:val="TableParagraph"/>
              <w:spacing w:line="276" w:lineRule="auto"/>
              <w:ind w:left="102" w:right="492"/>
              <w:rPr>
                <w:sz w:val="22"/>
              </w:rPr>
            </w:pPr>
            <w:r>
              <w:rPr>
                <w:sz w:val="22"/>
              </w:rPr>
              <w:t>Exceptions to the tamper-resistant requirements include prescriptions that are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4" w:val="left" w:leader="none"/>
                <w:tab w:pos="536" w:val="left" w:leader="none"/>
              </w:tabs>
              <w:spacing w:line="269" w:lineRule="exact" w:before="85" w:after="0"/>
              <w:ind w:left="53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electronic, verbal, 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faxed;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4" w:val="left" w:leader="none"/>
                <w:tab w:pos="536" w:val="left" w:leader="none"/>
              </w:tabs>
              <w:spacing w:line="244" w:lineRule="auto" w:before="0" w:after="0"/>
              <w:ind w:left="534" w:right="469" w:hanging="360"/>
              <w:jc w:val="left"/>
              <w:rPr>
                <w:sz w:val="22"/>
              </w:rPr>
            </w:pPr>
            <w:r>
              <w:rPr>
                <w:sz w:val="22"/>
              </w:rPr>
              <w:t>reimbursed through a MassHealth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managed care organization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(MCO);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4" w:val="left" w:leader="none"/>
                <w:tab w:pos="536" w:val="left" w:leader="none"/>
              </w:tabs>
              <w:spacing w:line="244" w:lineRule="auto" w:before="0" w:after="0"/>
              <w:ind w:left="534" w:right="224" w:hanging="360"/>
              <w:jc w:val="left"/>
              <w:rPr>
                <w:sz w:val="22"/>
              </w:rPr>
            </w:pPr>
            <w:r>
              <w:rPr>
                <w:sz w:val="22"/>
              </w:rPr>
              <w:t>for drugs reimbursed as part of a bundled rate; 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4" w:val="left" w:leader="none"/>
                <w:tab w:pos="536" w:val="left" w:leader="none"/>
              </w:tabs>
              <w:spacing w:line="244" w:lineRule="auto" w:before="0" w:after="0"/>
              <w:ind w:left="534" w:right="138" w:hanging="360"/>
              <w:jc w:val="left"/>
              <w:rPr>
                <w:sz w:val="22"/>
              </w:rPr>
            </w:pPr>
            <w:r>
              <w:rPr>
                <w:sz w:val="22"/>
              </w:rPr>
              <w:t>Refilled when the original prescription was filled before April 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2008.</w:t>
            </w:r>
          </w:p>
          <w:p>
            <w:pPr>
              <w:pStyle w:val="TableParagraph"/>
              <w:spacing w:line="276" w:lineRule="auto" w:before="143"/>
              <w:ind w:left="102" w:right="211"/>
              <w:rPr>
                <w:sz w:val="22"/>
              </w:rPr>
            </w:pPr>
            <w:r>
              <w:rPr>
                <w:sz w:val="22"/>
              </w:rPr>
              <w:t>Emergency fills are allowed as long as a prescriber provides a verbal, faxed, electronic, or compliant written prescription within 72 hours.</w:t>
            </w:r>
          </w:p>
          <w:p>
            <w:pPr>
              <w:pStyle w:val="TableParagraph"/>
              <w:spacing w:line="276" w:lineRule="auto" w:before="125"/>
              <w:ind w:left="102" w:right="676"/>
              <w:rPr>
                <w:sz w:val="22"/>
              </w:rPr>
            </w:pPr>
            <w:r>
              <w:rPr>
                <w:sz w:val="22"/>
              </w:rPr>
              <w:t>MassHealth does not plan to endorse specific suppliers of tamper-resistant blanks. The Massachusetts Medical Society, however, has posted some Web sites to help providers find vendors for tamper-resistant blanks. For more information, go to their Web site at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www.massmed.org/rx</w:t>
              </w:r>
            </w:hyperlink>
            <w:r>
              <w:rPr>
                <w:sz w:val="22"/>
              </w:rPr>
              <w:t>.</w:t>
            </w:r>
          </w:p>
        </w:tc>
      </w:tr>
    </w:tbl>
    <w:p>
      <w:pPr>
        <w:pStyle w:val="BodyText"/>
        <w:spacing w:before="120"/>
        <w:ind w:left="1900" w:right="1101"/>
        <w:jc w:val="center"/>
      </w:pPr>
      <w:r>
        <w:rPr/>
        <w:t>Please direct any questions or comments (or to be taken off of this fax distribution) to</w:t>
      </w:r>
    </w:p>
    <w:p>
      <w:pPr>
        <w:spacing w:before="0"/>
        <w:ind w:left="1899" w:right="1101" w:firstLine="0"/>
        <w:jc w:val="center"/>
        <w:rPr>
          <w:sz w:val="21"/>
        </w:rPr>
      </w:pPr>
      <w:r>
        <w:rPr>
          <w:rFonts w:ascii="Arial Black"/>
          <w:b/>
          <w:sz w:val="21"/>
        </w:rPr>
        <w:t>Victor Moquin </w:t>
      </w:r>
      <w:r>
        <w:rPr>
          <w:sz w:val="21"/>
        </w:rPr>
        <w:t>of ACS at 617-423-9830.</w:t>
      </w:r>
    </w:p>
    <w:sectPr>
      <w:type w:val="continuous"/>
      <w:pgSz w:w="12240" w:h="15840"/>
      <w:pgMar w:top="380" w:bottom="0" w:left="6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534" w:hanging="361"/>
      </w:pPr>
      <w:rPr>
        <w:rFonts w:hint="default" w:ascii="Symbol" w:hAnsi="Symbol" w:eastAsia="Symbol" w:cs="Symbol"/>
        <w:w w:val="99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91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3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19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394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346" w:hanging="361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39" w:hanging="361"/>
      </w:pPr>
      <w:rPr>
        <w:rFonts w:hint="default" w:ascii="Symbol" w:hAnsi="Symbol" w:eastAsia="Symbol" w:cs="Symbol"/>
        <w:w w:val="99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25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11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96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67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53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24" w:hanging="361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52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744" w:hanging="15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628" w:hanging="15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512" w:hanging="15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97" w:hanging="15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281" w:hanging="15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165" w:hanging="15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50" w:hanging="15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34" w:hanging="150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534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hyperlink" Target="http://www.cms.hhs.gov/" TargetMode="External"/><Relationship Id="rId8" Type="http://schemas.openxmlformats.org/officeDocument/2006/relationships/hyperlink" Target="http://www.massmed.org/rx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terms:created xsi:type="dcterms:W3CDTF">2017-11-20T15:19:01Z</dcterms:created>
  <dcterms:modified xsi:type="dcterms:W3CDTF">2017-11-20T15:19:01Z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2008-03-20T00:00:00Z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2017-11-20T00:00:00Z</vt:filetime>
  </property>
</Properties>
</file>