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pStyle w:val="BodyText"/>
        <w:ind w:left="778" w:right="1041"/>
        <w:jc w:val="center"/>
        <w:rPr>
          <w:rFonts w:ascii="Arial Narrow"/>
        </w:rPr>
      </w:pPr>
      <w:r>
        <w:rPr/>
        <w:pict>
          <v:line style="position:absolute;mso-position-horizontal-relative:page;mso-position-vertical-relative:paragraph;z-index:1072" from="43.560001pt,10.893106pt" to="574.200001pt,10.893106pt" stroked="true" strokeweight=".95996pt" strokecolor="#000000">
            <v:stroke dashstyle="solid"/>
            <w10:wrap type="none"/>
          </v:line>
        </w:pict>
      </w:r>
      <w:hyperlink r:id="rId5">
        <w:r>
          <w:rPr>
            <w:rFonts w:ascii="Arial Narrow"/>
          </w:rPr>
          <w:t>www.mass.gov/masshealth/pharmacy</w:t>
        </w:r>
      </w:hyperlink>
    </w:p>
    <w:p>
      <w:pPr>
        <w:pStyle w:val="ListParagraph"/>
        <w:numPr>
          <w:ilvl w:val="0"/>
          <w:numId w:val="1"/>
        </w:numPr>
        <w:tabs>
          <w:tab w:pos="1819" w:val="left" w:leader="none"/>
        </w:tabs>
        <w:spacing w:line="240" w:lineRule="auto" w:before="22" w:after="0"/>
        <w:ind w:left="1818" w:right="0" w:hanging="150"/>
        <w:jc w:val="left"/>
        <w:rPr>
          <w:rFonts w:ascii="Arial Black" w:hAnsi="Arial Black"/>
          <w:b/>
          <w:sz w:val="18"/>
        </w:rPr>
      </w:pPr>
      <w:r>
        <w:rPr>
          <w:rFonts w:ascii="Arial Narrow" w:hAnsi="Arial Narrow"/>
          <w:sz w:val="18"/>
        </w:rPr>
        <w:t>Editor: Vic Vangel </w:t>
      </w:r>
      <w:r>
        <w:rPr>
          <w:rFonts w:ascii="Arial Black" w:hAnsi="Arial Black"/>
          <w:b/>
          <w:sz w:val="18"/>
        </w:rPr>
        <w:t>• </w:t>
      </w:r>
      <w:r>
        <w:rPr>
          <w:rFonts w:ascii="Arial Narrow" w:hAnsi="Arial Narrow"/>
          <w:sz w:val="18"/>
        </w:rPr>
        <w:t>Contributors: Chris Burke, Gary Gilmore, Paul Jeffrey, James Monahan, Chuck Young</w:t>
      </w:r>
      <w:r>
        <w:rPr>
          <w:rFonts w:ascii="Arial Narrow" w:hAnsi="Arial Narrow"/>
          <w:spacing w:val="15"/>
          <w:sz w:val="18"/>
        </w:rPr>
        <w:t> </w:t>
      </w:r>
      <w:r>
        <w:rPr>
          <w:rFonts w:ascii="Arial Black" w:hAnsi="Arial Black"/>
          <w:b/>
          <w:sz w:val="18"/>
        </w:rPr>
        <w:t>•</w:t>
      </w:r>
    </w:p>
    <w:p>
      <w:pPr>
        <w:pStyle w:val="BodyText"/>
        <w:spacing w:before="13"/>
        <w:rPr>
          <w:rFonts w:ascii="Arial Black"/>
          <w:b/>
          <w:sz w:val="11"/>
        </w:rPr>
      </w:pPr>
    </w:p>
    <w:p>
      <w:pPr>
        <w:spacing w:after="0"/>
        <w:rPr>
          <w:rFonts w:ascii="Arial Black"/>
          <w:sz w:val="11"/>
        </w:rPr>
        <w:sectPr>
          <w:type w:val="continuous"/>
          <w:pgSz w:w="12240" w:h="15840"/>
          <w:pgMar w:top="380" w:bottom="0" w:left="860" w:right="760"/>
        </w:sectPr>
      </w:pPr>
    </w:p>
    <w:p>
      <w:pPr>
        <w:spacing w:before="101"/>
        <w:ind w:left="119" w:right="0" w:firstLine="0"/>
        <w:jc w:val="left"/>
        <w:rPr>
          <w:rFonts w:ascii="Arial Black"/>
          <w:b/>
          <w:sz w:val="20"/>
        </w:rPr>
      </w:pPr>
      <w:r>
        <w:rPr/>
        <w:pict>
          <v:group style="position:absolute;margin-left:43.560001pt;margin-top:-5.904134pt;width:530.65pt;height:589.5pt;mso-position-horizontal-relative:page;mso-position-vertical-relative:paragraph;z-index:-4384" coordorigin="871,-118" coordsize="10613,11790">
            <v:shape style="position:absolute;left:871;top:-109;width:10613;height:2" coordorigin="871,-108" coordsize="10613,0" path="m871,-108l6176,-108m6176,-108l11484,-108e" filled="false" stroked="true" strokeweight=".96002pt" strokecolor="#000000">
              <v:path arrowok="t"/>
              <v:stroke dashstyle="solid"/>
            </v:shape>
            <v:line style="position:absolute" from="6181,-99" to="6181,11672" stroked="true" strokeweight=".47998pt" strokecolor="#000000">
              <v:stroke dashstyle="solid"/>
            </v:line>
            <w10:wrap type="none"/>
          </v:group>
        </w:pict>
      </w:r>
      <w:r>
        <w:rPr>
          <w:rFonts w:ascii="Arial Black"/>
          <w:b/>
          <w:sz w:val="20"/>
        </w:rPr>
        <w:t>MHDL Updates</w:t>
      </w:r>
    </w:p>
    <w:p>
      <w:pPr>
        <w:pStyle w:val="Heading1"/>
        <w:numPr>
          <w:ilvl w:val="0"/>
          <w:numId w:val="2"/>
        </w:numPr>
        <w:tabs>
          <w:tab w:pos="373" w:val="left" w:leader="none"/>
        </w:tabs>
        <w:spacing w:line="240" w:lineRule="auto" w:before="135" w:after="0"/>
        <w:ind w:left="372" w:right="0" w:hanging="253"/>
        <w:jc w:val="left"/>
      </w:pPr>
      <w:r>
        <w:rPr/>
        <w:t>Additions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19" w:right="245"/>
      </w:pPr>
      <w:r>
        <w:rPr/>
        <w:t>The following newly marketed drugs have been added to the MassHealth Drug List.</w:t>
      </w:r>
    </w:p>
    <w:p>
      <w:pPr>
        <w:pStyle w:val="BodyText"/>
        <w:spacing w:line="207" w:lineRule="exact" w:before="119"/>
        <w:ind w:left="407"/>
        <w:rPr>
          <w:b/>
        </w:rPr>
      </w:pPr>
      <w:r>
        <w:rPr/>
        <w:t>Allegra ODT (fexofenadine orally disintegrating tablet) – </w:t>
      </w:r>
      <w:r>
        <w:rPr>
          <w:b/>
        </w:rPr>
        <w:t>PA</w:t>
      </w:r>
    </w:p>
    <w:p>
      <w:pPr>
        <w:pStyle w:val="BodyText"/>
        <w:spacing w:line="207" w:lineRule="exact"/>
        <w:ind w:left="407"/>
        <w:rPr>
          <w:b/>
        </w:rPr>
      </w:pPr>
      <w:r>
        <w:rPr/>
        <w:t>Bystolic (nebivolol) – </w:t>
      </w:r>
      <w:r>
        <w:rPr>
          <w:b/>
        </w:rPr>
        <w:t>PA</w:t>
      </w:r>
    </w:p>
    <w:p>
      <w:pPr>
        <w:pStyle w:val="BodyText"/>
        <w:spacing w:before="2"/>
        <w:ind w:left="407" w:right="1309"/>
      </w:pPr>
      <w:r>
        <w:rPr/>
        <w:t>Combigan (brimonidine/timolol, ophthalmic) Doribax (doripenem)</w:t>
      </w:r>
    </w:p>
    <w:p>
      <w:pPr>
        <w:pStyle w:val="BodyText"/>
        <w:ind w:left="407" w:right="949"/>
      </w:pPr>
      <w:r>
        <w:rPr/>
        <w:t>Flector Patch (diclofenac topical patch) – </w:t>
      </w:r>
      <w:r>
        <w:rPr>
          <w:b/>
        </w:rPr>
        <w:t>PA </w:t>
      </w:r>
      <w:r>
        <w:rPr/>
        <w:t>Hyper RAB (rabies immune globulin IM, human) Intelence (etravirine)</w:t>
      </w:r>
    </w:p>
    <w:p>
      <w:pPr>
        <w:pStyle w:val="BodyText"/>
        <w:ind w:left="407" w:right="3040"/>
      </w:pPr>
      <w:r>
        <w:rPr/>
        <w:t>Ixempra (ixabepilone) Kuvan (sapropterin) Renvela (sevelamer)</w:t>
      </w:r>
    </w:p>
    <w:p>
      <w:pPr>
        <w:pStyle w:val="BodyText"/>
        <w:ind w:left="407" w:right="1449"/>
      </w:pPr>
      <w:r>
        <w:rPr/>
        <w:t>Sanctura XR (trospium extended-release) Somatuline (lanreotide)</w:t>
      </w:r>
    </w:p>
    <w:p>
      <w:pPr>
        <w:pStyle w:val="BodyText"/>
        <w:spacing w:line="206" w:lineRule="exact"/>
        <w:ind w:left="407"/>
      </w:pPr>
      <w:r>
        <w:rPr/>
        <w:t>Tasigna (nilotinib)</w:t>
      </w:r>
    </w:p>
    <w:p>
      <w:pPr>
        <w:pStyle w:val="BodyText"/>
        <w:spacing w:line="206" w:lineRule="exact"/>
        <w:ind w:left="407"/>
        <w:rPr>
          <w:b/>
        </w:rPr>
      </w:pPr>
      <w:r>
        <w:rPr/>
        <w:t>Tekturna HCT (aliskiren/hydrochlorothiazide) – </w:t>
      </w:r>
      <w:r>
        <w:rPr>
          <w:b/>
        </w:rPr>
        <w:t>PA</w:t>
      </w:r>
    </w:p>
    <w:p>
      <w:pPr>
        <w:pStyle w:val="BodyText"/>
        <w:spacing w:line="206" w:lineRule="exact" w:before="2"/>
        <w:ind w:left="407"/>
      </w:pPr>
      <w:r>
        <w:rPr/>
        <w:t>Valstar (valrubicin)</w:t>
      </w:r>
    </w:p>
    <w:p>
      <w:pPr>
        <w:pStyle w:val="BodyText"/>
        <w:spacing w:line="206" w:lineRule="exact"/>
        <w:ind w:left="407"/>
        <w:rPr>
          <w:b/>
        </w:rPr>
      </w:pPr>
      <w:r>
        <w:rPr/>
        <w:t>Veregen (sinecatechins) – </w:t>
      </w:r>
      <w:r>
        <w:rPr>
          <w:b/>
        </w:rPr>
        <w:t>PA</w:t>
      </w:r>
    </w:p>
    <w:p>
      <w:pPr>
        <w:pStyle w:val="BodyText"/>
        <w:spacing w:before="1"/>
        <w:ind w:left="407"/>
        <w:rPr>
          <w:b/>
        </w:rPr>
      </w:pPr>
      <w:r>
        <w:rPr/>
        <w:t>Zyflo CR (zileuton extended-release) – </w:t>
      </w:r>
      <w:r>
        <w:rPr>
          <w:b/>
        </w:rPr>
        <w:t>PA</w:t>
      </w:r>
    </w:p>
    <w:p>
      <w:pPr>
        <w:pStyle w:val="BodyText"/>
        <w:rPr>
          <w:b/>
        </w:rPr>
      </w:pPr>
    </w:p>
    <w:p>
      <w:pPr>
        <w:pStyle w:val="Heading1"/>
        <w:numPr>
          <w:ilvl w:val="0"/>
          <w:numId w:val="2"/>
        </w:numPr>
        <w:tabs>
          <w:tab w:pos="320" w:val="left" w:leader="none"/>
        </w:tabs>
        <w:spacing w:line="240" w:lineRule="auto" w:before="0" w:after="0"/>
        <w:ind w:left="319" w:right="0" w:hanging="200"/>
        <w:jc w:val="left"/>
      </w:pPr>
      <w:r>
        <w:rPr/>
        <w:t>New FDA “A”-Rated</w:t>
      </w:r>
      <w:r>
        <w:rPr>
          <w:spacing w:val="-2"/>
        </w:rPr>
        <w:t> </w:t>
      </w:r>
      <w:r>
        <w:rPr/>
        <w:t>Generics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"/>
        <w:ind w:left="119" w:right="46"/>
      </w:pPr>
      <w:r>
        <w:rPr/>
        <w:t>The following FDA “A”-rated generic drugs have been added to the MassHealth Drug List. The brand name is listed with a # symbol, to indicate that prior authorization is required for the brand.</w:t>
      </w:r>
    </w:p>
    <w:p>
      <w:pPr>
        <w:pStyle w:val="Heading1"/>
        <w:spacing w:line="207" w:lineRule="exact" w:before="118"/>
      </w:pPr>
      <w:r>
        <w:rPr>
          <w:u w:val="single"/>
        </w:rPr>
        <w:t>New FDA “A” - Rated</w:t>
      </w:r>
    </w:p>
    <w:p>
      <w:pPr>
        <w:tabs>
          <w:tab w:pos="2657" w:val="left" w:leader="none"/>
        </w:tabs>
        <w:spacing w:line="207" w:lineRule="exact" w:before="0"/>
        <w:ind w:left="119" w:right="0" w:firstLine="0"/>
        <w:jc w:val="left"/>
        <w:rPr>
          <w:b/>
          <w:sz w:val="18"/>
        </w:rPr>
      </w:pPr>
      <w:r>
        <w:rPr>
          <w:b/>
          <w:sz w:val="18"/>
          <w:u w:val="single"/>
        </w:rPr>
        <w:t>Generic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Drug</w:t>
      </w:r>
      <w:r>
        <w:rPr>
          <w:b/>
          <w:sz w:val="18"/>
        </w:rPr>
        <w:tab/>
      </w:r>
      <w:r>
        <w:rPr>
          <w:b/>
          <w:sz w:val="18"/>
          <w:u w:val="single"/>
        </w:rPr>
        <w:t>Generic Equivalent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of</w:t>
      </w:r>
    </w:p>
    <w:p>
      <w:pPr>
        <w:pStyle w:val="BodyText"/>
        <w:spacing w:before="1"/>
        <w:rPr>
          <w:b/>
        </w:rPr>
      </w:pPr>
    </w:p>
    <w:p>
      <w:pPr>
        <w:pStyle w:val="BodyText"/>
        <w:tabs>
          <w:tab w:pos="2655" w:val="left" w:leader="none"/>
        </w:tabs>
        <w:spacing w:before="1"/>
        <w:ind w:left="119"/>
      </w:pPr>
      <w:r>
        <w:rPr/>
        <w:t>albuterol/ipratopium</w:t>
        <w:tab/>
        <w:t>Duoneb #</w:t>
      </w:r>
    </w:p>
    <w:p>
      <w:pPr>
        <w:pStyle w:val="BodyText"/>
        <w:tabs>
          <w:tab w:pos="2656" w:val="left" w:leader="none"/>
        </w:tabs>
        <w:spacing w:line="207" w:lineRule="exact"/>
        <w:ind w:left="119"/>
      </w:pPr>
      <w:r>
        <w:rPr/>
        <w:t>alendronate</w:t>
        <w:tab/>
        <w:t>Fosamax</w:t>
      </w:r>
      <w:r>
        <w:rPr>
          <w:spacing w:val="-1"/>
        </w:rPr>
        <w:t> </w:t>
      </w:r>
      <w:r>
        <w:rPr/>
        <w:t>#</w:t>
      </w:r>
    </w:p>
    <w:p>
      <w:pPr>
        <w:pStyle w:val="BodyText"/>
        <w:tabs>
          <w:tab w:pos="2656" w:val="left" w:leader="none"/>
        </w:tabs>
        <w:spacing w:line="207" w:lineRule="exact"/>
        <w:ind w:left="119"/>
      </w:pPr>
      <w:r>
        <w:rPr/>
        <w:t>balsalazide</w:t>
        <w:tab/>
        <w:t>Colazal</w:t>
      </w:r>
      <w:r>
        <w:rPr>
          <w:spacing w:val="-2"/>
        </w:rPr>
        <w:t> </w:t>
      </w:r>
      <w:r>
        <w:rPr/>
        <w:t>#</w:t>
      </w:r>
    </w:p>
    <w:p>
      <w:pPr>
        <w:pStyle w:val="BodyText"/>
        <w:tabs>
          <w:tab w:pos="2674" w:val="left" w:leader="none"/>
        </w:tabs>
        <w:spacing w:before="1"/>
        <w:ind w:left="270" w:right="1330" w:hanging="152"/>
      </w:pPr>
      <w:r>
        <w:rPr/>
        <w:t>ethinyl estradiol/</w:t>
        <w:tab/>
        <w:t>Estrostep FE # norethindrone</w:t>
      </w:r>
    </w:p>
    <w:p>
      <w:pPr>
        <w:tabs>
          <w:tab w:pos="2714" w:val="left" w:leader="none"/>
        </w:tabs>
        <w:spacing w:line="206" w:lineRule="exact" w:before="0"/>
        <w:ind w:left="119" w:right="0" w:firstLine="0"/>
        <w:jc w:val="left"/>
        <w:rPr>
          <w:b/>
          <w:sz w:val="18"/>
        </w:rPr>
      </w:pPr>
      <w:r>
        <w:rPr>
          <w:sz w:val="18"/>
        </w:rPr>
        <w:t>granisetron</w:t>
      </w:r>
      <w:r>
        <w:rPr>
          <w:spacing w:val="-1"/>
          <w:sz w:val="18"/>
        </w:rPr>
        <w:t> </w:t>
      </w:r>
      <w:r>
        <w:rPr>
          <w:sz w:val="18"/>
        </w:rPr>
        <w:t>tablet</w:t>
      </w:r>
      <w:r>
        <w:rPr>
          <w:spacing w:val="-1"/>
          <w:sz w:val="18"/>
        </w:rPr>
        <w:t> </w:t>
      </w:r>
      <w:r>
        <w:rPr>
          <w:sz w:val="18"/>
        </w:rPr>
        <w:t>–</w:t>
        <w:tab/>
        <w:t>Kytril # – </w:t>
      </w:r>
      <w:r>
        <w:rPr>
          <w:b/>
          <w:sz w:val="18"/>
        </w:rPr>
        <w:t>PA &gt; 15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units/</w:t>
      </w:r>
    </w:p>
    <w:p>
      <w:pPr>
        <w:pStyle w:val="Heading1"/>
        <w:tabs>
          <w:tab w:pos="2808" w:val="left" w:leader="none"/>
        </w:tabs>
        <w:spacing w:line="207" w:lineRule="exact"/>
        <w:ind w:left="270"/>
      </w:pPr>
      <w:r>
        <w:rPr/>
        <w:t>PA &gt;</w:t>
      </w:r>
      <w:r>
        <w:rPr>
          <w:spacing w:val="-5"/>
        </w:rPr>
        <w:t> </w:t>
      </w:r>
      <w:r>
        <w:rPr/>
        <w:t>15</w:t>
      </w:r>
      <w:r>
        <w:rPr>
          <w:spacing w:val="-2"/>
        </w:rPr>
        <w:t> </w:t>
      </w:r>
      <w:r>
        <w:rPr/>
        <w:t>units/month</w:t>
        <w:tab/>
        <w:t>month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370" w:val="left" w:leader="none"/>
        </w:tabs>
        <w:spacing w:line="240" w:lineRule="auto" w:before="0" w:after="0"/>
        <w:ind w:left="369" w:right="0" w:hanging="250"/>
        <w:jc w:val="left"/>
        <w:rPr>
          <w:b/>
          <w:sz w:val="18"/>
        </w:rPr>
      </w:pPr>
      <w:r>
        <w:rPr>
          <w:b/>
          <w:sz w:val="18"/>
        </w:rPr>
        <w:t>Change in PA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Status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407" w:val="left" w:leader="none"/>
        </w:tabs>
        <w:spacing w:line="240" w:lineRule="auto" w:before="0" w:after="0"/>
        <w:ind w:left="407" w:right="85" w:hanging="288"/>
        <w:jc w:val="left"/>
        <w:rPr>
          <w:sz w:val="18"/>
        </w:rPr>
      </w:pPr>
      <w:r>
        <w:rPr>
          <w:sz w:val="18"/>
        </w:rPr>
        <w:t>The PA requirements for Prevacid capsules and solutabs are changing. The following PA requirements are effective April 15, 2008. Please see Table 3 for a complete list of PA requirements for the Proton Pump</w:t>
      </w:r>
      <w:r>
        <w:rPr>
          <w:spacing w:val="-6"/>
          <w:sz w:val="18"/>
        </w:rPr>
        <w:t> </w:t>
      </w:r>
      <w:r>
        <w:rPr>
          <w:sz w:val="18"/>
        </w:rPr>
        <w:t>Inhibitors.</w:t>
      </w:r>
    </w:p>
    <w:p>
      <w:pPr>
        <w:spacing w:before="119"/>
        <w:ind w:left="407" w:right="0" w:firstLine="0"/>
        <w:jc w:val="left"/>
        <w:rPr>
          <w:b/>
          <w:sz w:val="18"/>
        </w:rPr>
      </w:pPr>
      <w:r>
        <w:rPr>
          <w:sz w:val="18"/>
        </w:rPr>
        <w:t>Prevacid (lansoprazole) capsule – </w:t>
      </w:r>
      <w:r>
        <w:rPr>
          <w:b/>
          <w:sz w:val="18"/>
        </w:rPr>
        <w:t>PA ≥ 2 years</w:t>
      </w:r>
    </w:p>
    <w:p>
      <w:pPr>
        <w:pStyle w:val="BodyText"/>
        <w:spacing w:line="206" w:lineRule="exact" w:before="2"/>
        <w:ind w:left="407"/>
      </w:pPr>
      <w:r>
        <w:rPr/>
        <w:t>Prevacid SoluTab (lansoprazole, orally disintegrating tablet)</w:t>
      </w:r>
    </w:p>
    <w:p>
      <w:pPr>
        <w:pStyle w:val="Heading1"/>
        <w:spacing w:line="206" w:lineRule="exact"/>
        <w:ind w:left="587"/>
      </w:pPr>
      <w:r>
        <w:rPr>
          <w:b w:val="0"/>
        </w:rPr>
        <w:t>– </w:t>
      </w:r>
      <w:r>
        <w:rPr/>
        <w:t>PA≥ 2 years</w:t>
      </w:r>
    </w:p>
    <w:p>
      <w:pPr>
        <w:pStyle w:val="ListParagraph"/>
        <w:numPr>
          <w:ilvl w:val="1"/>
          <w:numId w:val="2"/>
        </w:numPr>
        <w:tabs>
          <w:tab w:pos="487" w:val="left" w:leader="none"/>
          <w:tab w:pos="488" w:val="left" w:leader="none"/>
        </w:tabs>
        <w:spacing w:line="240" w:lineRule="auto" w:before="153" w:after="0"/>
        <w:ind w:left="487" w:right="0" w:hanging="350"/>
        <w:jc w:val="left"/>
        <w:rPr>
          <w:sz w:val="18"/>
        </w:rPr>
      </w:pPr>
      <w:r>
        <w:rPr>
          <w:spacing w:val="0"/>
          <w:w w:val="100"/>
          <w:sz w:val="18"/>
        </w:rPr>
        <w:br w:type="column"/>
      </w:r>
      <w:r>
        <w:rPr>
          <w:sz w:val="18"/>
        </w:rPr>
        <w:t>The following PA requirements are effective April 15,</w:t>
      </w:r>
      <w:r>
        <w:rPr>
          <w:spacing w:val="-24"/>
          <w:sz w:val="18"/>
        </w:rPr>
        <w:t> </w:t>
      </w:r>
      <w:r>
        <w:rPr>
          <w:sz w:val="18"/>
        </w:rPr>
        <w:t>2008.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479" w:right="2660" w:firstLine="17"/>
        <w:rPr>
          <w:b/>
        </w:rPr>
      </w:pPr>
      <w:r>
        <w:rPr/>
        <w:t>clindamycin 300 mg – </w:t>
      </w:r>
      <w:r>
        <w:rPr>
          <w:b/>
        </w:rPr>
        <w:t>PA </w:t>
      </w:r>
      <w:r>
        <w:rPr/>
        <w:t>Zyvox (linezolid), oral – </w:t>
      </w:r>
      <w:r>
        <w:rPr>
          <w:b/>
        </w:rPr>
        <w:t>PA </w:t>
      </w:r>
      <w:r>
        <w:rPr/>
        <w:t>Zyflo (zileuton) – </w:t>
      </w:r>
      <w:r>
        <w:rPr>
          <w:b/>
        </w:rPr>
        <w:t>PA</w:t>
      </w:r>
    </w:p>
    <w:p>
      <w:pPr>
        <w:pStyle w:val="BodyText"/>
        <w:rPr>
          <w:b/>
        </w:rPr>
      </w:pPr>
    </w:p>
    <w:p>
      <w:pPr>
        <w:pStyle w:val="Heading1"/>
        <w:numPr>
          <w:ilvl w:val="0"/>
          <w:numId w:val="2"/>
        </w:numPr>
        <w:tabs>
          <w:tab w:pos="371" w:val="left" w:leader="none"/>
        </w:tabs>
        <w:spacing w:line="240" w:lineRule="auto" w:before="0" w:after="0"/>
        <w:ind w:left="370" w:right="0" w:hanging="251"/>
        <w:jc w:val="left"/>
      </w:pPr>
      <w:r>
        <w:rPr/>
        <w:t>Updated MassHealth Nonlegend (OTC) Drug</w:t>
      </w:r>
      <w:r>
        <w:rPr>
          <w:spacing w:val="-4"/>
        </w:rPr>
        <w:t> </w:t>
      </w:r>
      <w:r>
        <w:rPr/>
        <w:t>List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19" w:right="128"/>
      </w:pPr>
      <w:r>
        <w:rPr/>
        <w:t>The MassHealth Nonlegend (OTC) Drug List has been updated to include the following drug.</w:t>
      </w:r>
    </w:p>
    <w:p>
      <w:pPr>
        <w:pStyle w:val="BodyText"/>
        <w:spacing w:before="120"/>
        <w:ind w:left="479"/>
      </w:pPr>
      <w:r>
        <w:rPr/>
        <w:t>cetirizine tablet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numPr>
          <w:ilvl w:val="0"/>
          <w:numId w:val="2"/>
        </w:numPr>
        <w:tabs>
          <w:tab w:pos="371" w:val="left" w:leader="none"/>
        </w:tabs>
        <w:spacing w:line="240" w:lineRule="auto" w:before="0" w:after="0"/>
        <w:ind w:left="370" w:right="0" w:hanging="251"/>
        <w:jc w:val="left"/>
      </w:pPr>
      <w:r>
        <w:rPr/>
        <w:t>Deletions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479" w:val="left" w:leader="none"/>
          <w:tab w:pos="480" w:val="left" w:leader="none"/>
        </w:tabs>
        <w:spacing w:line="240" w:lineRule="auto" w:before="0" w:after="0"/>
        <w:ind w:left="493" w:right="515" w:hanging="374"/>
        <w:jc w:val="left"/>
        <w:rPr>
          <w:sz w:val="18"/>
        </w:rPr>
      </w:pPr>
      <w:r>
        <w:rPr>
          <w:sz w:val="18"/>
        </w:rPr>
        <w:t>The following drugs have been deleted from the MassHealth Drug List because they are now</w:t>
      </w:r>
      <w:r>
        <w:rPr>
          <w:spacing w:val="-28"/>
          <w:sz w:val="18"/>
        </w:rPr>
        <w:t> </w:t>
      </w:r>
      <w:r>
        <w:rPr>
          <w:sz w:val="18"/>
        </w:rPr>
        <w:t>over-the- counter.</w:t>
      </w:r>
    </w:p>
    <w:p>
      <w:pPr>
        <w:pStyle w:val="BodyText"/>
      </w:pPr>
    </w:p>
    <w:p>
      <w:pPr>
        <w:pStyle w:val="BodyText"/>
        <w:spacing w:line="207" w:lineRule="exact"/>
        <w:ind w:left="493"/>
      </w:pPr>
      <w:r>
        <w:rPr/>
        <w:t>Zyrtec (cetirizine)</w:t>
      </w:r>
    </w:p>
    <w:p>
      <w:pPr>
        <w:pStyle w:val="BodyText"/>
        <w:spacing w:line="207" w:lineRule="exact"/>
        <w:ind w:left="497"/>
      </w:pPr>
      <w:r>
        <w:rPr/>
        <w:t>Zyrtec-D (cetirizine/pseudoephedrine)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419" w:val="left" w:leader="none"/>
        </w:tabs>
        <w:spacing w:line="240" w:lineRule="auto" w:before="0" w:after="0"/>
        <w:ind w:left="493" w:right="111" w:hanging="374"/>
        <w:jc w:val="left"/>
        <w:rPr>
          <w:sz w:val="18"/>
        </w:rPr>
      </w:pPr>
      <w:r>
        <w:rPr>
          <w:sz w:val="18"/>
        </w:rPr>
        <w:t>The following medications have been deleted from the MassHealth Drug List. MassHealth does not pay for legend or nonlegend preparations for cosmetic</w:t>
      </w:r>
      <w:r>
        <w:rPr>
          <w:spacing w:val="-7"/>
          <w:sz w:val="18"/>
        </w:rPr>
        <w:t> </w:t>
      </w:r>
      <w:r>
        <w:rPr>
          <w:sz w:val="18"/>
        </w:rPr>
        <w:t>purposes.</w:t>
      </w:r>
    </w:p>
    <w:p>
      <w:pPr>
        <w:pStyle w:val="BodyText"/>
      </w:pPr>
    </w:p>
    <w:p>
      <w:pPr>
        <w:pStyle w:val="BodyText"/>
        <w:ind w:left="497" w:right="2392"/>
      </w:pPr>
      <w:r>
        <w:rPr/>
        <w:t>Drysol (aluminum chloride) Xerac AC (aluminum chloride)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478" w:val="left" w:leader="none"/>
          <w:tab w:pos="479" w:val="left" w:leader="none"/>
        </w:tabs>
        <w:spacing w:line="240" w:lineRule="auto" w:before="0" w:after="0"/>
        <w:ind w:left="493" w:right="232" w:hanging="374"/>
        <w:jc w:val="left"/>
        <w:rPr>
          <w:sz w:val="18"/>
        </w:rPr>
      </w:pPr>
      <w:r>
        <w:rPr>
          <w:sz w:val="18"/>
        </w:rPr>
        <w:t>The following drugs have been deleted from the MassHealth Drug List because they were discontinued by the</w:t>
      </w:r>
      <w:r>
        <w:rPr>
          <w:spacing w:val="-1"/>
          <w:sz w:val="18"/>
        </w:rPr>
        <w:t> </w:t>
      </w:r>
      <w:r>
        <w:rPr>
          <w:sz w:val="18"/>
        </w:rPr>
        <w:t>manufacturer.</w:t>
      </w:r>
    </w:p>
    <w:p>
      <w:pPr>
        <w:pStyle w:val="BodyText"/>
      </w:pPr>
    </w:p>
    <w:p>
      <w:pPr>
        <w:pStyle w:val="BodyText"/>
        <w:ind w:left="497" w:right="540"/>
      </w:pPr>
      <w:r>
        <w:rPr/>
        <w:t>Estrostep 21 (ethinyl estradiol/norethindrone) Prevacid (lansoprazole) suspension</w:t>
      </w:r>
    </w:p>
    <w:p>
      <w:pPr>
        <w:pStyle w:val="BodyText"/>
        <w:spacing w:before="11"/>
        <w:rPr>
          <w:sz w:val="17"/>
        </w:rPr>
      </w:pPr>
    </w:p>
    <w:p>
      <w:pPr>
        <w:pStyle w:val="Heading1"/>
        <w:numPr>
          <w:ilvl w:val="0"/>
          <w:numId w:val="2"/>
        </w:numPr>
        <w:tabs>
          <w:tab w:pos="320" w:val="left" w:leader="none"/>
        </w:tabs>
        <w:spacing w:line="240" w:lineRule="auto" w:before="0" w:after="0"/>
        <w:ind w:left="319" w:right="0" w:hanging="200"/>
        <w:jc w:val="left"/>
      </w:pPr>
      <w:r>
        <w:rPr/>
        <w:t>Corrections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469" w:val="left" w:leader="none"/>
          <w:tab w:pos="470" w:val="left" w:leader="none"/>
        </w:tabs>
        <w:spacing w:line="240" w:lineRule="auto" w:before="0" w:after="0"/>
        <w:ind w:left="497" w:right="269" w:hanging="378"/>
        <w:jc w:val="left"/>
        <w:rPr>
          <w:sz w:val="18"/>
        </w:rPr>
      </w:pPr>
      <w:r>
        <w:rPr>
          <w:sz w:val="18"/>
        </w:rPr>
        <w:t>The age restrictions for the following drugs have been added to the MassHealth Drug List. They were omitted</w:t>
      </w:r>
      <w:r>
        <w:rPr>
          <w:spacing w:val="-30"/>
          <w:sz w:val="18"/>
        </w:rPr>
        <w:t> </w:t>
      </w:r>
      <w:r>
        <w:rPr>
          <w:sz w:val="18"/>
        </w:rPr>
        <w:t>in error.</w:t>
      </w:r>
    </w:p>
    <w:p>
      <w:pPr>
        <w:pStyle w:val="BodyText"/>
        <w:spacing w:before="10"/>
        <w:rPr>
          <w:sz w:val="17"/>
        </w:rPr>
      </w:pPr>
    </w:p>
    <w:p>
      <w:pPr>
        <w:spacing w:line="207" w:lineRule="exact" w:before="0"/>
        <w:ind w:left="497" w:right="0" w:firstLine="0"/>
        <w:jc w:val="left"/>
        <w:rPr>
          <w:b/>
          <w:sz w:val="18"/>
        </w:rPr>
      </w:pPr>
      <w:r>
        <w:rPr>
          <w:sz w:val="18"/>
        </w:rPr>
        <w:t>Zostavax (herpes zoster vaccine) – </w:t>
      </w:r>
      <w:r>
        <w:rPr>
          <w:b/>
          <w:sz w:val="18"/>
        </w:rPr>
        <w:t>PA &lt; 60 years</w:t>
      </w:r>
    </w:p>
    <w:p>
      <w:pPr>
        <w:spacing w:before="0"/>
        <w:ind w:left="677" w:right="265" w:hanging="180"/>
        <w:jc w:val="left"/>
        <w:rPr>
          <w:b/>
          <w:sz w:val="18"/>
        </w:rPr>
      </w:pPr>
      <w:r>
        <w:rPr>
          <w:sz w:val="18"/>
        </w:rPr>
        <w:t>Gardasil (human papillomavirus vaccine) – </w:t>
      </w:r>
      <w:r>
        <w:rPr>
          <w:b/>
          <w:sz w:val="18"/>
        </w:rPr>
        <w:t>PA &lt; 9 years and &gt; 26 years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487" w:val="left" w:leader="none"/>
          <w:tab w:pos="488" w:val="left" w:leader="none"/>
        </w:tabs>
        <w:spacing w:line="240" w:lineRule="auto" w:before="0" w:after="0"/>
        <w:ind w:left="497" w:right="318" w:hanging="360"/>
        <w:jc w:val="left"/>
        <w:rPr>
          <w:sz w:val="18"/>
        </w:rPr>
      </w:pPr>
      <w:r>
        <w:rPr>
          <w:sz w:val="18"/>
        </w:rPr>
        <w:t>The following drugs have been added to the</w:t>
      </w:r>
      <w:r>
        <w:rPr>
          <w:spacing w:val="-23"/>
          <w:sz w:val="18"/>
        </w:rPr>
        <w:t> </w:t>
      </w:r>
      <w:r>
        <w:rPr>
          <w:sz w:val="18"/>
        </w:rPr>
        <w:t>MassHealth Drug List. They were omitted in</w:t>
      </w:r>
      <w:r>
        <w:rPr>
          <w:spacing w:val="-7"/>
          <w:sz w:val="18"/>
        </w:rPr>
        <w:t> </w:t>
      </w:r>
      <w:r>
        <w:rPr>
          <w:sz w:val="18"/>
        </w:rPr>
        <w:t>error.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677" w:right="1491" w:hanging="180"/>
        <w:rPr>
          <w:b/>
        </w:rPr>
      </w:pPr>
      <w:r>
        <w:rPr/>
        <w:t>HalfLytely (polyethylene glycol-electrolyte solution/bisacodyl) - </w:t>
      </w:r>
      <w:r>
        <w:rPr>
          <w:b/>
        </w:rPr>
        <w:t>PA</w:t>
      </w:r>
    </w:p>
    <w:p>
      <w:pPr>
        <w:pStyle w:val="BodyText"/>
        <w:spacing w:line="206" w:lineRule="exact"/>
        <w:ind w:left="497"/>
        <w:rPr>
          <w:b/>
        </w:rPr>
      </w:pPr>
      <w:r>
        <w:rPr/>
        <w:t>Supprelin LA (histrelin) – </w:t>
      </w:r>
      <w:r>
        <w:rPr>
          <w:b/>
        </w:rPr>
        <w:t>PA</w:t>
      </w:r>
    </w:p>
    <w:p>
      <w:pPr>
        <w:pStyle w:val="BodyText"/>
        <w:spacing w:before="1"/>
        <w:ind w:left="497"/>
        <w:rPr>
          <w:b/>
        </w:rPr>
      </w:pPr>
      <w:r>
        <w:rPr/>
        <w:t>Vantas (histrelin) – </w:t>
      </w:r>
      <w:r>
        <w:rPr>
          <w:b/>
        </w:rPr>
        <w:t>PA</w:t>
      </w:r>
    </w:p>
    <w:p>
      <w:pPr>
        <w:spacing w:after="0"/>
        <w:sectPr>
          <w:type w:val="continuous"/>
          <w:pgSz w:w="12240" w:h="15840"/>
          <w:pgMar w:top="380" w:bottom="0" w:left="860" w:right="760"/>
          <w:cols w:num="2" w:equalWidth="0">
            <w:col w:w="5198" w:space="112"/>
            <w:col w:w="5310"/>
          </w:cols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41.639999pt;margin-top:19.376471pt;width:542.4pt;height:107.85pt;mso-position-horizontal-relative:page;mso-position-vertical-relative:page;z-index:-4432" coordorigin="833,388" coordsize="10848,2157">
            <v:shape style="position:absolute;left:832;top:387;width:10848;height:2157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591;top:1332;width:1188;height:503" type="#_x0000_t202" filled="false" stroked="false">
              <v:textbox inset="0,0,0,0">
                <w:txbxContent>
                  <w:p>
                    <w:pPr>
                      <w:spacing w:line="229" w:lineRule="exact" w:before="0"/>
                      <w:ind w:left="0" w:right="0" w:firstLine="0"/>
                      <w:jc w:val="left"/>
                      <w:rPr>
                        <w:rFonts w:ascii="Arial Narrow"/>
                        <w:b/>
                        <w:sz w:val="20"/>
                      </w:rPr>
                    </w:pPr>
                    <w:r>
                      <w:rPr>
                        <w:rFonts w:ascii="Arial Narrow"/>
                        <w:b/>
                        <w:sz w:val="20"/>
                      </w:rPr>
                      <w:t>Number 35</w:t>
                    </w:r>
                  </w:p>
                  <w:p>
                    <w:pPr>
                      <w:spacing w:before="44"/>
                      <w:ind w:left="0" w:right="0" w:firstLine="0"/>
                      <w:jc w:val="left"/>
                      <w:rPr>
                        <w:rFonts w:ascii="Arial Narrow"/>
                        <w:b/>
                        <w:sz w:val="20"/>
                      </w:rPr>
                    </w:pPr>
                    <w:r>
                      <w:rPr>
                        <w:rFonts w:ascii="Arial Narrow"/>
                        <w:b/>
                        <w:sz w:val="20"/>
                      </w:rPr>
                      <w:t>March 28, 2008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5.360001pt;margin-top:749.190002pt;width:549pt;height:1.35pt;mso-position-horizontal-relative:page;mso-position-vertical-relative:page;z-index:1120" coordorigin="907,14984" coordsize="10980,27" path="m907,14984l11887,14984m907,15010l11887,15010e" filled="false" stroked="true" strokeweight=".66pt" strokecolor="#000000">
            <v:path arrowok="t"/>
            <v:stroke dashstyle="solid"/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8"/>
        </w:rPr>
      </w:pPr>
    </w:p>
    <w:p>
      <w:pPr>
        <w:spacing w:before="93"/>
        <w:ind w:left="1660" w:right="1041" w:firstLine="0"/>
        <w:jc w:val="center"/>
        <w:rPr>
          <w:sz w:val="21"/>
        </w:rPr>
      </w:pPr>
      <w:r>
        <w:rPr>
          <w:sz w:val="21"/>
        </w:rPr>
        <w:t>Please direct any questions or comments (or to be taken off of this fax distribution) to</w:t>
      </w:r>
    </w:p>
    <w:p>
      <w:pPr>
        <w:spacing w:before="0"/>
        <w:ind w:left="1659" w:right="1041" w:firstLine="0"/>
        <w:jc w:val="center"/>
        <w:rPr>
          <w:sz w:val="21"/>
        </w:rPr>
      </w:pPr>
      <w:r>
        <w:rPr>
          <w:rFonts w:ascii="Arial Black"/>
          <w:b/>
          <w:sz w:val="21"/>
        </w:rPr>
        <w:t>Victor Moquin </w:t>
      </w:r>
      <w:r>
        <w:rPr>
          <w:sz w:val="21"/>
        </w:rPr>
        <w:t>of ACS at 617-423-9830.</w:t>
      </w:r>
    </w:p>
    <w:sectPr>
      <w:type w:val="continuous"/>
      <w:pgSz w:w="12240" w:h="15840"/>
      <w:pgMar w:top="380" w:bottom="0" w:left="86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%1."/>
      <w:lvlJc w:val="left"/>
      <w:pPr>
        <w:ind w:left="497" w:hanging="351"/>
        <w:jc w:val="left"/>
      </w:pPr>
      <w:rPr>
        <w:rFonts w:hint="default" w:ascii="Arial" w:hAnsi="Arial" w:eastAsia="Arial" w:cs="Arial"/>
        <w:spacing w:val="-3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980" w:hanging="3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1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42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23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04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85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66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47" w:hanging="351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493" w:hanging="360"/>
        <w:jc w:val="left"/>
      </w:pPr>
      <w:rPr>
        <w:rFonts w:hint="default" w:ascii="Arial" w:hAnsi="Arial" w:eastAsia="Arial" w:cs="Arial"/>
        <w:spacing w:val="-3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98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4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23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04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8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6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47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72" w:hanging="254"/>
        <w:jc w:val="left"/>
      </w:pPr>
      <w:rPr>
        <w:rFonts w:hint="default" w:ascii="Arial" w:hAnsi="Arial" w:eastAsia="Arial" w:cs="Arial"/>
        <w:b/>
        <w:bCs/>
        <w:spacing w:val="-6"/>
        <w:w w:val="100"/>
        <w:sz w:val="18"/>
        <w:szCs w:val="18"/>
      </w:rPr>
    </w:lvl>
    <w:lvl w:ilvl="1">
      <w:start w:val="1"/>
      <w:numFmt w:val="lowerLetter"/>
      <w:lvlText w:val="%2."/>
      <w:lvlJc w:val="left"/>
      <w:pPr>
        <w:ind w:left="407" w:hanging="288"/>
        <w:jc w:val="left"/>
      </w:pPr>
      <w:rPr>
        <w:rFonts w:hint="default" w:ascii="Arial" w:hAnsi="Arial" w:eastAsia="Arial" w:cs="Arial"/>
        <w:spacing w:val="-13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740" w:hanging="2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97" w:hanging="2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54" w:hanging="2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11" w:hanging="2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968" w:hanging="2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526" w:hanging="2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083" w:hanging="288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818" w:hanging="150"/>
      </w:pPr>
      <w:rPr>
        <w:rFonts w:hint="default" w:ascii="Arial Black" w:hAnsi="Arial Black" w:eastAsia="Arial Black" w:cs="Arial Black"/>
        <w:b/>
        <w:bCs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2700" w:hanging="1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80" w:hanging="1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0" w:hanging="1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40" w:hanging="1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20" w:hanging="1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00" w:hanging="1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80" w:hanging="1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60" w:hanging="15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Arial" w:hAnsi="Arial" w:eastAsia="Arial" w:cs="Arial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>
      <w:ind w:left="493" w:hanging="37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mass.gov/masshealth/pharmacy" TargetMode="Externa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Psousa</dc:creator>
  <dc:title>Microsoft Word - Pharmacy Facts #35-03-28-08.doc</dc:title>
  <dcterms:created xsi:type="dcterms:W3CDTF">2017-11-20T19:07:57Z</dcterms:created>
  <dcterms:modified xsi:type="dcterms:W3CDTF">2017-11-20T19:07:57Z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2008-03-31T00:00:00Z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2017-11-20T00:00:00Z</vt:filetime>
  </property>
</Properties>
</file>