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spacing w:before="0" w:after="2"/>
        <w:ind w:left="844" w:right="1541" w:firstLine="0"/>
        <w:jc w:val="center"/>
        <w:rPr>
          <w:rFonts w:ascii="Arial Narrow"/>
          <w:sz w:val="18"/>
        </w:rPr>
      </w:pPr>
      <w:r>
        <w:rPr/>
        <w:pict>
          <v:group style="position:absolute;margin-left:41.279999pt;margin-top:-105.210442pt;width:542.4pt;height:107.85pt;mso-position-horizontal-relative:page;mso-position-vertical-relative:paragraph;z-index:-3280" coordorigin="826,-2104" coordsize="10848,2157">
            <v:shape style="position:absolute;left:825;top:-2105;width:10848;height:2157" type="#_x0000_t75" stroked="false">
              <v:imagedata r:id="rId5" o:title=""/>
            </v:shape>
            <v:shapetype id="_x0000_t202" o:spt="202" coordsize="21600,21600" path="m,l,21600r21600,l21600,xe">
              <v:stroke joinstyle="miter"/>
              <v:path gradientshapeok="t" o:connecttype="rect"/>
            </v:shapetype>
            <v:shape style="position:absolute;left:1584;top:-1160;width:1397;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37</w:t>
                    </w:r>
                  </w:p>
                  <w:p>
                    <w:pPr>
                      <w:spacing w:before="44"/>
                      <w:ind w:left="0" w:right="0" w:firstLine="0"/>
                      <w:jc w:val="left"/>
                      <w:rPr>
                        <w:rFonts w:ascii="Arial Narrow"/>
                        <w:b/>
                        <w:sz w:val="20"/>
                      </w:rPr>
                    </w:pPr>
                    <w:r>
                      <w:rPr>
                        <w:rFonts w:ascii="Arial Narrow"/>
                        <w:b/>
                        <w:sz w:val="20"/>
                      </w:rPr>
                      <w:t>April 4, 2008 2008</w:t>
                    </w:r>
                  </w:p>
                </w:txbxContent>
              </v:textbox>
              <w10:wrap type="none"/>
            </v:shape>
            <w10:wrap type="none"/>
          </v:group>
        </w:pict>
      </w:r>
      <w:hyperlink r:id="rId6">
        <w:r>
          <w:rPr>
            <w:rFonts w:ascii="Arial Narrow"/>
            <w:sz w:val="18"/>
          </w:rPr>
          <w:t>www.mass.gov/masshealth/pharmacy</w:t>
        </w:r>
      </w:hyperlink>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92"/>
        <w:gridCol w:w="5339"/>
        <w:gridCol w:w="367"/>
      </w:tblGrid>
      <w:tr>
        <w:trPr>
          <w:trHeight w:val="303" w:hRule="atLeast"/>
        </w:trPr>
        <w:tc>
          <w:tcPr>
            <w:tcW w:w="10631" w:type="dxa"/>
            <w:gridSpan w:val="2"/>
            <w:tcBorders>
              <w:top w:val="single" w:sz="8" w:space="0" w:color="000000"/>
              <w:bottom w:val="single" w:sz="8" w:space="0" w:color="000000"/>
            </w:tcBorders>
          </w:tcPr>
          <w:p>
            <w:pPr>
              <w:pStyle w:val="TableParagraph"/>
              <w:numPr>
                <w:ilvl w:val="0"/>
                <w:numId w:val="1"/>
              </w:numPr>
              <w:tabs>
                <w:tab w:pos="1808" w:val="left" w:leader="none"/>
              </w:tabs>
              <w:spacing w:line="240" w:lineRule="auto" w:before="0" w:after="0"/>
              <w:ind w:left="1807"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Chuck Young</w:t>
            </w:r>
            <w:r>
              <w:rPr>
                <w:rFonts w:ascii="Arial Narrow" w:hAnsi="Arial Narrow"/>
                <w:spacing w:val="15"/>
                <w:sz w:val="18"/>
              </w:rPr>
              <w:t> </w:t>
            </w:r>
            <w:r>
              <w:rPr>
                <w:rFonts w:ascii="Arial Black" w:hAnsi="Arial Black"/>
                <w:b/>
                <w:sz w:val="18"/>
              </w:rPr>
              <w:t>•</w:t>
            </w:r>
          </w:p>
        </w:tc>
        <w:tc>
          <w:tcPr>
            <w:tcW w:w="367" w:type="dxa"/>
          </w:tcPr>
          <w:p>
            <w:pPr>
              <w:pStyle w:val="TableParagraph"/>
              <w:rPr>
                <w:rFonts w:ascii="Times New Roman"/>
                <w:sz w:val="20"/>
              </w:rPr>
            </w:pPr>
          </w:p>
        </w:tc>
      </w:tr>
      <w:tr>
        <w:trPr>
          <w:trHeight w:val="11932" w:hRule="atLeast"/>
        </w:trPr>
        <w:tc>
          <w:tcPr>
            <w:tcW w:w="5292" w:type="dxa"/>
            <w:tcBorders>
              <w:top w:val="single" w:sz="8" w:space="0" w:color="000000"/>
              <w:bottom w:val="single" w:sz="6" w:space="0" w:color="000000"/>
              <w:right w:val="single" w:sz="4" w:space="0" w:color="000000"/>
            </w:tcBorders>
          </w:tcPr>
          <w:p>
            <w:pPr>
              <w:pStyle w:val="TableParagraph"/>
              <w:spacing w:line="288" w:lineRule="auto" w:before="200"/>
              <w:ind w:left="90"/>
              <w:rPr>
                <w:rFonts w:ascii="Arial Black"/>
                <w:b/>
                <w:sz w:val="21"/>
              </w:rPr>
            </w:pPr>
            <w:r>
              <w:rPr>
                <w:rFonts w:ascii="Arial Black"/>
                <w:b/>
                <w:sz w:val="21"/>
              </w:rPr>
              <w:t>Important Tamper Resistant Prescription Update</w:t>
            </w:r>
          </w:p>
          <w:p>
            <w:pPr>
              <w:pStyle w:val="TableParagraph"/>
              <w:spacing w:before="251"/>
              <w:ind w:left="90"/>
              <w:rPr>
                <w:b/>
                <w:sz w:val="21"/>
              </w:rPr>
            </w:pPr>
            <w:r>
              <w:rPr>
                <w:b/>
                <w:sz w:val="21"/>
              </w:rPr>
              <w:t>Correction to All Provider Bulletin 167</w:t>
            </w:r>
          </w:p>
          <w:p>
            <w:pPr>
              <w:pStyle w:val="TableParagraph"/>
              <w:spacing w:line="290" w:lineRule="auto" w:before="170"/>
              <w:ind w:left="89" w:right="275"/>
              <w:rPr>
                <w:sz w:val="21"/>
              </w:rPr>
            </w:pPr>
            <w:r>
              <w:rPr>
                <w:sz w:val="21"/>
              </w:rPr>
              <w:t>In All Provider Bulletin 167 (September 2007), Mass- Health listed </w:t>
            </w:r>
            <w:r>
              <w:rPr>
                <w:b/>
                <w:sz w:val="21"/>
              </w:rPr>
              <w:t>sequentially numbered or duplicate blanks </w:t>
            </w:r>
            <w:r>
              <w:rPr>
                <w:sz w:val="21"/>
              </w:rPr>
              <w:t>as a feature that met “industry standards” to prevent the use of counterfeit prescription forms.</w:t>
            </w:r>
          </w:p>
          <w:p>
            <w:pPr>
              <w:pStyle w:val="TableParagraph"/>
              <w:spacing w:line="290" w:lineRule="auto"/>
              <w:ind w:left="89" w:right="88"/>
              <w:rPr>
                <w:sz w:val="21"/>
              </w:rPr>
            </w:pPr>
            <w:r>
              <w:rPr>
                <w:sz w:val="21"/>
              </w:rPr>
              <w:t>MassHealth has learned that some hospital providers are using these features on their computer-generated prescription paper, which in some cases may be linked to an electronic medical record (EMR).</w:t>
            </w:r>
          </w:p>
          <w:p>
            <w:pPr>
              <w:pStyle w:val="TableParagraph"/>
              <w:spacing w:line="290" w:lineRule="auto" w:before="122"/>
              <w:ind w:left="89" w:right="152"/>
              <w:rPr>
                <w:sz w:val="21"/>
              </w:rPr>
            </w:pPr>
            <w:r>
              <w:rPr>
                <w:sz w:val="21"/>
              </w:rPr>
              <w:t>According to the Centers for Medicare &amp; Medicaid Services (CMS), sequentially numbered or duplicate prescription blanks, in and of themselves, do not meet the standard for tamper resistance. That feature is only acceptable if the number is authenticated through the use of a central registry that is reported to, or maintained by, the state (such as in New York State). Massachusetts does not maintain such a registry, and we are taking steps to alert hospital-based prescribers to the CMS</w:t>
            </w:r>
            <w:r>
              <w:rPr>
                <w:spacing w:val="-1"/>
                <w:sz w:val="21"/>
              </w:rPr>
              <w:t> </w:t>
            </w:r>
            <w:r>
              <w:rPr>
                <w:sz w:val="21"/>
              </w:rPr>
              <w:t>directive.</w:t>
            </w:r>
          </w:p>
          <w:p>
            <w:pPr>
              <w:pStyle w:val="TableParagraph"/>
              <w:spacing w:line="290" w:lineRule="auto" w:before="120"/>
              <w:ind w:left="90" w:right="238"/>
              <w:rPr>
                <w:sz w:val="21"/>
              </w:rPr>
            </w:pPr>
            <w:r>
              <w:rPr>
                <w:sz w:val="21"/>
              </w:rPr>
              <w:t>If a noncompliant prescription is received, please contact the prescriber to verify the prescription. Recording the authentication in writing on the back of the prescription will meet the tamper-resistant requirements. MassHealth appreciates the pharmacist’s cooperation in helping members obtain medically necessary drugs without delay.</w:t>
            </w:r>
          </w:p>
          <w:p>
            <w:pPr>
              <w:pStyle w:val="TableParagraph"/>
              <w:spacing w:before="4"/>
              <w:rPr>
                <w:rFonts w:ascii="Arial Narrow"/>
                <w:sz w:val="17"/>
              </w:rPr>
            </w:pPr>
          </w:p>
          <w:p>
            <w:pPr>
              <w:pStyle w:val="TableParagraph"/>
              <w:spacing w:line="290" w:lineRule="auto"/>
              <w:ind w:left="90" w:right="1245"/>
              <w:rPr>
                <w:b/>
                <w:sz w:val="21"/>
              </w:rPr>
            </w:pPr>
            <w:r>
              <w:rPr>
                <w:b/>
                <w:sz w:val="21"/>
              </w:rPr>
              <w:t>Information about Computer Generated Prescriptions:</w:t>
            </w:r>
          </w:p>
          <w:p>
            <w:pPr>
              <w:pStyle w:val="TableParagraph"/>
              <w:spacing w:before="4"/>
              <w:rPr>
                <w:rFonts w:ascii="Arial Narrow"/>
                <w:sz w:val="17"/>
              </w:rPr>
            </w:pPr>
          </w:p>
          <w:p>
            <w:pPr>
              <w:pStyle w:val="TableParagraph"/>
              <w:spacing w:line="290" w:lineRule="auto"/>
              <w:ind w:left="90" w:right="254"/>
              <w:rPr>
                <w:sz w:val="21"/>
              </w:rPr>
            </w:pPr>
            <w:r>
              <w:rPr>
                <w:sz w:val="21"/>
              </w:rPr>
              <w:t>CMS recently provided updated information that may be of value to health facilities or others using computer-generated prescriptions at </w:t>
            </w:r>
            <w:hyperlink r:id="rId7">
              <w:r>
                <w:rPr>
                  <w:color w:val="0000FF"/>
                  <w:sz w:val="21"/>
                  <w:u w:val="single" w:color="0000FF"/>
                </w:rPr>
                <w:t>http://www.cms.hhs.gov/DeficitReductionAct/</w:t>
              </w:r>
            </w:hyperlink>
            <w:r>
              <w:rPr>
                <w:color w:val="0000FF"/>
                <w:sz w:val="21"/>
              </w:rPr>
              <w:t> </w:t>
            </w:r>
            <w:hyperlink r:id="rId7">
              <w:r>
                <w:rPr>
                  <w:color w:val="0000FF"/>
                  <w:sz w:val="21"/>
                  <w:u w:val="single" w:color="0000FF"/>
                </w:rPr>
                <w:t>Downloads/TamperUpdate.pdf</w:t>
              </w:r>
            </w:hyperlink>
          </w:p>
        </w:tc>
        <w:tc>
          <w:tcPr>
            <w:tcW w:w="5339" w:type="dxa"/>
            <w:tcBorders>
              <w:top w:val="single" w:sz="8" w:space="0" w:color="000000"/>
              <w:left w:val="single" w:sz="4" w:space="0" w:color="000000"/>
              <w:bottom w:val="single" w:sz="6" w:space="0" w:color="000000"/>
            </w:tcBorders>
          </w:tcPr>
          <w:p>
            <w:pPr>
              <w:pStyle w:val="TableParagraph"/>
              <w:spacing w:before="8"/>
              <w:rPr>
                <w:rFonts w:ascii="Arial Narrow"/>
                <w:sz w:val="20"/>
              </w:rPr>
            </w:pPr>
          </w:p>
          <w:p>
            <w:pPr>
              <w:pStyle w:val="TableParagraph"/>
              <w:ind w:left="117" w:right="143" w:hanging="15"/>
              <w:rPr>
                <w:sz w:val="20"/>
              </w:rPr>
            </w:pPr>
            <w:r>
              <w:rPr>
                <w:sz w:val="20"/>
              </w:rPr>
              <w:t>Following a recent discussion with CMS, MassHealth has approved the following features to satisfy the April 1st deadline for a single characteristic tamper-resistant prescription requirement.</w:t>
            </w:r>
          </w:p>
          <w:p>
            <w:pPr>
              <w:pStyle w:val="TableParagraph"/>
              <w:tabs>
                <w:tab w:pos="2280" w:val="left" w:leader="none"/>
              </w:tabs>
              <w:spacing w:before="122"/>
              <w:ind w:left="102"/>
              <w:rPr>
                <w:b/>
                <w:sz w:val="20"/>
              </w:rPr>
            </w:pPr>
            <w:r>
              <w:rPr>
                <w:b/>
                <w:sz w:val="20"/>
                <w:u w:val="thick"/>
              </w:rPr>
              <w:t>Feature</w:t>
            </w:r>
            <w:r>
              <w:rPr>
                <w:b/>
                <w:sz w:val="20"/>
              </w:rPr>
              <w:tab/>
            </w:r>
            <w:r>
              <w:rPr>
                <w:b/>
                <w:sz w:val="20"/>
                <w:u w:val="thick"/>
              </w:rPr>
              <w:t>Description</w:t>
            </w:r>
          </w:p>
          <w:p>
            <w:pPr>
              <w:pStyle w:val="TableParagraph"/>
              <w:tabs>
                <w:tab w:pos="2245" w:val="left" w:leader="none"/>
              </w:tabs>
              <w:spacing w:before="119"/>
              <w:ind w:left="268" w:right="129" w:hanging="166"/>
              <w:rPr>
                <w:sz w:val="20"/>
              </w:rPr>
            </w:pPr>
            <w:r>
              <w:rPr>
                <w:sz w:val="20"/>
              </w:rPr>
              <w:t>Quantity</w:t>
            </w:r>
            <w:r>
              <w:rPr>
                <w:spacing w:val="-3"/>
                <w:sz w:val="20"/>
              </w:rPr>
              <w:t> </w:t>
            </w:r>
            <w:r>
              <w:rPr>
                <w:sz w:val="20"/>
              </w:rPr>
              <w:t>check-off</w:t>
              <w:tab/>
              <w:t>In addition to the written quantity boxes</w:t>
              <w:tab/>
              <w:t>on the prescription, quantities</w:t>
            </w:r>
            <w:r>
              <w:rPr>
                <w:spacing w:val="-25"/>
                <w:sz w:val="20"/>
              </w:rPr>
              <w:t> </w:t>
            </w:r>
            <w:r>
              <w:rPr>
                <w:sz w:val="20"/>
              </w:rPr>
              <w:t>are</w:t>
            </w:r>
          </w:p>
          <w:p>
            <w:pPr>
              <w:pStyle w:val="TableParagraph"/>
              <w:ind w:left="2277" w:right="168"/>
              <w:rPr>
                <w:sz w:val="20"/>
              </w:rPr>
            </w:pPr>
            <w:r>
              <w:rPr>
                <w:sz w:val="20"/>
              </w:rPr>
              <w:t>indicated in ranges, ideally in groups of 25, with the highest being “151 and over.” The range box corresponding to the quantity prescribed must be checked for the prescription to be valid.</w:t>
            </w:r>
          </w:p>
          <w:p>
            <w:pPr>
              <w:pStyle w:val="TableParagraph"/>
              <w:spacing w:before="5"/>
              <w:rPr>
                <w:rFonts w:ascii="Arial Narrow"/>
                <w:sz w:val="17"/>
              </w:rPr>
            </w:pPr>
          </w:p>
          <w:p>
            <w:pPr>
              <w:pStyle w:val="TableParagraph"/>
              <w:tabs>
                <w:tab w:pos="2278" w:val="left" w:leader="none"/>
                <w:tab w:pos="2322" w:val="left" w:leader="none"/>
              </w:tabs>
              <w:ind w:left="213" w:right="298" w:hanging="111"/>
              <w:rPr>
                <w:sz w:val="20"/>
              </w:rPr>
            </w:pPr>
            <w:r>
              <w:rPr>
                <w:sz w:val="20"/>
              </w:rPr>
              <w:t>Quantity</w:t>
            </w:r>
            <w:r>
              <w:rPr>
                <w:spacing w:val="-4"/>
                <w:sz w:val="20"/>
              </w:rPr>
              <w:t> </w:t>
            </w:r>
            <w:r>
              <w:rPr>
                <w:sz w:val="20"/>
              </w:rPr>
              <w:t>Border</w:t>
            </w:r>
            <w:r>
              <w:rPr>
                <w:spacing w:val="-4"/>
                <w:sz w:val="20"/>
              </w:rPr>
              <w:t> </w:t>
            </w:r>
            <w:r>
              <w:rPr>
                <w:sz w:val="20"/>
              </w:rPr>
              <w:t>and</w:t>
              <w:tab/>
              <w:t>Quantities are surrounded by Fill</w:t>
            </w:r>
            <w:r>
              <w:rPr>
                <w:spacing w:val="-4"/>
                <w:sz w:val="20"/>
              </w:rPr>
              <w:t> </w:t>
            </w:r>
            <w:r>
              <w:rPr>
                <w:sz w:val="20"/>
              </w:rPr>
              <w:t>(for</w:t>
            </w:r>
            <w:r>
              <w:rPr>
                <w:spacing w:val="-4"/>
                <w:sz w:val="20"/>
              </w:rPr>
              <w:t> </w:t>
            </w:r>
            <w:r>
              <w:rPr>
                <w:sz w:val="20"/>
              </w:rPr>
              <w:t>computer-</w:t>
              <w:tab/>
              <w:t>special characters, such as an generated</w:t>
              <w:tab/>
              <w:t>asterisk, to prevent alteration prescriptions</w:t>
            </w:r>
            <w:r>
              <w:rPr>
                <w:spacing w:val="-3"/>
                <w:sz w:val="20"/>
              </w:rPr>
              <w:t> </w:t>
            </w:r>
            <w:r>
              <w:rPr>
                <w:sz w:val="20"/>
              </w:rPr>
              <w:t>on</w:t>
              <w:tab/>
              <w:t>(e.g. QTY **50**). Values may paper</w:t>
            </w:r>
            <w:r>
              <w:rPr>
                <w:spacing w:val="-4"/>
                <w:sz w:val="20"/>
              </w:rPr>
              <w:t> </w:t>
            </w:r>
            <w:r>
              <w:rPr>
                <w:sz w:val="20"/>
              </w:rPr>
              <w:t>only)</w:t>
              <w:tab/>
              <w:tab/>
              <w:t>also be expressed as text,</w:t>
            </w:r>
            <w:r>
              <w:rPr>
                <w:spacing w:val="-21"/>
                <w:sz w:val="20"/>
              </w:rPr>
              <w:t> </w:t>
            </w:r>
            <w:r>
              <w:rPr>
                <w:sz w:val="20"/>
              </w:rPr>
              <w:t>e.g.</w:t>
            </w:r>
          </w:p>
          <w:p>
            <w:pPr>
              <w:pStyle w:val="TableParagraph"/>
              <w:spacing w:before="1"/>
              <w:ind w:left="2277"/>
              <w:rPr>
                <w:sz w:val="20"/>
              </w:rPr>
            </w:pPr>
            <w:r>
              <w:rPr>
                <w:sz w:val="20"/>
              </w:rPr>
              <w:t>(FIFTY).</w:t>
            </w:r>
          </w:p>
          <w:p>
            <w:pPr>
              <w:pStyle w:val="TableParagraph"/>
              <w:spacing w:before="5"/>
              <w:rPr>
                <w:rFonts w:ascii="Arial Narrow"/>
                <w:sz w:val="17"/>
              </w:rPr>
            </w:pPr>
          </w:p>
          <w:p>
            <w:pPr>
              <w:pStyle w:val="TableParagraph"/>
              <w:tabs>
                <w:tab w:pos="2267" w:val="left" w:leader="none"/>
              </w:tabs>
              <w:ind w:left="213" w:right="207" w:hanging="111"/>
              <w:rPr>
                <w:sz w:val="20"/>
              </w:rPr>
            </w:pPr>
            <w:r>
              <w:rPr>
                <w:sz w:val="20"/>
              </w:rPr>
              <w:t>Refill Border</w:t>
            </w:r>
            <w:r>
              <w:rPr>
                <w:spacing w:val="-8"/>
                <w:sz w:val="20"/>
              </w:rPr>
              <w:t> </w:t>
            </w:r>
            <w:r>
              <w:rPr>
                <w:sz w:val="20"/>
              </w:rPr>
              <w:t>and</w:t>
            </w:r>
            <w:r>
              <w:rPr>
                <w:spacing w:val="-4"/>
                <w:sz w:val="20"/>
              </w:rPr>
              <w:t> </w:t>
            </w:r>
            <w:r>
              <w:rPr>
                <w:sz w:val="20"/>
              </w:rPr>
              <w:t>Fill</w:t>
              <w:tab/>
              <w:t>Refill quantities are surrounded (for</w:t>
            </w:r>
            <w:r>
              <w:rPr>
                <w:spacing w:val="-2"/>
                <w:sz w:val="20"/>
              </w:rPr>
              <w:t> </w:t>
            </w:r>
            <w:r>
              <w:rPr>
                <w:sz w:val="20"/>
              </w:rPr>
              <w:t>computer</w:t>
              <w:tab/>
              <w:t>by special characters, such as generated</w:t>
              <w:tab/>
              <w:t>an asterisk, to prevent alteration prescriptions</w:t>
            </w:r>
            <w:r>
              <w:rPr>
                <w:spacing w:val="-2"/>
                <w:sz w:val="20"/>
              </w:rPr>
              <w:t> </w:t>
            </w:r>
            <w:r>
              <w:rPr>
                <w:sz w:val="20"/>
              </w:rPr>
              <w:t>on</w:t>
              <w:tab/>
              <w:t>(e.g. QTY **5**). Values may paper</w:t>
            </w:r>
            <w:r>
              <w:rPr>
                <w:spacing w:val="-4"/>
                <w:sz w:val="20"/>
              </w:rPr>
              <w:t> </w:t>
            </w:r>
            <w:r>
              <w:rPr>
                <w:sz w:val="20"/>
              </w:rPr>
              <w:t>only)</w:t>
              <w:tab/>
              <w:t>also be expressed as text,</w:t>
            </w:r>
            <w:r>
              <w:rPr>
                <w:spacing w:val="-16"/>
                <w:sz w:val="20"/>
              </w:rPr>
              <w:t> </w:t>
            </w:r>
            <w:r>
              <w:rPr>
                <w:sz w:val="20"/>
              </w:rPr>
              <w:t>e.g.</w:t>
            </w:r>
          </w:p>
          <w:p>
            <w:pPr>
              <w:pStyle w:val="TableParagraph"/>
              <w:ind w:left="2280"/>
              <w:rPr>
                <w:sz w:val="20"/>
              </w:rPr>
            </w:pPr>
            <w:r>
              <w:rPr>
                <w:sz w:val="20"/>
              </w:rPr>
              <w:t>(FIVE).</w:t>
            </w:r>
          </w:p>
          <w:p>
            <w:pPr>
              <w:pStyle w:val="TableParagraph"/>
              <w:rPr>
                <w:rFonts w:ascii="Arial Narrow"/>
                <w:sz w:val="22"/>
              </w:rPr>
            </w:pPr>
          </w:p>
          <w:p>
            <w:pPr>
              <w:pStyle w:val="TableParagraph"/>
              <w:spacing w:before="7"/>
              <w:rPr>
                <w:rFonts w:ascii="Arial Narrow"/>
                <w:sz w:val="18"/>
              </w:rPr>
            </w:pPr>
          </w:p>
          <w:p>
            <w:pPr>
              <w:pStyle w:val="TableParagraph"/>
              <w:spacing w:line="290" w:lineRule="auto"/>
              <w:ind w:left="102" w:right="239"/>
              <w:rPr>
                <w:sz w:val="21"/>
              </w:rPr>
            </w:pPr>
            <w:r>
              <w:rPr>
                <w:sz w:val="21"/>
              </w:rPr>
              <w:t>MassHealth continues to recommend the preferred features previously published to comply with all three characteristics by the October 1, 2008, deadline as described in Pharmacy Facts #34, dated March 21, 2008, at </w:t>
            </w:r>
            <w:hyperlink r:id="rId8">
              <w:r>
                <w:rPr>
                  <w:color w:val="0000FF"/>
                  <w:sz w:val="21"/>
                  <w:u w:val="single" w:color="0000FF"/>
                </w:rPr>
                <w:t>www.masshealth.gov/masshealth/pharmacy</w:t>
              </w:r>
            </w:hyperlink>
            <w:r>
              <w:rPr>
                <w:sz w:val="21"/>
              </w:rPr>
              <w:t>.</w:t>
            </w:r>
          </w:p>
        </w:tc>
        <w:tc>
          <w:tcPr>
            <w:tcW w:w="367" w:type="dxa"/>
            <w:tcBorders>
              <w:bottom w:val="single" w:sz="6" w:space="0" w:color="000000"/>
            </w:tcBorders>
          </w:tcPr>
          <w:p>
            <w:pPr>
              <w:pStyle w:val="TableParagraph"/>
              <w:rPr>
                <w:rFonts w:ascii="Times New Roman"/>
                <w:sz w:val="20"/>
              </w:rPr>
            </w:pPr>
          </w:p>
        </w:tc>
      </w:tr>
    </w:tbl>
    <w:p>
      <w:pPr>
        <w:pStyle w:val="BodyText"/>
        <w:spacing w:line="20" w:lineRule="exact"/>
        <w:ind w:left="113"/>
        <w:rPr>
          <w:rFonts w:ascii="Arial Narrow"/>
          <w:sz w:val="2"/>
        </w:rPr>
      </w:pPr>
      <w:r>
        <w:rPr>
          <w:rFonts w:ascii="Arial Narrow"/>
          <w:sz w:val="2"/>
        </w:rPr>
        <w:pict>
          <v:group style="width:549pt;height:.7pt;mso-position-horizontal-relative:char;mso-position-vertical-relative:line" coordorigin="0,0" coordsize="10980,14">
            <v:line style="position:absolute" from="0,7" to="10980,7" stroked="true" strokeweight=".66pt" strokecolor="#000000">
              <v:stroke dashstyle="solid"/>
            </v:line>
          </v:group>
        </w:pict>
      </w:r>
      <w:r>
        <w:rPr>
          <w:rFonts w:ascii="Arial Narrow"/>
          <w:sz w:val="2"/>
        </w:rPr>
      </w:r>
    </w:p>
    <w:p>
      <w:pPr>
        <w:pStyle w:val="BodyText"/>
        <w:spacing w:before="94"/>
        <w:ind w:left="1740" w:right="1541"/>
        <w:jc w:val="center"/>
      </w:pPr>
      <w:r>
        <w:rPr/>
        <w:t>Please direct any questions or comments (or to be taken off of this fax distribution) to</w:t>
      </w:r>
    </w:p>
    <w:p>
      <w:pPr>
        <w:spacing w:before="0"/>
        <w:ind w:left="1739" w:right="1541" w:firstLine="0"/>
        <w:jc w:val="center"/>
        <w:rPr>
          <w:sz w:val="21"/>
        </w:rPr>
      </w:pPr>
      <w:r>
        <w:rPr>
          <w:rFonts w:ascii="Arial Black"/>
          <w:b/>
          <w:sz w:val="21"/>
        </w:rPr>
        <w:t>Victor Moquin </w:t>
      </w:r>
      <w:r>
        <w:rPr>
          <w:sz w:val="21"/>
        </w:rPr>
        <w:t>of ACS at 617-423-9830.</w:t>
      </w:r>
    </w:p>
    <w:sectPr>
      <w:type w:val="continuous"/>
      <w:pgSz w:w="12240" w:h="15840"/>
      <w:pgMar w:top="380" w:bottom="0" w:left="78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807" w:hanging="150"/>
      </w:pPr>
      <w:rPr>
        <w:rFonts w:hint="default" w:ascii="Arial Black" w:hAnsi="Arial Black" w:eastAsia="Arial Black" w:cs="Arial Black"/>
        <w:b/>
        <w:bCs/>
        <w:w w:val="100"/>
        <w:sz w:val="18"/>
        <w:szCs w:val="18"/>
        <w:lang w:val="en-us" w:eastAsia="en-us" w:bidi="en-us"/>
      </w:rPr>
    </w:lvl>
    <w:lvl w:ilvl="1">
      <w:start w:val="0"/>
      <w:numFmt w:val="bullet"/>
      <w:lvlText w:val="•"/>
      <w:lvlJc w:val="left"/>
      <w:pPr>
        <w:ind w:left="2683" w:hanging="150"/>
      </w:pPr>
      <w:rPr>
        <w:rFonts w:hint="default"/>
        <w:lang w:val="en-us" w:eastAsia="en-us" w:bidi="en-us"/>
      </w:rPr>
    </w:lvl>
    <w:lvl w:ilvl="2">
      <w:start w:val="0"/>
      <w:numFmt w:val="bullet"/>
      <w:lvlText w:val="•"/>
      <w:lvlJc w:val="left"/>
      <w:pPr>
        <w:ind w:left="3566" w:hanging="150"/>
      </w:pPr>
      <w:rPr>
        <w:rFonts w:hint="default"/>
        <w:lang w:val="en-us" w:eastAsia="en-us" w:bidi="en-us"/>
      </w:rPr>
    </w:lvl>
    <w:lvl w:ilvl="3">
      <w:start w:val="0"/>
      <w:numFmt w:val="bullet"/>
      <w:lvlText w:val="•"/>
      <w:lvlJc w:val="left"/>
      <w:pPr>
        <w:ind w:left="4449" w:hanging="150"/>
      </w:pPr>
      <w:rPr>
        <w:rFonts w:hint="default"/>
        <w:lang w:val="en-us" w:eastAsia="en-us" w:bidi="en-us"/>
      </w:rPr>
    </w:lvl>
    <w:lvl w:ilvl="4">
      <w:start w:val="0"/>
      <w:numFmt w:val="bullet"/>
      <w:lvlText w:val="•"/>
      <w:lvlJc w:val="left"/>
      <w:pPr>
        <w:ind w:left="5332" w:hanging="150"/>
      </w:pPr>
      <w:rPr>
        <w:rFonts w:hint="default"/>
        <w:lang w:val="en-us" w:eastAsia="en-us" w:bidi="en-us"/>
      </w:rPr>
    </w:lvl>
    <w:lvl w:ilvl="5">
      <w:start w:val="0"/>
      <w:numFmt w:val="bullet"/>
      <w:lvlText w:val="•"/>
      <w:lvlJc w:val="left"/>
      <w:pPr>
        <w:ind w:left="6215" w:hanging="150"/>
      </w:pPr>
      <w:rPr>
        <w:rFonts w:hint="default"/>
        <w:lang w:val="en-us" w:eastAsia="en-us" w:bidi="en-us"/>
      </w:rPr>
    </w:lvl>
    <w:lvl w:ilvl="6">
      <w:start w:val="0"/>
      <w:numFmt w:val="bullet"/>
      <w:lvlText w:val="•"/>
      <w:lvlJc w:val="left"/>
      <w:pPr>
        <w:ind w:left="7098" w:hanging="150"/>
      </w:pPr>
      <w:rPr>
        <w:rFonts w:hint="default"/>
        <w:lang w:val="en-us" w:eastAsia="en-us" w:bidi="en-us"/>
      </w:rPr>
    </w:lvl>
    <w:lvl w:ilvl="7">
      <w:start w:val="0"/>
      <w:numFmt w:val="bullet"/>
      <w:lvlText w:val="•"/>
      <w:lvlJc w:val="left"/>
      <w:pPr>
        <w:ind w:left="7981" w:hanging="150"/>
      </w:pPr>
      <w:rPr>
        <w:rFonts w:hint="default"/>
        <w:lang w:val="en-us" w:eastAsia="en-us" w:bidi="en-us"/>
      </w:rPr>
    </w:lvl>
    <w:lvl w:ilvl="8">
      <w:start w:val="0"/>
      <w:numFmt w:val="bullet"/>
      <w:lvlText w:val="•"/>
      <w:lvlJc w:val="left"/>
      <w:pPr>
        <w:ind w:left="8864" w:hanging="15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1"/>
      <w:szCs w:val="21"/>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cms.hhs.gov/DeficitReductionAct/%20Downloads/TamperUpdate.pdf" TargetMode="External"/><Relationship Id="rId8" Type="http://schemas.openxmlformats.org/officeDocument/2006/relationships/hyperlink" Target="http://www.masshealth.gov/masshealth/pharmacy"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2017-11-20T19:07:14Z</dcterms:created>
  <dcterms:modified xsi:type="dcterms:W3CDTF">2017-11-20T19:07:14Z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2008-04-04T00:00:00Z</vt:filetime>
  </property>
  <property fmtid="{D5CDD505-2E9C-101B-9397-08002B2CF9AE}" pid="3" name="Creator">
    <vt:lpwstr>Acrobat PDFMaker 8.1 for Word</vt:lpwstr>
  </property>
  <property fmtid="{D5CDD505-2E9C-101B-9397-08002B2CF9AE}" pid="4" name="LastSaved">
    <vt:filetime>2017-11-20T00:00:00Z</vt:filetime>
  </property>
</Properties>
</file>