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64" w:right="1141" w:firstLine="0"/>
        <w:jc w:val="center"/>
        <w:rPr>
          <w:rFonts w:ascii="Arial Narrow"/>
          <w:sz w:val="18"/>
        </w:rPr>
      </w:pPr>
      <w:r>
        <w:rPr/>
        <w:pict>
          <v:group style="position:absolute;margin-left:41.279999pt;margin-top:-105.210442pt;width:542.4pt;height:107.85pt;mso-position-horizontal-relative:page;mso-position-vertical-relative:paragraph;z-index:-3928"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3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48</w:t>
                    </w:r>
                  </w:p>
                  <w:p>
                    <w:pPr>
                      <w:spacing w:before="44"/>
                      <w:ind w:left="0" w:right="0" w:firstLine="0"/>
                      <w:jc w:val="left"/>
                      <w:rPr>
                        <w:rFonts w:ascii="Arial Narrow"/>
                        <w:b/>
                        <w:sz w:val="20"/>
                      </w:rPr>
                    </w:pPr>
                    <w:r>
                      <w:rPr>
                        <w:rFonts w:ascii="Arial Narrow"/>
                        <w:b/>
                        <w:sz w:val="20"/>
                      </w:rPr>
                      <w:t>January 28, 2009</w:t>
                    </w:r>
                  </w:p>
                </w:txbxContent>
              </v:textbox>
              <w10:wrap type="none"/>
            </v:shape>
            <w10:wrap type="none"/>
          </v:group>
        </w:pict>
      </w:r>
      <w:hyperlink r:id="rId6">
        <w:r>
          <w:rPr>
            <w:rFonts w:ascii="Arial Narrow"/>
            <w:sz w:val="18"/>
          </w:rPr>
          <w:t>www.mass.gov/masshealth/pharmacy</w:t>
        </w:r>
      </w:hyperlink>
    </w:p>
    <w:tbl>
      <w:tblPr>
        <w:tblW w:w="0" w:type="auto"/>
        <w:jc w:val="left"/>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10"/>
        <w:gridCol w:w="5303"/>
      </w:tblGrid>
      <w:tr>
        <w:trPr>
          <w:trHeight w:val="303" w:hRule="atLeast"/>
        </w:trPr>
        <w:tc>
          <w:tcPr>
            <w:tcW w:w="10613" w:type="dxa"/>
            <w:gridSpan w:val="2"/>
            <w:tcBorders>
              <w:left w:val="nil"/>
              <w:right w:val="nil"/>
            </w:tcBorders>
          </w:tcPr>
          <w:p>
            <w:pPr>
              <w:pStyle w:val="TableParagraph"/>
              <w:numPr>
                <w:ilvl w:val="0"/>
                <w:numId w:val="1"/>
              </w:numPr>
              <w:tabs>
                <w:tab w:pos="1353" w:val="left" w:leader="none"/>
              </w:tabs>
              <w:spacing w:line="240" w:lineRule="auto" w:before="0" w:after="0"/>
              <w:ind w:left="1352"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 Nancy Schiff</w:t>
            </w:r>
            <w:r>
              <w:rPr>
                <w:rFonts w:ascii="Arial Narrow" w:hAnsi="Arial Narrow"/>
                <w:spacing w:val="6"/>
                <w:sz w:val="18"/>
              </w:rPr>
              <w:t> </w:t>
            </w:r>
            <w:r>
              <w:rPr>
                <w:rFonts w:ascii="Arial Black" w:hAnsi="Arial Black"/>
                <w:b/>
                <w:sz w:val="18"/>
              </w:rPr>
              <w:t>•</w:t>
            </w:r>
          </w:p>
        </w:tc>
      </w:tr>
      <w:tr>
        <w:trPr>
          <w:trHeight w:val="11830" w:hRule="atLeast"/>
        </w:trPr>
        <w:tc>
          <w:tcPr>
            <w:tcW w:w="5310" w:type="dxa"/>
            <w:tcBorders>
              <w:left w:val="nil"/>
              <w:bottom w:val="single" w:sz="6" w:space="0" w:color="000000"/>
              <w:right w:val="single" w:sz="4" w:space="0" w:color="000000"/>
            </w:tcBorders>
          </w:tcPr>
          <w:p>
            <w:pPr>
              <w:pStyle w:val="TableParagraph"/>
              <w:spacing w:before="159"/>
              <w:ind w:left="107"/>
              <w:rPr>
                <w:rFonts w:ascii="Arial Black"/>
                <w:b/>
                <w:sz w:val="22"/>
              </w:rPr>
            </w:pPr>
            <w:r>
              <w:rPr>
                <w:rFonts w:ascii="Arial Black"/>
                <w:b/>
                <w:sz w:val="22"/>
              </w:rPr>
              <w:t>Copayment Changes</w:t>
            </w:r>
          </w:p>
          <w:p>
            <w:pPr>
              <w:pStyle w:val="TableParagraph"/>
              <w:spacing w:before="82"/>
              <w:ind w:left="107" w:right="396"/>
              <w:rPr>
                <w:rFonts w:ascii="Tahoma"/>
                <w:sz w:val="20"/>
              </w:rPr>
            </w:pPr>
            <w:r>
              <w:rPr>
                <w:rFonts w:ascii="Tahoma"/>
                <w:sz w:val="20"/>
              </w:rPr>
              <w:t>Effective February 1, 2009, the pharmacy copayments will be as follows.</w:t>
            </w:r>
          </w:p>
          <w:p>
            <w:pPr>
              <w:pStyle w:val="TableParagraph"/>
              <w:numPr>
                <w:ilvl w:val="0"/>
                <w:numId w:val="2"/>
              </w:numPr>
              <w:tabs>
                <w:tab w:pos="395" w:val="left" w:leader="none"/>
                <w:tab w:pos="397" w:val="left" w:leader="none"/>
              </w:tabs>
              <w:spacing w:line="240" w:lineRule="auto" w:before="79" w:after="0"/>
              <w:ind w:left="396" w:right="158" w:hanging="288"/>
              <w:jc w:val="left"/>
              <w:rPr>
                <w:rFonts w:ascii="Tahoma"/>
                <w:sz w:val="19"/>
              </w:rPr>
            </w:pPr>
            <w:r>
              <w:rPr>
                <w:rFonts w:ascii="Tahoma"/>
                <w:sz w:val="19"/>
              </w:rPr>
              <w:t>$1 for each prescription and refill for each generic drug and over-the-counter drug covered by MassHealth in</w:t>
            </w:r>
            <w:r>
              <w:rPr>
                <w:rFonts w:ascii="Tahoma"/>
                <w:spacing w:val="-38"/>
                <w:sz w:val="19"/>
              </w:rPr>
              <w:t> </w:t>
            </w:r>
            <w:r>
              <w:rPr>
                <w:rFonts w:ascii="Tahoma"/>
                <w:sz w:val="19"/>
              </w:rPr>
              <w:t>the following drug classes: antihyperglycemics, antihypertensives, and</w:t>
            </w:r>
            <w:r>
              <w:rPr>
                <w:rFonts w:ascii="Tahoma"/>
                <w:spacing w:val="-3"/>
                <w:sz w:val="19"/>
              </w:rPr>
              <w:t> </w:t>
            </w:r>
            <w:r>
              <w:rPr>
                <w:rFonts w:ascii="Tahoma"/>
                <w:sz w:val="19"/>
              </w:rPr>
              <w:t>antihyperlipidemics;</w:t>
            </w:r>
          </w:p>
          <w:p>
            <w:pPr>
              <w:pStyle w:val="TableParagraph"/>
              <w:numPr>
                <w:ilvl w:val="0"/>
                <w:numId w:val="2"/>
              </w:numPr>
              <w:tabs>
                <w:tab w:pos="395" w:val="left" w:leader="none"/>
                <w:tab w:pos="397" w:val="left" w:leader="none"/>
              </w:tabs>
              <w:spacing w:line="237" w:lineRule="auto" w:before="0" w:after="0"/>
              <w:ind w:left="396" w:right="139" w:hanging="288"/>
              <w:jc w:val="left"/>
              <w:rPr>
                <w:rFonts w:ascii="Tahoma"/>
                <w:sz w:val="19"/>
              </w:rPr>
            </w:pPr>
            <w:r>
              <w:rPr>
                <w:rFonts w:ascii="Tahoma"/>
                <w:sz w:val="19"/>
              </w:rPr>
              <w:t>$2 for each prescription and refill for other generic</w:t>
            </w:r>
            <w:r>
              <w:rPr>
                <w:rFonts w:ascii="Tahoma"/>
                <w:spacing w:val="-37"/>
                <w:sz w:val="19"/>
              </w:rPr>
              <w:t> </w:t>
            </w:r>
            <w:r>
              <w:rPr>
                <w:rFonts w:ascii="Tahoma"/>
                <w:sz w:val="19"/>
              </w:rPr>
              <w:t>drugs and over-the-counter drugs covered by</w:t>
            </w:r>
            <w:r>
              <w:rPr>
                <w:rFonts w:ascii="Tahoma"/>
                <w:spacing w:val="-6"/>
                <w:sz w:val="19"/>
              </w:rPr>
              <w:t> </w:t>
            </w:r>
            <w:r>
              <w:rPr>
                <w:rFonts w:ascii="Tahoma"/>
                <w:sz w:val="19"/>
              </w:rPr>
              <w:t>MassHealth;</w:t>
            </w:r>
          </w:p>
          <w:p>
            <w:pPr>
              <w:pStyle w:val="TableParagraph"/>
              <w:numPr>
                <w:ilvl w:val="0"/>
                <w:numId w:val="2"/>
              </w:numPr>
              <w:tabs>
                <w:tab w:pos="395" w:val="left" w:leader="none"/>
                <w:tab w:pos="397" w:val="left" w:leader="none"/>
              </w:tabs>
              <w:spacing w:line="237" w:lineRule="auto" w:before="1" w:after="0"/>
              <w:ind w:left="396" w:right="229" w:hanging="288"/>
              <w:jc w:val="left"/>
              <w:rPr>
                <w:rFonts w:ascii="Tahoma"/>
                <w:sz w:val="19"/>
              </w:rPr>
            </w:pPr>
            <w:r>
              <w:rPr>
                <w:rFonts w:ascii="Tahoma"/>
                <w:sz w:val="19"/>
              </w:rPr>
              <w:t>$3 for each prescription and refill for brand-name drugs covered by</w:t>
            </w:r>
            <w:r>
              <w:rPr>
                <w:rFonts w:ascii="Tahoma"/>
                <w:spacing w:val="-3"/>
                <w:sz w:val="19"/>
              </w:rPr>
              <w:t> </w:t>
            </w:r>
            <w:r>
              <w:rPr>
                <w:rFonts w:ascii="Tahoma"/>
                <w:sz w:val="19"/>
              </w:rPr>
              <w:t>MassHealth.</w:t>
            </w:r>
          </w:p>
          <w:p>
            <w:pPr>
              <w:pStyle w:val="TableParagraph"/>
              <w:spacing w:before="82"/>
              <w:ind w:left="107" w:right="174"/>
              <w:rPr>
                <w:rFonts w:ascii="Tahoma"/>
                <w:sz w:val="20"/>
              </w:rPr>
            </w:pPr>
            <w:r>
              <w:rPr>
                <w:rFonts w:ascii="Tahoma"/>
                <w:sz w:val="20"/>
              </w:rPr>
              <w:t>All other copayment rules remain unchanged. Please see 130 CMR 450.130 for regulations about copayments.</w:t>
            </w:r>
          </w:p>
          <w:p>
            <w:pPr>
              <w:pStyle w:val="TableParagraph"/>
              <w:spacing w:before="158"/>
              <w:ind w:left="107"/>
              <w:rPr>
                <w:rFonts w:ascii="Arial Black"/>
                <w:b/>
                <w:sz w:val="22"/>
              </w:rPr>
            </w:pPr>
            <w:r>
              <w:rPr>
                <w:rFonts w:ascii="Arial Black"/>
                <w:b/>
                <w:sz w:val="22"/>
              </w:rPr>
              <w:t>MHDL Updates</w:t>
            </w:r>
          </w:p>
          <w:p>
            <w:pPr>
              <w:pStyle w:val="TableParagraph"/>
              <w:numPr>
                <w:ilvl w:val="0"/>
                <w:numId w:val="3"/>
              </w:numPr>
              <w:tabs>
                <w:tab w:pos="469" w:val="left" w:leader="none"/>
              </w:tabs>
              <w:spacing w:line="240" w:lineRule="auto" w:before="80" w:after="0"/>
              <w:ind w:left="468" w:right="0" w:hanging="360"/>
              <w:jc w:val="left"/>
              <w:rPr>
                <w:b/>
                <w:sz w:val="20"/>
              </w:rPr>
            </w:pPr>
            <w:r>
              <w:rPr>
                <w:b/>
                <w:sz w:val="20"/>
              </w:rPr>
              <w:t>Additions</w:t>
            </w:r>
          </w:p>
          <w:p>
            <w:pPr>
              <w:pStyle w:val="TableParagraph"/>
              <w:spacing w:before="79"/>
              <w:ind w:left="122" w:right="163" w:hanging="15"/>
              <w:rPr>
                <w:sz w:val="20"/>
              </w:rPr>
            </w:pPr>
            <w:r>
              <w:rPr>
                <w:sz w:val="20"/>
              </w:rPr>
              <w:t>The following newly marketed drugs have been added to the MassHealth Drug List.</w:t>
            </w:r>
          </w:p>
          <w:p>
            <w:pPr>
              <w:pStyle w:val="TableParagraph"/>
              <w:spacing w:before="80"/>
              <w:ind w:right="2145"/>
              <w:rPr>
                <w:sz w:val="20"/>
              </w:rPr>
            </w:pPr>
            <w:r>
              <w:rPr>
                <w:sz w:val="20"/>
              </w:rPr>
              <w:t>Akten (lidocaine ophthalmic gel) Alvesco (ciclesonide)</w:t>
            </w:r>
          </w:p>
          <w:p>
            <w:pPr>
              <w:pStyle w:val="TableParagraph"/>
              <w:spacing w:line="230" w:lineRule="exact"/>
              <w:rPr>
                <w:b/>
                <w:sz w:val="20"/>
              </w:rPr>
            </w:pPr>
            <w:r>
              <w:rPr>
                <w:sz w:val="20"/>
              </w:rPr>
              <w:t>Durezol (difluprednate) – </w:t>
            </w:r>
            <w:r>
              <w:rPr>
                <w:b/>
                <w:sz w:val="20"/>
              </w:rPr>
              <w:t>PA</w:t>
            </w:r>
          </w:p>
          <w:p>
            <w:pPr>
              <w:pStyle w:val="TableParagraph"/>
              <w:rPr>
                <w:sz w:val="20"/>
              </w:rPr>
            </w:pPr>
            <w:r>
              <w:rPr>
                <w:sz w:val="20"/>
              </w:rPr>
              <w:t>Enterg </w:t>
            </w:r>
            <w:r>
              <w:rPr>
                <w:sz w:val="20"/>
                <w:vertAlign w:val="superscript"/>
              </w:rPr>
              <w:t>H</w:t>
            </w:r>
            <w:r>
              <w:rPr>
                <w:sz w:val="20"/>
                <w:vertAlign w:val="baseline"/>
              </w:rPr>
              <w:t> (alvimopan)</w:t>
            </w:r>
          </w:p>
          <w:p>
            <w:pPr>
              <w:pStyle w:val="TableParagraph"/>
              <w:spacing w:line="230" w:lineRule="exact" w:before="1"/>
              <w:rPr>
                <w:b/>
                <w:sz w:val="20"/>
              </w:rPr>
            </w:pPr>
            <w:r>
              <w:rPr>
                <w:sz w:val="20"/>
              </w:rPr>
              <w:t>Fusilev (levoleucovorin) – </w:t>
            </w:r>
            <w:r>
              <w:rPr>
                <w:b/>
                <w:sz w:val="20"/>
              </w:rPr>
              <w:t>PA</w:t>
            </w:r>
          </w:p>
          <w:p>
            <w:pPr>
              <w:pStyle w:val="TableParagraph"/>
              <w:spacing w:line="230" w:lineRule="exact"/>
              <w:rPr>
                <w:b/>
                <w:sz w:val="20"/>
              </w:rPr>
            </w:pPr>
            <w:r>
              <w:rPr>
                <w:sz w:val="20"/>
              </w:rPr>
              <w:t>Keppra XR (levetiracetam extended-release) – </w:t>
            </w:r>
            <w:r>
              <w:rPr>
                <w:b/>
                <w:sz w:val="20"/>
              </w:rPr>
              <w:t>PA</w:t>
            </w:r>
          </w:p>
          <w:p>
            <w:pPr>
              <w:pStyle w:val="TableParagraph"/>
              <w:rPr>
                <w:b/>
                <w:sz w:val="20"/>
              </w:rPr>
            </w:pPr>
            <w:r>
              <w:rPr>
                <w:sz w:val="20"/>
              </w:rPr>
              <w:t>Nplate (romiplostim) – </w:t>
            </w:r>
            <w:r>
              <w:rPr>
                <w:b/>
                <w:sz w:val="20"/>
              </w:rPr>
              <w:t>PA</w:t>
            </w:r>
          </w:p>
          <w:p>
            <w:pPr>
              <w:pStyle w:val="TableParagraph"/>
              <w:spacing w:line="230" w:lineRule="exact" w:before="1"/>
              <w:rPr>
                <w:b/>
                <w:sz w:val="20"/>
              </w:rPr>
            </w:pPr>
            <w:r>
              <w:rPr>
                <w:sz w:val="20"/>
              </w:rPr>
              <w:t>Nucort (hydrocortisone/aloe vera) – </w:t>
            </w:r>
            <w:r>
              <w:rPr>
                <w:b/>
                <w:sz w:val="20"/>
              </w:rPr>
              <w:t>PA</w:t>
            </w:r>
          </w:p>
          <w:p>
            <w:pPr>
              <w:pStyle w:val="TableParagraph"/>
              <w:spacing w:line="230" w:lineRule="exact"/>
              <w:rPr>
                <w:b/>
                <w:sz w:val="20"/>
              </w:rPr>
            </w:pPr>
            <w:r>
              <w:rPr>
                <w:sz w:val="20"/>
              </w:rPr>
              <w:t>NutreStore (L-glutamine) – </w:t>
            </w:r>
            <w:r>
              <w:rPr>
                <w:b/>
                <w:sz w:val="20"/>
              </w:rPr>
              <w:t>PA</w:t>
            </w:r>
          </w:p>
          <w:p>
            <w:pPr>
              <w:pStyle w:val="TableParagraph"/>
              <w:rPr>
                <w:b/>
                <w:sz w:val="20"/>
              </w:rPr>
            </w:pPr>
            <w:r>
              <w:rPr>
                <w:sz w:val="20"/>
              </w:rPr>
              <w:t>Sancuso (granisetron transdermal system) – </w:t>
            </w:r>
            <w:r>
              <w:rPr>
                <w:b/>
                <w:sz w:val="20"/>
              </w:rPr>
              <w:t>PA</w:t>
            </w:r>
          </w:p>
          <w:p>
            <w:pPr>
              <w:pStyle w:val="TableParagraph"/>
              <w:spacing w:before="1"/>
              <w:ind w:left="309" w:right="1822" w:hanging="4"/>
              <w:rPr>
                <w:b/>
                <w:sz w:val="20"/>
              </w:rPr>
            </w:pPr>
            <w:r>
              <w:rPr>
                <w:sz w:val="20"/>
              </w:rPr>
              <w:t>venlafaxine extended-release tablet Veripred (prednisolone) – </w:t>
            </w:r>
            <w:r>
              <w:rPr>
                <w:b/>
                <w:sz w:val="20"/>
              </w:rPr>
              <w:t>PA</w:t>
            </w:r>
          </w:p>
          <w:p>
            <w:pPr>
              <w:pStyle w:val="TableParagraph"/>
              <w:spacing w:before="45"/>
              <w:ind w:left="290"/>
              <w:rPr>
                <w:sz w:val="16"/>
              </w:rPr>
            </w:pPr>
            <w:r>
              <w:rPr>
                <w:position w:val="10"/>
                <w:sz w:val="13"/>
              </w:rPr>
              <w:t>H </w:t>
            </w:r>
            <w:r>
              <w:rPr>
                <w:sz w:val="16"/>
              </w:rPr>
              <w:t>This drug is available only in an inpatient hospital setting.</w:t>
            </w:r>
          </w:p>
          <w:p>
            <w:pPr>
              <w:pStyle w:val="TableParagraph"/>
              <w:spacing w:before="8"/>
              <w:ind w:left="583" w:right="174"/>
              <w:rPr>
                <w:sz w:val="16"/>
              </w:rPr>
            </w:pPr>
            <w:r>
              <w:rPr>
                <w:sz w:val="16"/>
              </w:rPr>
              <w:t>MassHealth does not pay for this drug to be dispensed through the retail pharmacy or physician’s office.</w:t>
            </w:r>
          </w:p>
          <w:p>
            <w:pPr>
              <w:pStyle w:val="TableParagraph"/>
              <w:spacing w:before="6"/>
              <w:ind w:left="0"/>
              <w:rPr>
                <w:rFonts w:ascii="Arial Narrow"/>
                <w:sz w:val="17"/>
              </w:rPr>
            </w:pPr>
          </w:p>
          <w:p>
            <w:pPr>
              <w:pStyle w:val="TableParagraph"/>
              <w:numPr>
                <w:ilvl w:val="0"/>
                <w:numId w:val="3"/>
              </w:numPr>
              <w:tabs>
                <w:tab w:pos="469" w:val="left" w:leader="none"/>
              </w:tabs>
              <w:spacing w:line="240" w:lineRule="auto" w:before="1" w:after="0"/>
              <w:ind w:left="468" w:right="0" w:hanging="360"/>
              <w:jc w:val="left"/>
              <w:rPr>
                <w:b/>
                <w:sz w:val="20"/>
              </w:rPr>
            </w:pPr>
            <w:r>
              <w:rPr>
                <w:b/>
                <w:sz w:val="20"/>
              </w:rPr>
              <w:t>Change in Prior-Authorization (PA)</w:t>
            </w:r>
            <w:r>
              <w:rPr>
                <w:b/>
                <w:spacing w:val="-10"/>
                <w:sz w:val="20"/>
              </w:rPr>
              <w:t> </w:t>
            </w:r>
            <w:r>
              <w:rPr>
                <w:b/>
                <w:sz w:val="20"/>
              </w:rPr>
              <w:t>Status</w:t>
            </w:r>
          </w:p>
          <w:p>
            <w:pPr>
              <w:pStyle w:val="TableParagraph"/>
              <w:numPr>
                <w:ilvl w:val="1"/>
                <w:numId w:val="3"/>
              </w:numPr>
              <w:tabs>
                <w:tab w:pos="487" w:val="left" w:leader="none"/>
              </w:tabs>
              <w:spacing w:line="240" w:lineRule="auto" w:before="117" w:after="0"/>
              <w:ind w:left="485" w:right="647" w:hanging="359"/>
              <w:jc w:val="left"/>
              <w:rPr>
                <w:sz w:val="20"/>
              </w:rPr>
            </w:pPr>
            <w:r>
              <w:rPr>
                <w:sz w:val="20"/>
              </w:rPr>
              <w:t>The following prior-authorization requirement is effective February 16,</w:t>
            </w:r>
            <w:r>
              <w:rPr>
                <w:spacing w:val="-5"/>
                <w:sz w:val="20"/>
              </w:rPr>
              <w:t> </w:t>
            </w:r>
            <w:r>
              <w:rPr>
                <w:sz w:val="20"/>
              </w:rPr>
              <w:t>2009.</w:t>
            </w:r>
          </w:p>
          <w:p>
            <w:pPr>
              <w:pStyle w:val="TableParagraph"/>
              <w:spacing w:before="81"/>
              <w:ind w:left="666"/>
              <w:rPr>
                <w:b/>
                <w:sz w:val="20"/>
              </w:rPr>
            </w:pPr>
            <w:r>
              <w:rPr>
                <w:sz w:val="20"/>
              </w:rPr>
              <w:t>Doryx (doxycycline) – </w:t>
            </w:r>
            <w:r>
              <w:rPr>
                <w:b/>
                <w:sz w:val="20"/>
              </w:rPr>
              <w:t>PA</w:t>
            </w:r>
          </w:p>
          <w:p>
            <w:pPr>
              <w:pStyle w:val="TableParagraph"/>
              <w:numPr>
                <w:ilvl w:val="1"/>
                <w:numId w:val="3"/>
              </w:numPr>
              <w:tabs>
                <w:tab w:pos="487" w:val="left" w:leader="none"/>
              </w:tabs>
              <w:spacing w:line="240" w:lineRule="auto" w:before="79" w:after="0"/>
              <w:ind w:left="485" w:right="826" w:hanging="359"/>
              <w:jc w:val="left"/>
              <w:rPr>
                <w:sz w:val="20"/>
              </w:rPr>
            </w:pPr>
            <w:r>
              <w:rPr>
                <w:sz w:val="20"/>
              </w:rPr>
              <w:t>The following drug will no longer require prior authorization.</w:t>
            </w:r>
          </w:p>
          <w:p>
            <w:pPr>
              <w:pStyle w:val="TableParagraph"/>
              <w:spacing w:before="80"/>
              <w:ind w:left="666"/>
              <w:rPr>
                <w:sz w:val="20"/>
              </w:rPr>
            </w:pPr>
            <w:r>
              <w:rPr>
                <w:sz w:val="20"/>
              </w:rPr>
              <w:t>gabapentin</w:t>
            </w:r>
          </w:p>
          <w:p>
            <w:pPr>
              <w:pStyle w:val="TableParagraph"/>
              <w:spacing w:before="122"/>
              <w:ind w:left="108"/>
              <w:rPr>
                <w:b/>
                <w:sz w:val="20"/>
              </w:rPr>
            </w:pPr>
            <w:r>
              <w:rPr>
                <w:b/>
                <w:sz w:val="20"/>
              </w:rPr>
              <w:t>3. Deletions</w:t>
            </w:r>
          </w:p>
          <w:p>
            <w:pPr>
              <w:pStyle w:val="TableParagraph"/>
              <w:spacing w:before="78"/>
              <w:ind w:left="108" w:right="952"/>
              <w:rPr>
                <w:sz w:val="20"/>
              </w:rPr>
            </w:pPr>
            <w:r>
              <w:rPr>
                <w:sz w:val="20"/>
              </w:rPr>
              <w:t>The following drugs have been deleted from the MassHealth Drug List.</w:t>
            </w:r>
          </w:p>
        </w:tc>
        <w:tc>
          <w:tcPr>
            <w:tcW w:w="5303" w:type="dxa"/>
            <w:tcBorders>
              <w:left w:val="single" w:sz="4" w:space="0" w:color="000000"/>
              <w:bottom w:val="single" w:sz="6" w:space="0" w:color="000000"/>
              <w:right w:val="nil"/>
            </w:tcBorders>
          </w:tcPr>
          <w:p>
            <w:pPr>
              <w:pStyle w:val="TableParagraph"/>
              <w:spacing w:before="8"/>
              <w:ind w:left="0"/>
              <w:rPr>
                <w:rFonts w:ascii="Arial Narrow"/>
                <w:sz w:val="20"/>
              </w:rPr>
            </w:pPr>
          </w:p>
          <w:p>
            <w:pPr>
              <w:pStyle w:val="TableParagraph"/>
              <w:ind w:left="117" w:right="159"/>
              <w:rPr>
                <w:sz w:val="20"/>
              </w:rPr>
            </w:pPr>
            <w:r>
              <w:rPr>
                <w:sz w:val="20"/>
              </w:rPr>
              <w:t>MassHealth does not pay for drug products (including identical, similar, or related drug products) that the U.S. Food and Drug Administration has proposed, in a Notice of Opportunity for Hearing (NOOH), to withdraw from the market because they lack substantial evidence of effectiveness for all labeled indications.</w:t>
            </w:r>
          </w:p>
          <w:p>
            <w:pPr>
              <w:pStyle w:val="TableParagraph"/>
              <w:spacing w:before="121"/>
              <w:ind w:left="300" w:right="2042"/>
              <w:rPr>
                <w:sz w:val="20"/>
              </w:rPr>
            </w:pPr>
            <w:r>
              <w:rPr>
                <w:sz w:val="20"/>
              </w:rPr>
              <w:t>Accuzyme (papain/urea) Auralgan (antipyrine/benzocaine) Ethezyme (papain/urea)</w:t>
            </w:r>
          </w:p>
          <w:p>
            <w:pPr>
              <w:pStyle w:val="TableParagraph"/>
              <w:ind w:left="300" w:right="1065"/>
              <w:rPr>
                <w:sz w:val="20"/>
              </w:rPr>
            </w:pPr>
            <w:r>
              <w:rPr>
                <w:sz w:val="20"/>
              </w:rPr>
              <w:t>Granul-derm (castor oil/peru balsam/trypsin) Granulex (castor oil/peru balsam/trypsin) Kovia (papain/urea)</w:t>
            </w:r>
          </w:p>
          <w:p>
            <w:pPr>
              <w:pStyle w:val="TableParagraph"/>
              <w:ind w:left="300" w:right="486"/>
              <w:rPr>
                <w:sz w:val="20"/>
              </w:rPr>
            </w:pPr>
            <w:r>
              <w:rPr>
                <w:sz w:val="20"/>
              </w:rPr>
              <w:t>Panafil (papain/urea/chlorophyllin/copper complex) TBC (trypsin/balsam peru/castor oil)</w:t>
            </w:r>
          </w:p>
          <w:p>
            <w:pPr>
              <w:pStyle w:val="TableParagraph"/>
              <w:spacing w:before="1"/>
              <w:ind w:left="304"/>
              <w:rPr>
                <w:sz w:val="20"/>
              </w:rPr>
            </w:pPr>
            <w:r>
              <w:rPr>
                <w:sz w:val="20"/>
              </w:rPr>
              <w:t>Ziox (papain/urea/chlorophyllin)</w:t>
            </w:r>
          </w:p>
          <w:p>
            <w:pPr>
              <w:pStyle w:val="TableParagraph"/>
              <w:spacing w:before="161"/>
              <w:ind w:left="102"/>
              <w:rPr>
                <w:b/>
                <w:sz w:val="20"/>
              </w:rPr>
            </w:pPr>
            <w:r>
              <w:rPr>
                <w:b/>
                <w:sz w:val="20"/>
              </w:rPr>
              <w:t>4. Corrections</w:t>
            </w:r>
          </w:p>
          <w:p>
            <w:pPr>
              <w:pStyle w:val="TableParagraph"/>
              <w:spacing w:before="79"/>
              <w:ind w:left="121" w:right="131" w:hanging="15"/>
              <w:jc w:val="both"/>
              <w:rPr>
                <w:sz w:val="20"/>
              </w:rPr>
            </w:pPr>
            <w:r>
              <w:rPr>
                <w:sz w:val="20"/>
              </w:rPr>
              <w:t>The following drugs have been added to the MassHealth Drug</w:t>
            </w:r>
            <w:r>
              <w:rPr>
                <w:spacing w:val="-5"/>
                <w:sz w:val="20"/>
              </w:rPr>
              <w:t> </w:t>
            </w:r>
            <w:r>
              <w:rPr>
                <w:sz w:val="20"/>
              </w:rPr>
              <w:t>List.</w:t>
            </w:r>
            <w:r>
              <w:rPr>
                <w:spacing w:val="-5"/>
                <w:sz w:val="20"/>
              </w:rPr>
              <w:t> </w:t>
            </w:r>
            <w:r>
              <w:rPr>
                <w:sz w:val="20"/>
              </w:rPr>
              <w:t>They</w:t>
            </w:r>
            <w:r>
              <w:rPr>
                <w:spacing w:val="-5"/>
                <w:sz w:val="20"/>
              </w:rPr>
              <w:t> </w:t>
            </w:r>
            <w:r>
              <w:rPr>
                <w:sz w:val="20"/>
              </w:rPr>
              <w:t>were</w:t>
            </w:r>
            <w:r>
              <w:rPr>
                <w:spacing w:val="-5"/>
                <w:sz w:val="20"/>
              </w:rPr>
              <w:t> </w:t>
            </w:r>
            <w:r>
              <w:rPr>
                <w:sz w:val="20"/>
              </w:rPr>
              <w:t>omitted</w:t>
            </w:r>
            <w:r>
              <w:rPr>
                <w:spacing w:val="-5"/>
                <w:sz w:val="20"/>
              </w:rPr>
              <w:t> </w:t>
            </w:r>
            <w:r>
              <w:rPr>
                <w:sz w:val="20"/>
              </w:rPr>
              <w:t>in</w:t>
            </w:r>
            <w:r>
              <w:rPr>
                <w:spacing w:val="-5"/>
                <w:sz w:val="20"/>
              </w:rPr>
              <w:t> </w:t>
            </w:r>
            <w:r>
              <w:rPr>
                <w:sz w:val="20"/>
              </w:rPr>
              <w:t>error.</w:t>
            </w:r>
            <w:r>
              <w:rPr>
                <w:spacing w:val="-5"/>
                <w:sz w:val="20"/>
              </w:rPr>
              <w:t> </w:t>
            </w:r>
            <w:r>
              <w:rPr>
                <w:sz w:val="20"/>
              </w:rPr>
              <w:t>These</w:t>
            </w:r>
            <w:r>
              <w:rPr>
                <w:spacing w:val="-5"/>
                <w:sz w:val="20"/>
              </w:rPr>
              <w:t> </w:t>
            </w:r>
            <w:r>
              <w:rPr>
                <w:sz w:val="20"/>
              </w:rPr>
              <w:t>additions</w:t>
            </w:r>
            <w:r>
              <w:rPr>
                <w:spacing w:val="-4"/>
                <w:sz w:val="20"/>
              </w:rPr>
              <w:t> </w:t>
            </w:r>
            <w:r>
              <w:rPr>
                <w:sz w:val="20"/>
              </w:rPr>
              <w:t>do not reflect any change in MassHealth</w:t>
            </w:r>
            <w:r>
              <w:rPr>
                <w:spacing w:val="-12"/>
                <w:sz w:val="20"/>
              </w:rPr>
              <w:t> </w:t>
            </w:r>
            <w:r>
              <w:rPr>
                <w:sz w:val="20"/>
              </w:rPr>
              <w:t>policy.</w:t>
            </w:r>
          </w:p>
          <w:p>
            <w:pPr>
              <w:pStyle w:val="TableParagraph"/>
              <w:spacing w:line="230" w:lineRule="exact" w:before="120"/>
              <w:ind w:left="300"/>
              <w:rPr>
                <w:b/>
                <w:sz w:val="20"/>
              </w:rPr>
            </w:pPr>
            <w:r>
              <w:rPr>
                <w:sz w:val="20"/>
              </w:rPr>
              <w:t>Coraz (hydrocortisone/salicylic acid/sulfur) – </w:t>
            </w:r>
            <w:r>
              <w:rPr>
                <w:b/>
                <w:sz w:val="20"/>
              </w:rPr>
              <w:t>PA</w:t>
            </w:r>
          </w:p>
          <w:p>
            <w:pPr>
              <w:pStyle w:val="TableParagraph"/>
              <w:spacing w:line="230" w:lineRule="exact"/>
              <w:ind w:left="300"/>
              <w:rPr>
                <w:b/>
                <w:sz w:val="20"/>
              </w:rPr>
            </w:pPr>
            <w:r>
              <w:rPr>
                <w:sz w:val="20"/>
              </w:rPr>
              <w:t>Halotin (haloprogin) – </w:t>
            </w:r>
            <w:r>
              <w:rPr>
                <w:b/>
                <w:sz w:val="20"/>
              </w:rPr>
              <w:t>PA</w:t>
            </w:r>
          </w:p>
          <w:p>
            <w:pPr>
              <w:pStyle w:val="TableParagraph"/>
              <w:ind w:left="300"/>
              <w:rPr>
                <w:sz w:val="20"/>
              </w:rPr>
            </w:pPr>
            <w:r>
              <w:rPr>
                <w:sz w:val="20"/>
              </w:rPr>
              <w:t>salicylic acid °</w:t>
            </w:r>
          </w:p>
          <w:p>
            <w:pPr>
              <w:pStyle w:val="TableParagraph"/>
              <w:spacing w:before="1"/>
              <w:ind w:left="300"/>
              <w:rPr>
                <w:sz w:val="20"/>
              </w:rPr>
            </w:pPr>
            <w:r>
              <w:rPr>
                <w:sz w:val="20"/>
              </w:rPr>
              <w:t>Xyntha (antihemophilic factor, recombinant)</w:t>
            </w:r>
          </w:p>
          <w:p>
            <w:pPr>
              <w:pStyle w:val="TableParagraph"/>
              <w:spacing w:before="119"/>
              <w:ind w:left="300"/>
              <w:rPr>
                <w:sz w:val="16"/>
              </w:rPr>
            </w:pPr>
            <w:r>
              <w:rPr>
                <w:sz w:val="20"/>
              </w:rPr>
              <w:t>° </w:t>
            </w:r>
            <w:r>
              <w:rPr>
                <w:sz w:val="16"/>
              </w:rPr>
              <w:t>PA status depends on the drug’s formulation.</w:t>
            </w:r>
          </w:p>
          <w:p>
            <w:pPr>
              <w:pStyle w:val="TableParagraph"/>
              <w:spacing w:before="161"/>
              <w:ind w:left="103"/>
              <w:rPr>
                <w:rFonts w:ascii="Arial Black"/>
                <w:b/>
                <w:sz w:val="22"/>
              </w:rPr>
            </w:pPr>
            <w:r>
              <w:rPr>
                <w:rFonts w:ascii="Arial Black"/>
                <w:b/>
                <w:sz w:val="22"/>
              </w:rPr>
              <w:t>Important Updates about NewMMIS</w:t>
            </w:r>
          </w:p>
          <w:p>
            <w:pPr>
              <w:pStyle w:val="TableParagraph"/>
              <w:spacing w:before="79"/>
              <w:ind w:left="103"/>
              <w:rPr>
                <w:sz w:val="20"/>
              </w:rPr>
            </w:pPr>
            <w:r>
              <w:rPr>
                <w:sz w:val="20"/>
              </w:rPr>
              <w:t>Steps you need to take now include:</w:t>
            </w:r>
          </w:p>
          <w:p>
            <w:pPr>
              <w:pStyle w:val="TableParagraph"/>
              <w:numPr>
                <w:ilvl w:val="0"/>
                <w:numId w:val="4"/>
              </w:numPr>
              <w:tabs>
                <w:tab w:pos="462" w:val="left" w:leader="none"/>
                <w:tab w:pos="464" w:val="left" w:leader="none"/>
              </w:tabs>
              <w:spacing w:line="244" w:lineRule="exact" w:before="79" w:after="0"/>
              <w:ind w:left="462" w:right="0" w:hanging="359"/>
              <w:jc w:val="left"/>
              <w:rPr>
                <w:sz w:val="20"/>
              </w:rPr>
            </w:pPr>
            <w:r>
              <w:rPr>
                <w:sz w:val="20"/>
              </w:rPr>
              <w:t>Coordinate with software vendors for 835</w:t>
            </w:r>
            <w:r>
              <w:rPr>
                <w:spacing w:val="-7"/>
                <w:sz w:val="20"/>
              </w:rPr>
              <w:t> </w:t>
            </w:r>
            <w:r>
              <w:rPr>
                <w:sz w:val="20"/>
              </w:rPr>
              <w:t>viewing.</w:t>
            </w:r>
          </w:p>
          <w:p>
            <w:pPr>
              <w:pStyle w:val="TableParagraph"/>
              <w:numPr>
                <w:ilvl w:val="0"/>
                <w:numId w:val="4"/>
              </w:numPr>
              <w:tabs>
                <w:tab w:pos="462" w:val="left" w:leader="none"/>
                <w:tab w:pos="464" w:val="left" w:leader="none"/>
              </w:tabs>
              <w:spacing w:line="240" w:lineRule="auto" w:before="0" w:after="0"/>
              <w:ind w:left="462" w:right="243" w:hanging="359"/>
              <w:jc w:val="left"/>
              <w:rPr>
                <w:sz w:val="20"/>
              </w:rPr>
            </w:pPr>
            <w:r>
              <w:rPr>
                <w:sz w:val="20"/>
              </w:rPr>
              <w:t>Prepare your operations for the provider</w:t>
            </w:r>
            <w:r>
              <w:rPr>
                <w:spacing w:val="-37"/>
                <w:sz w:val="20"/>
              </w:rPr>
              <w:t> </w:t>
            </w:r>
            <w:r>
              <w:rPr>
                <w:sz w:val="20"/>
              </w:rPr>
              <w:t>registration process.</w:t>
            </w:r>
          </w:p>
          <w:p>
            <w:pPr>
              <w:pStyle w:val="TableParagraph"/>
              <w:numPr>
                <w:ilvl w:val="0"/>
                <w:numId w:val="4"/>
              </w:numPr>
              <w:tabs>
                <w:tab w:pos="462" w:val="left" w:leader="none"/>
                <w:tab w:pos="464" w:val="left" w:leader="none"/>
              </w:tabs>
              <w:spacing w:line="240" w:lineRule="auto" w:before="0" w:after="0"/>
              <w:ind w:left="462" w:right="262" w:hanging="359"/>
              <w:jc w:val="left"/>
              <w:rPr>
                <w:sz w:val="20"/>
              </w:rPr>
            </w:pPr>
            <w:r>
              <w:rPr>
                <w:sz w:val="20"/>
              </w:rPr>
              <w:t>Designate staff in your organization who will require access to the Provider Online Service</w:t>
            </w:r>
            <w:r>
              <w:rPr>
                <w:spacing w:val="-18"/>
                <w:sz w:val="20"/>
              </w:rPr>
              <w:t> </w:t>
            </w:r>
            <w:r>
              <w:rPr>
                <w:sz w:val="20"/>
              </w:rPr>
              <w:t>Center.</w:t>
            </w:r>
          </w:p>
          <w:p>
            <w:pPr>
              <w:pStyle w:val="TableParagraph"/>
              <w:numPr>
                <w:ilvl w:val="0"/>
                <w:numId w:val="4"/>
              </w:numPr>
              <w:tabs>
                <w:tab w:pos="462" w:val="left" w:leader="none"/>
                <w:tab w:pos="464" w:val="left" w:leader="none"/>
              </w:tabs>
              <w:spacing w:line="240" w:lineRule="auto" w:before="0" w:after="0"/>
              <w:ind w:left="462" w:right="451" w:hanging="359"/>
              <w:jc w:val="left"/>
              <w:rPr>
                <w:sz w:val="20"/>
              </w:rPr>
            </w:pPr>
            <w:r>
              <w:rPr>
                <w:sz w:val="20"/>
              </w:rPr>
              <w:t>Identify the functions designated staff will perform within the Provider Online Service</w:t>
            </w:r>
            <w:r>
              <w:rPr>
                <w:spacing w:val="-6"/>
                <w:sz w:val="20"/>
              </w:rPr>
              <w:t> </w:t>
            </w:r>
            <w:r>
              <w:rPr>
                <w:sz w:val="20"/>
              </w:rPr>
              <w:t>Center.</w:t>
            </w:r>
          </w:p>
          <w:p>
            <w:pPr>
              <w:pStyle w:val="TableParagraph"/>
              <w:numPr>
                <w:ilvl w:val="0"/>
                <w:numId w:val="4"/>
              </w:numPr>
              <w:tabs>
                <w:tab w:pos="462" w:val="left" w:leader="none"/>
                <w:tab w:pos="464" w:val="left" w:leader="none"/>
              </w:tabs>
              <w:spacing w:line="240" w:lineRule="auto" w:before="0" w:after="0"/>
              <w:ind w:left="462" w:right="1052" w:hanging="359"/>
              <w:jc w:val="left"/>
              <w:rPr>
                <w:sz w:val="20"/>
              </w:rPr>
            </w:pPr>
            <w:r>
              <w:rPr>
                <w:sz w:val="20"/>
              </w:rPr>
              <w:t>Revisit any e-Learning courses to increase proficiency on difficult or often-used</w:t>
            </w:r>
            <w:r>
              <w:rPr>
                <w:spacing w:val="-27"/>
                <w:sz w:val="20"/>
              </w:rPr>
              <w:t> </w:t>
            </w:r>
            <w:r>
              <w:rPr>
                <w:sz w:val="20"/>
              </w:rPr>
              <w:t>tasks.</w:t>
            </w:r>
          </w:p>
          <w:p>
            <w:pPr>
              <w:pStyle w:val="TableParagraph"/>
              <w:spacing w:before="124"/>
              <w:ind w:left="102"/>
              <w:rPr>
                <w:rFonts w:ascii="Tahoma"/>
                <w:b/>
                <w:sz w:val="20"/>
              </w:rPr>
            </w:pPr>
            <w:r>
              <w:rPr>
                <w:rFonts w:ascii="Tahoma"/>
                <w:b/>
                <w:sz w:val="20"/>
              </w:rPr>
              <w:t>Provider PIN Registration Letters for NewMMIS</w:t>
            </w:r>
          </w:p>
          <w:p>
            <w:pPr>
              <w:pStyle w:val="TableParagraph"/>
              <w:spacing w:before="91"/>
              <w:ind w:left="121" w:right="101" w:hanging="4"/>
              <w:rPr>
                <w:rFonts w:ascii="Tahoma"/>
                <w:sz w:val="20"/>
              </w:rPr>
            </w:pPr>
            <w:r>
              <w:rPr>
                <w:rFonts w:ascii="Tahoma"/>
                <w:sz w:val="20"/>
              </w:rPr>
              <w:t>MassHealth will mail the provider PIN (personal identification number) registration letters soon. Once you receive your PIN registration letter, you should prepare your operations as directed in the letter. Both the job aid and e-Learning courses can be accessed at: </w:t>
            </w:r>
            <w:hyperlink r:id="rId7">
              <w:r>
                <w:rPr>
                  <w:rFonts w:ascii="Tahoma"/>
                  <w:sz w:val="20"/>
                  <w:u w:val="single"/>
                </w:rPr>
                <w:t>www.mass.gov/masshealth/newmmis</w:t>
              </w:r>
            </w:hyperlink>
            <w:r>
              <w:rPr>
                <w:rFonts w:ascii="Tahoma"/>
                <w:sz w:val="20"/>
              </w:rPr>
              <w:t>.</w:t>
            </w:r>
          </w:p>
        </w:tc>
      </w:tr>
    </w:tbl>
    <w:p>
      <w:pPr>
        <w:pStyle w:val="BodyText"/>
        <w:spacing w:before="3"/>
        <w:rPr>
          <w:rFonts w:ascii="Arial Narrow"/>
          <w:sz w:val="19"/>
        </w:rPr>
      </w:pPr>
    </w:p>
    <w:p>
      <w:pPr>
        <w:pStyle w:val="BodyText"/>
        <w:spacing w:line="241" w:lineRule="exact" w:before="1"/>
        <w:ind w:left="1760" w:right="1141"/>
        <w:jc w:val="center"/>
      </w:pPr>
      <w:r>
        <w:rPr/>
        <w:pict>
          <v:line style="position:absolute;mso-position-horizontal-relative:page;mso-position-vertical-relative:paragraph;z-index:1072" from="48.599998pt,-12.751123pt" to="570.599998pt,-12.751123pt" stroked="true" strokeweight=".66pt" strokecolor="#000000">
            <v:stroke dashstyle="solid"/>
            <w10:wrap type="none"/>
          </v:line>
        </w:pict>
      </w:r>
      <w:r>
        <w:rPr/>
        <w:t>Please direct any questions or comments (or to be taken off of this fax distribution) to</w:t>
      </w:r>
    </w:p>
    <w:p>
      <w:pPr>
        <w:spacing w:line="296" w:lineRule="exact" w:before="0"/>
        <w:ind w:left="1759" w:right="1141" w:firstLine="0"/>
        <w:jc w:val="center"/>
        <w:rPr>
          <w:sz w:val="21"/>
        </w:rPr>
      </w:pPr>
      <w:r>
        <w:rPr>
          <w:rFonts w:ascii="Arial Black"/>
          <w:b/>
          <w:sz w:val="21"/>
        </w:rPr>
        <w:t>Victor Moquin </w:t>
      </w:r>
      <w:r>
        <w:rPr>
          <w:sz w:val="21"/>
        </w:rPr>
        <w:t>of ACS at 617-423-9830.</w:t>
      </w:r>
    </w:p>
    <w:sectPr>
      <w:type w:val="continuous"/>
      <w:pgSz w:w="12240" w:h="15840"/>
      <w:pgMar w:top="380" w:bottom="0" w:left="76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62" w:hanging="361"/>
      </w:pPr>
      <w:rPr>
        <w:rFonts w:hint="default" w:ascii="Symbol" w:hAnsi="Symbol" w:eastAsia="Symbol" w:cs="Symbol"/>
        <w:w w:val="100"/>
        <w:sz w:val="20"/>
        <w:szCs w:val="20"/>
      </w:rPr>
    </w:lvl>
    <w:lvl w:ilvl="1">
      <w:start w:val="0"/>
      <w:numFmt w:val="bullet"/>
      <w:lvlText w:val="•"/>
      <w:lvlJc w:val="left"/>
      <w:pPr>
        <w:ind w:left="943" w:hanging="361"/>
      </w:pPr>
      <w:rPr>
        <w:rFonts w:hint="default"/>
      </w:rPr>
    </w:lvl>
    <w:lvl w:ilvl="2">
      <w:start w:val="0"/>
      <w:numFmt w:val="bullet"/>
      <w:lvlText w:val="•"/>
      <w:lvlJc w:val="left"/>
      <w:pPr>
        <w:ind w:left="1427" w:hanging="361"/>
      </w:pPr>
      <w:rPr>
        <w:rFonts w:hint="default"/>
      </w:rPr>
    </w:lvl>
    <w:lvl w:ilvl="3">
      <w:start w:val="0"/>
      <w:numFmt w:val="bullet"/>
      <w:lvlText w:val="•"/>
      <w:lvlJc w:val="left"/>
      <w:pPr>
        <w:ind w:left="1911" w:hanging="361"/>
      </w:pPr>
      <w:rPr>
        <w:rFonts w:hint="default"/>
      </w:rPr>
    </w:lvl>
    <w:lvl w:ilvl="4">
      <w:start w:val="0"/>
      <w:numFmt w:val="bullet"/>
      <w:lvlText w:val="•"/>
      <w:lvlJc w:val="left"/>
      <w:pPr>
        <w:ind w:left="2395" w:hanging="361"/>
      </w:pPr>
      <w:rPr>
        <w:rFonts w:hint="default"/>
      </w:rPr>
    </w:lvl>
    <w:lvl w:ilvl="5">
      <w:start w:val="0"/>
      <w:numFmt w:val="bullet"/>
      <w:lvlText w:val="•"/>
      <w:lvlJc w:val="left"/>
      <w:pPr>
        <w:ind w:left="2879" w:hanging="361"/>
      </w:pPr>
      <w:rPr>
        <w:rFonts w:hint="default"/>
      </w:rPr>
    </w:lvl>
    <w:lvl w:ilvl="6">
      <w:start w:val="0"/>
      <w:numFmt w:val="bullet"/>
      <w:lvlText w:val="•"/>
      <w:lvlJc w:val="left"/>
      <w:pPr>
        <w:ind w:left="3362" w:hanging="361"/>
      </w:pPr>
      <w:rPr>
        <w:rFonts w:hint="default"/>
      </w:rPr>
    </w:lvl>
    <w:lvl w:ilvl="7">
      <w:start w:val="0"/>
      <w:numFmt w:val="bullet"/>
      <w:lvlText w:val="•"/>
      <w:lvlJc w:val="left"/>
      <w:pPr>
        <w:ind w:left="3846" w:hanging="361"/>
      </w:pPr>
      <w:rPr>
        <w:rFonts w:hint="default"/>
      </w:rPr>
    </w:lvl>
    <w:lvl w:ilvl="8">
      <w:start w:val="0"/>
      <w:numFmt w:val="bullet"/>
      <w:lvlText w:val="•"/>
      <w:lvlJc w:val="left"/>
      <w:pPr>
        <w:ind w:left="4330" w:hanging="361"/>
      </w:pPr>
      <w:rPr>
        <w:rFonts w:hint="default"/>
      </w:rPr>
    </w:lvl>
  </w:abstractNum>
  <w:abstractNum w:abstractNumId="2">
    <w:multiLevelType w:val="hybridMultilevel"/>
    <w:lvl w:ilvl="0">
      <w:start w:val="1"/>
      <w:numFmt w:val="decimal"/>
      <w:lvlText w:val="%1."/>
      <w:lvlJc w:val="left"/>
      <w:pPr>
        <w:ind w:left="468" w:hanging="361"/>
        <w:jc w:val="left"/>
      </w:pPr>
      <w:rPr>
        <w:rFonts w:hint="default" w:ascii="Arial" w:hAnsi="Arial" w:eastAsia="Arial" w:cs="Arial"/>
        <w:b/>
        <w:bCs/>
        <w:spacing w:val="-1"/>
        <w:w w:val="100"/>
        <w:sz w:val="20"/>
        <w:szCs w:val="20"/>
      </w:rPr>
    </w:lvl>
    <w:lvl w:ilvl="1">
      <w:start w:val="1"/>
      <w:numFmt w:val="lowerLetter"/>
      <w:lvlText w:val="%2."/>
      <w:lvlJc w:val="left"/>
      <w:pPr>
        <w:ind w:left="485" w:hanging="361"/>
        <w:jc w:val="left"/>
      </w:pPr>
      <w:rPr>
        <w:rFonts w:hint="default" w:ascii="Arial" w:hAnsi="Arial" w:eastAsia="Arial" w:cs="Arial"/>
        <w:w w:val="100"/>
        <w:sz w:val="20"/>
        <w:szCs w:val="20"/>
      </w:rPr>
    </w:lvl>
    <w:lvl w:ilvl="2">
      <w:start w:val="0"/>
      <w:numFmt w:val="bullet"/>
      <w:lvlText w:val="•"/>
      <w:lvlJc w:val="left"/>
      <w:pPr>
        <w:ind w:left="560" w:hanging="361"/>
      </w:pPr>
      <w:rPr>
        <w:rFonts w:hint="default"/>
      </w:rPr>
    </w:lvl>
    <w:lvl w:ilvl="3">
      <w:start w:val="0"/>
      <w:numFmt w:val="bullet"/>
      <w:lvlText w:val="•"/>
      <w:lvlJc w:val="left"/>
      <w:pPr>
        <w:ind w:left="1153" w:hanging="361"/>
      </w:pPr>
      <w:rPr>
        <w:rFonts w:hint="default"/>
      </w:rPr>
    </w:lvl>
    <w:lvl w:ilvl="4">
      <w:start w:val="0"/>
      <w:numFmt w:val="bullet"/>
      <w:lvlText w:val="•"/>
      <w:lvlJc w:val="left"/>
      <w:pPr>
        <w:ind w:left="1746" w:hanging="361"/>
      </w:pPr>
      <w:rPr>
        <w:rFonts w:hint="default"/>
      </w:rPr>
    </w:lvl>
    <w:lvl w:ilvl="5">
      <w:start w:val="0"/>
      <w:numFmt w:val="bullet"/>
      <w:lvlText w:val="•"/>
      <w:lvlJc w:val="left"/>
      <w:pPr>
        <w:ind w:left="2339" w:hanging="361"/>
      </w:pPr>
      <w:rPr>
        <w:rFonts w:hint="default"/>
      </w:rPr>
    </w:lvl>
    <w:lvl w:ilvl="6">
      <w:start w:val="0"/>
      <w:numFmt w:val="bullet"/>
      <w:lvlText w:val="•"/>
      <w:lvlJc w:val="left"/>
      <w:pPr>
        <w:ind w:left="2932" w:hanging="361"/>
      </w:pPr>
      <w:rPr>
        <w:rFonts w:hint="default"/>
      </w:rPr>
    </w:lvl>
    <w:lvl w:ilvl="7">
      <w:start w:val="0"/>
      <w:numFmt w:val="bullet"/>
      <w:lvlText w:val="•"/>
      <w:lvlJc w:val="left"/>
      <w:pPr>
        <w:ind w:left="3525" w:hanging="361"/>
      </w:pPr>
      <w:rPr>
        <w:rFonts w:hint="default"/>
      </w:rPr>
    </w:lvl>
    <w:lvl w:ilvl="8">
      <w:start w:val="0"/>
      <w:numFmt w:val="bullet"/>
      <w:lvlText w:val="•"/>
      <w:lvlJc w:val="left"/>
      <w:pPr>
        <w:ind w:left="4118" w:hanging="361"/>
      </w:pPr>
      <w:rPr>
        <w:rFonts w:hint="default"/>
      </w:rPr>
    </w:lvl>
  </w:abstractNum>
  <w:abstractNum w:abstractNumId="1">
    <w:multiLevelType w:val="hybridMultilevel"/>
    <w:lvl w:ilvl="0">
      <w:start w:val="0"/>
      <w:numFmt w:val="bullet"/>
      <w:lvlText w:val=""/>
      <w:lvlJc w:val="left"/>
      <w:pPr>
        <w:ind w:left="396" w:hanging="289"/>
      </w:pPr>
      <w:rPr>
        <w:rFonts w:hint="default" w:ascii="Symbol" w:hAnsi="Symbol" w:eastAsia="Symbol" w:cs="Symbol"/>
        <w:w w:val="99"/>
        <w:sz w:val="19"/>
        <w:szCs w:val="19"/>
      </w:rPr>
    </w:lvl>
    <w:lvl w:ilvl="1">
      <w:start w:val="0"/>
      <w:numFmt w:val="bullet"/>
      <w:lvlText w:val="•"/>
      <w:lvlJc w:val="left"/>
      <w:pPr>
        <w:ind w:left="890" w:hanging="289"/>
      </w:pPr>
      <w:rPr>
        <w:rFonts w:hint="default"/>
      </w:rPr>
    </w:lvl>
    <w:lvl w:ilvl="2">
      <w:start w:val="0"/>
      <w:numFmt w:val="bullet"/>
      <w:lvlText w:val="•"/>
      <w:lvlJc w:val="left"/>
      <w:pPr>
        <w:ind w:left="1381" w:hanging="289"/>
      </w:pPr>
      <w:rPr>
        <w:rFonts w:hint="default"/>
      </w:rPr>
    </w:lvl>
    <w:lvl w:ilvl="3">
      <w:start w:val="0"/>
      <w:numFmt w:val="bullet"/>
      <w:lvlText w:val="•"/>
      <w:lvlJc w:val="left"/>
      <w:pPr>
        <w:ind w:left="1871" w:hanging="289"/>
      </w:pPr>
      <w:rPr>
        <w:rFonts w:hint="default"/>
      </w:rPr>
    </w:lvl>
    <w:lvl w:ilvl="4">
      <w:start w:val="0"/>
      <w:numFmt w:val="bullet"/>
      <w:lvlText w:val="•"/>
      <w:lvlJc w:val="left"/>
      <w:pPr>
        <w:ind w:left="2362" w:hanging="289"/>
      </w:pPr>
      <w:rPr>
        <w:rFonts w:hint="default"/>
      </w:rPr>
    </w:lvl>
    <w:lvl w:ilvl="5">
      <w:start w:val="0"/>
      <w:numFmt w:val="bullet"/>
      <w:lvlText w:val="•"/>
      <w:lvlJc w:val="left"/>
      <w:pPr>
        <w:ind w:left="2852" w:hanging="289"/>
      </w:pPr>
      <w:rPr>
        <w:rFonts w:hint="default"/>
      </w:rPr>
    </w:lvl>
    <w:lvl w:ilvl="6">
      <w:start w:val="0"/>
      <w:numFmt w:val="bullet"/>
      <w:lvlText w:val="•"/>
      <w:lvlJc w:val="left"/>
      <w:pPr>
        <w:ind w:left="3343" w:hanging="289"/>
      </w:pPr>
      <w:rPr>
        <w:rFonts w:hint="default"/>
      </w:rPr>
    </w:lvl>
    <w:lvl w:ilvl="7">
      <w:start w:val="0"/>
      <w:numFmt w:val="bullet"/>
      <w:lvlText w:val="•"/>
      <w:lvlJc w:val="left"/>
      <w:pPr>
        <w:ind w:left="3833" w:hanging="289"/>
      </w:pPr>
      <w:rPr>
        <w:rFonts w:hint="default"/>
      </w:rPr>
    </w:lvl>
    <w:lvl w:ilvl="8">
      <w:start w:val="0"/>
      <w:numFmt w:val="bullet"/>
      <w:lvlText w:val="•"/>
      <w:lvlJc w:val="left"/>
      <w:pPr>
        <w:ind w:left="4324" w:hanging="289"/>
      </w:pPr>
      <w:rPr>
        <w:rFonts w:hint="default"/>
      </w:rPr>
    </w:lvl>
  </w:abstractNum>
  <w:abstractNum w:abstractNumId="0">
    <w:multiLevelType w:val="hybridMultilevel"/>
    <w:lvl w:ilvl="0">
      <w:start w:val="0"/>
      <w:numFmt w:val="bullet"/>
      <w:lvlText w:val="•"/>
      <w:lvlJc w:val="left"/>
      <w:pPr>
        <w:ind w:left="1352" w:hanging="150"/>
      </w:pPr>
      <w:rPr>
        <w:rFonts w:hint="default" w:ascii="Arial Black" w:hAnsi="Arial Black" w:eastAsia="Arial Black" w:cs="Arial Black"/>
        <w:b/>
        <w:bCs/>
        <w:w w:val="100"/>
        <w:sz w:val="18"/>
        <w:szCs w:val="18"/>
      </w:rPr>
    </w:lvl>
    <w:lvl w:ilvl="1">
      <w:start w:val="0"/>
      <w:numFmt w:val="bullet"/>
      <w:lvlText w:val="•"/>
      <w:lvlJc w:val="left"/>
      <w:pPr>
        <w:ind w:left="2285" w:hanging="150"/>
      </w:pPr>
      <w:rPr>
        <w:rFonts w:hint="default"/>
      </w:rPr>
    </w:lvl>
    <w:lvl w:ilvl="2">
      <w:start w:val="0"/>
      <w:numFmt w:val="bullet"/>
      <w:lvlText w:val="•"/>
      <w:lvlJc w:val="left"/>
      <w:pPr>
        <w:ind w:left="3210" w:hanging="150"/>
      </w:pPr>
      <w:rPr>
        <w:rFonts w:hint="default"/>
      </w:rPr>
    </w:lvl>
    <w:lvl w:ilvl="3">
      <w:start w:val="0"/>
      <w:numFmt w:val="bullet"/>
      <w:lvlText w:val="•"/>
      <w:lvlJc w:val="left"/>
      <w:pPr>
        <w:ind w:left="4135" w:hanging="150"/>
      </w:pPr>
      <w:rPr>
        <w:rFonts w:hint="default"/>
      </w:rPr>
    </w:lvl>
    <w:lvl w:ilvl="4">
      <w:start w:val="0"/>
      <w:numFmt w:val="bullet"/>
      <w:lvlText w:val="•"/>
      <w:lvlJc w:val="left"/>
      <w:pPr>
        <w:ind w:left="5061" w:hanging="150"/>
      </w:pPr>
      <w:rPr>
        <w:rFonts w:hint="default"/>
      </w:rPr>
    </w:lvl>
    <w:lvl w:ilvl="5">
      <w:start w:val="0"/>
      <w:numFmt w:val="bullet"/>
      <w:lvlText w:val="•"/>
      <w:lvlJc w:val="left"/>
      <w:pPr>
        <w:ind w:left="5986" w:hanging="150"/>
      </w:pPr>
      <w:rPr>
        <w:rFonts w:hint="default"/>
      </w:rPr>
    </w:lvl>
    <w:lvl w:ilvl="6">
      <w:start w:val="0"/>
      <w:numFmt w:val="bullet"/>
      <w:lvlText w:val="•"/>
      <w:lvlJc w:val="left"/>
      <w:pPr>
        <w:ind w:left="6911" w:hanging="150"/>
      </w:pPr>
      <w:rPr>
        <w:rFonts w:hint="default"/>
      </w:rPr>
    </w:lvl>
    <w:lvl w:ilvl="7">
      <w:start w:val="0"/>
      <w:numFmt w:val="bullet"/>
      <w:lvlText w:val="•"/>
      <w:lvlJc w:val="left"/>
      <w:pPr>
        <w:ind w:left="7837" w:hanging="150"/>
      </w:pPr>
      <w:rPr>
        <w:rFonts w:hint="default"/>
      </w:rPr>
    </w:lvl>
    <w:lvl w:ilvl="8">
      <w:start w:val="0"/>
      <w:numFmt w:val="bullet"/>
      <w:lvlText w:val="•"/>
      <w:lvlJc w:val="left"/>
      <w:pPr>
        <w:ind w:left="8762" w:hanging="15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30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newmmi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2017-11-24T18:35:00Z</dcterms:created>
  <dcterms:modified xsi:type="dcterms:W3CDTF">2017-11-24T18:35:00Z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2009-01-28T00:00:00Z</vt:filetime>
  </property>
  <property fmtid="{D5CDD505-2E9C-101B-9397-08002B2CF9AE}" pid="3" name="Creator">
    <vt:lpwstr>Acrobat PDFMaker 8.1 for Word</vt:lpwstr>
  </property>
  <property fmtid="{D5CDD505-2E9C-101B-9397-08002B2CF9AE}" pid="4" name="LastSaved">
    <vt:filetime>2017-11-24T00:00:00Z</vt:filetime>
  </property>
</Properties>
</file>