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3"/>
        </w:rPr>
      </w:pPr>
    </w:p>
    <w:p>
      <w:pPr>
        <w:spacing w:before="0" w:after="4"/>
        <w:ind w:left="843" w:right="1541" w:firstLine="0"/>
        <w:jc w:val="center"/>
        <w:rPr>
          <w:rFonts w:ascii="Arial Narrow"/>
          <w:sz w:val="18"/>
        </w:rPr>
      </w:pPr>
      <w:r>
        <w:rPr/>
        <w:pict>
          <v:group style="position:absolute;margin-left:41.279999pt;margin-top:-105.090446pt;width:542.4pt;height:107.85pt;mso-position-horizontal-relative:page;mso-position-vertical-relative:paragraph;z-index:-3832" coordorigin="826,-2102" coordsize="10848,2157">
            <v:shape style="position:absolute;left:825;top:-2102;width:10848;height:2157" type="#_x0000_t75" stroked="false">
              <v:imagedata r:id="rId5" o:title=""/>
            </v:shape>
            <v:shapetype id="_x0000_t202" o:spt="202" coordsize="21600,21600" path="m,l,21600r21600,l21600,xe">
              <v:stroke joinstyle="miter"/>
              <v:path gradientshapeok="t" o:connecttype="rect"/>
            </v:shapetype>
            <v:shape style="position:absolute;left:1584;top:-1158;width:988;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49</w:t>
                    </w:r>
                  </w:p>
                  <w:p>
                    <w:pPr>
                      <w:spacing w:before="44"/>
                      <w:ind w:left="0" w:right="0" w:firstLine="0"/>
                      <w:jc w:val="left"/>
                      <w:rPr>
                        <w:rFonts w:ascii="Arial Narrow"/>
                        <w:b/>
                        <w:sz w:val="20"/>
                      </w:rPr>
                    </w:pPr>
                    <w:r>
                      <w:rPr>
                        <w:rFonts w:ascii="Arial Narrow"/>
                        <w:b/>
                        <w:sz w:val="20"/>
                      </w:rPr>
                      <w:t>April 3, 2009</w:t>
                    </w:r>
                  </w:p>
                </w:txbxContent>
              </v:textbox>
              <w10:wrap type="none"/>
            </v:shape>
            <w10:wrap type="none"/>
          </v:group>
        </w:pict>
      </w:r>
      <w:hyperlink r:id="rId6">
        <w:r>
          <w:rPr>
            <w:rFonts w:ascii="Arial Narrow"/>
            <w:sz w:val="18"/>
          </w:rPr>
          <w:t>www.mass.gov/masshealth/pharmacy</w:t>
        </w:r>
      </w:hyperlink>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2"/>
        <w:gridCol w:w="5303"/>
        <w:gridCol w:w="400"/>
      </w:tblGrid>
      <w:tr>
        <w:trPr>
          <w:trHeight w:val="303" w:hRule="atLeast"/>
        </w:trPr>
        <w:tc>
          <w:tcPr>
            <w:tcW w:w="10595" w:type="dxa"/>
            <w:gridSpan w:val="2"/>
            <w:tcBorders>
              <w:top w:val="single" w:sz="8" w:space="0" w:color="000000"/>
              <w:bottom w:val="single" w:sz="8" w:space="0" w:color="000000"/>
            </w:tcBorders>
          </w:tcPr>
          <w:p>
            <w:pPr>
              <w:pStyle w:val="TableParagraph"/>
              <w:numPr>
                <w:ilvl w:val="0"/>
                <w:numId w:val="1"/>
              </w:numPr>
              <w:tabs>
                <w:tab w:pos="1335" w:val="left" w:leader="none"/>
              </w:tabs>
              <w:spacing w:line="240" w:lineRule="auto" w:before="0" w:after="0"/>
              <w:ind w:left="1334"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Chuck Young, Nancy Schiff</w:t>
            </w:r>
            <w:r>
              <w:rPr>
                <w:rFonts w:ascii="Arial Narrow" w:hAnsi="Arial Narrow"/>
                <w:spacing w:val="6"/>
                <w:sz w:val="18"/>
              </w:rPr>
              <w:t> </w:t>
            </w:r>
            <w:r>
              <w:rPr>
                <w:rFonts w:ascii="Arial Black" w:hAnsi="Arial Black"/>
                <w:b/>
                <w:sz w:val="18"/>
              </w:rPr>
              <w:t>•</w:t>
            </w:r>
          </w:p>
        </w:tc>
        <w:tc>
          <w:tcPr>
            <w:tcW w:w="400" w:type="dxa"/>
          </w:tcPr>
          <w:p>
            <w:pPr>
              <w:pStyle w:val="TableParagraph"/>
              <w:rPr>
                <w:rFonts w:ascii="Times New Roman"/>
                <w:sz w:val="18"/>
              </w:rPr>
            </w:pPr>
          </w:p>
        </w:tc>
      </w:tr>
      <w:tr>
        <w:trPr>
          <w:trHeight w:val="11932" w:hRule="atLeast"/>
        </w:trPr>
        <w:tc>
          <w:tcPr>
            <w:tcW w:w="5292" w:type="dxa"/>
            <w:tcBorders>
              <w:top w:val="single" w:sz="8" w:space="0" w:color="000000"/>
              <w:bottom w:val="single" w:sz="6" w:space="0" w:color="000000"/>
              <w:right w:val="single" w:sz="4" w:space="0" w:color="000000"/>
            </w:tcBorders>
          </w:tcPr>
          <w:p>
            <w:pPr>
              <w:pStyle w:val="TableParagraph"/>
              <w:spacing w:before="199"/>
              <w:ind w:left="90"/>
              <w:rPr>
                <w:rFonts w:ascii="Arial Black"/>
                <w:b/>
                <w:sz w:val="22"/>
              </w:rPr>
            </w:pPr>
            <w:r>
              <w:rPr>
                <w:rFonts w:ascii="Arial Black"/>
                <w:b/>
                <w:sz w:val="22"/>
              </w:rPr>
              <w:t>Claims Processing Update</w:t>
            </w:r>
          </w:p>
          <w:p>
            <w:pPr>
              <w:pStyle w:val="TableParagraph"/>
              <w:spacing w:before="143"/>
              <w:ind w:left="378" w:hanging="289"/>
              <w:rPr>
                <w:b/>
                <w:sz w:val="22"/>
              </w:rPr>
            </w:pPr>
            <w:r>
              <w:rPr>
                <w:b/>
                <w:sz w:val="22"/>
              </w:rPr>
              <w:t>1. Claim Submission When MassHealth is the Secondary Insurer</w:t>
            </w:r>
          </w:p>
          <w:p>
            <w:pPr>
              <w:pStyle w:val="TableParagraph"/>
              <w:spacing w:before="78"/>
              <w:ind w:left="89" w:right="109"/>
              <w:rPr>
                <w:sz w:val="20"/>
              </w:rPr>
            </w:pPr>
            <w:r>
              <w:rPr>
                <w:sz w:val="20"/>
              </w:rPr>
              <w:t>Effective April 8, 2009, the use of Other Coverage (OC) Code 04 will no longer be permitted. Listed below are valid OC Codes (NCPDP field 308-C8) that may be used.</w:t>
            </w:r>
          </w:p>
          <w:p>
            <w:pPr>
              <w:pStyle w:val="TableParagraph"/>
              <w:spacing w:before="83"/>
              <w:ind w:left="378" w:right="1023"/>
              <w:rPr>
                <w:sz w:val="19"/>
              </w:rPr>
            </w:pPr>
            <w:r>
              <w:rPr>
                <w:sz w:val="19"/>
              </w:rPr>
              <w:t>02 – Other coverage exists-payment collected 03 – Other coverage exists-claim not covered</w:t>
            </w:r>
          </w:p>
          <w:p>
            <w:pPr>
              <w:pStyle w:val="TableParagraph"/>
              <w:numPr>
                <w:ilvl w:val="0"/>
                <w:numId w:val="2"/>
              </w:numPr>
              <w:tabs>
                <w:tab w:pos="642" w:val="left" w:leader="none"/>
              </w:tabs>
              <w:spacing w:line="240" w:lineRule="auto" w:before="0" w:after="0"/>
              <w:ind w:left="790" w:right="693" w:hanging="412"/>
              <w:jc w:val="left"/>
              <w:rPr>
                <w:sz w:val="19"/>
              </w:rPr>
            </w:pPr>
            <w:r>
              <w:rPr>
                <w:sz w:val="19"/>
              </w:rPr>
              <w:t>– Other coverage exists-not in effect on date of service</w:t>
            </w:r>
          </w:p>
          <w:p>
            <w:pPr>
              <w:pStyle w:val="TableParagraph"/>
              <w:numPr>
                <w:ilvl w:val="0"/>
                <w:numId w:val="2"/>
              </w:numPr>
              <w:tabs>
                <w:tab w:pos="642" w:val="left" w:leader="none"/>
              </w:tabs>
              <w:spacing w:line="240" w:lineRule="auto" w:before="0" w:after="0"/>
              <w:ind w:left="641" w:right="0" w:hanging="263"/>
              <w:jc w:val="left"/>
              <w:rPr>
                <w:sz w:val="19"/>
              </w:rPr>
            </w:pPr>
            <w:r>
              <w:rPr>
                <w:sz w:val="19"/>
              </w:rPr>
              <w:t>– Claim is billing for copay</w:t>
            </w:r>
          </w:p>
          <w:p>
            <w:pPr>
              <w:pStyle w:val="TableParagraph"/>
              <w:spacing w:before="117"/>
              <w:ind w:left="90" w:right="230"/>
              <w:rPr>
                <w:sz w:val="20"/>
              </w:rPr>
            </w:pPr>
            <w:r>
              <w:rPr>
                <w:sz w:val="20"/>
              </w:rPr>
              <w:t>Use Code 02 only when the primary insurer has made a payment. Enter the amount that the pharmacy has collected from the primary insurer in the Other Payer Amount Paid field (NCPDP field 431-DV).</w:t>
            </w:r>
          </w:p>
          <w:p>
            <w:pPr>
              <w:pStyle w:val="TableParagraph"/>
              <w:spacing w:before="121"/>
              <w:ind w:left="89" w:right="120"/>
              <w:rPr>
                <w:sz w:val="20"/>
              </w:rPr>
            </w:pPr>
            <w:r>
              <w:rPr>
                <w:sz w:val="20"/>
              </w:rPr>
              <w:t>Use Code 03 when the primary insurer has denied the claim. When using Code 03, an entry must be made in the Other Payer Reject Code field (NCPDP field 472-6E). The valid reject codes are as follows.</w:t>
            </w:r>
          </w:p>
          <w:p>
            <w:pPr>
              <w:pStyle w:val="TableParagraph"/>
              <w:numPr>
                <w:ilvl w:val="0"/>
                <w:numId w:val="3"/>
              </w:numPr>
              <w:tabs>
                <w:tab w:pos="695" w:val="left" w:leader="none"/>
              </w:tabs>
              <w:spacing w:line="240" w:lineRule="auto" w:before="122" w:after="0"/>
              <w:ind w:left="970" w:right="0" w:hanging="592"/>
              <w:jc w:val="left"/>
              <w:rPr>
                <w:sz w:val="19"/>
              </w:rPr>
            </w:pPr>
            <w:r>
              <w:rPr>
                <w:sz w:val="19"/>
              </w:rPr>
              <w:t>– Product/service is not covered for patient</w:t>
            </w:r>
            <w:r>
              <w:rPr>
                <w:spacing w:val="-3"/>
                <w:sz w:val="19"/>
              </w:rPr>
              <w:t> </w:t>
            </w:r>
            <w:r>
              <w:rPr>
                <w:sz w:val="19"/>
              </w:rPr>
              <w:t>age.</w:t>
            </w:r>
          </w:p>
          <w:p>
            <w:pPr>
              <w:pStyle w:val="TableParagraph"/>
              <w:numPr>
                <w:ilvl w:val="0"/>
                <w:numId w:val="3"/>
              </w:numPr>
              <w:tabs>
                <w:tab w:pos="695" w:val="left" w:leader="none"/>
              </w:tabs>
              <w:spacing w:line="240" w:lineRule="auto" w:before="0" w:after="0"/>
              <w:ind w:left="970" w:right="883" w:hanging="592"/>
              <w:jc w:val="left"/>
              <w:rPr>
                <w:sz w:val="19"/>
              </w:rPr>
            </w:pPr>
            <w:r>
              <w:rPr>
                <w:sz w:val="19"/>
              </w:rPr>
              <w:t>– Product/service is not covered for patient gender.</w:t>
            </w:r>
          </w:p>
          <w:p>
            <w:pPr>
              <w:pStyle w:val="TableParagraph"/>
              <w:ind w:left="949" w:hanging="572"/>
              <w:rPr>
                <w:sz w:val="19"/>
              </w:rPr>
            </w:pPr>
            <w:r>
              <w:rPr>
                <w:sz w:val="19"/>
              </w:rPr>
              <w:t>63 – Institutionalized patient product/service ID is not covered.</w:t>
            </w:r>
          </w:p>
          <w:p>
            <w:pPr>
              <w:pStyle w:val="TableParagraph"/>
              <w:numPr>
                <w:ilvl w:val="0"/>
                <w:numId w:val="4"/>
              </w:numPr>
              <w:tabs>
                <w:tab w:pos="695" w:val="left" w:leader="none"/>
              </w:tabs>
              <w:spacing w:line="240" w:lineRule="auto" w:before="0" w:after="0"/>
              <w:ind w:left="694" w:right="0" w:hanging="316"/>
              <w:jc w:val="left"/>
              <w:rPr>
                <w:sz w:val="19"/>
              </w:rPr>
            </w:pPr>
            <w:r>
              <w:rPr>
                <w:sz w:val="19"/>
              </w:rPr>
              <w:t>– Patient is not covered.</w:t>
            </w:r>
          </w:p>
          <w:p>
            <w:pPr>
              <w:pStyle w:val="TableParagraph"/>
              <w:numPr>
                <w:ilvl w:val="0"/>
                <w:numId w:val="4"/>
              </w:numPr>
              <w:tabs>
                <w:tab w:pos="695" w:val="left" w:leader="none"/>
              </w:tabs>
              <w:spacing w:line="240" w:lineRule="auto" w:before="0" w:after="0"/>
              <w:ind w:left="694" w:right="0" w:hanging="316"/>
              <w:jc w:val="left"/>
              <w:rPr>
                <w:sz w:val="19"/>
              </w:rPr>
            </w:pPr>
            <w:r>
              <w:rPr>
                <w:sz w:val="19"/>
              </w:rPr>
              <w:t>– Patient age exceeds the maximum</w:t>
            </w:r>
            <w:r>
              <w:rPr>
                <w:spacing w:val="-1"/>
                <w:sz w:val="19"/>
              </w:rPr>
              <w:t> </w:t>
            </w:r>
            <w:r>
              <w:rPr>
                <w:sz w:val="19"/>
              </w:rPr>
              <w:t>age.</w:t>
            </w:r>
          </w:p>
          <w:p>
            <w:pPr>
              <w:pStyle w:val="TableParagraph"/>
              <w:numPr>
                <w:ilvl w:val="0"/>
                <w:numId w:val="4"/>
              </w:numPr>
              <w:tabs>
                <w:tab w:pos="695" w:val="left" w:leader="none"/>
              </w:tabs>
              <w:spacing w:line="240" w:lineRule="auto" w:before="0" w:after="0"/>
              <w:ind w:left="694" w:right="0" w:hanging="316"/>
              <w:jc w:val="left"/>
              <w:rPr>
                <w:sz w:val="19"/>
              </w:rPr>
            </w:pPr>
            <w:r>
              <w:rPr>
                <w:sz w:val="19"/>
              </w:rPr>
              <w:t>– Filled before coverage is</w:t>
            </w:r>
            <w:r>
              <w:rPr>
                <w:spacing w:val="-2"/>
                <w:sz w:val="19"/>
              </w:rPr>
              <w:t> </w:t>
            </w:r>
            <w:r>
              <w:rPr>
                <w:sz w:val="19"/>
              </w:rPr>
              <w:t>effective.</w:t>
            </w:r>
          </w:p>
          <w:p>
            <w:pPr>
              <w:pStyle w:val="TableParagraph"/>
              <w:numPr>
                <w:ilvl w:val="0"/>
                <w:numId w:val="4"/>
              </w:numPr>
              <w:tabs>
                <w:tab w:pos="695" w:val="left" w:leader="none"/>
              </w:tabs>
              <w:spacing w:line="240" w:lineRule="auto" w:before="0" w:after="0"/>
              <w:ind w:left="694" w:right="0" w:hanging="316"/>
              <w:jc w:val="left"/>
              <w:rPr>
                <w:sz w:val="19"/>
              </w:rPr>
            </w:pPr>
            <w:r>
              <w:rPr>
                <w:sz w:val="19"/>
              </w:rPr>
              <w:t>– Filled after coverage</w:t>
            </w:r>
            <w:r>
              <w:rPr>
                <w:spacing w:val="-2"/>
                <w:sz w:val="19"/>
              </w:rPr>
              <w:t> </w:t>
            </w:r>
            <w:r>
              <w:rPr>
                <w:sz w:val="19"/>
              </w:rPr>
              <w:t>expired.</w:t>
            </w:r>
          </w:p>
          <w:p>
            <w:pPr>
              <w:pStyle w:val="TableParagraph"/>
              <w:numPr>
                <w:ilvl w:val="0"/>
                <w:numId w:val="4"/>
              </w:numPr>
              <w:tabs>
                <w:tab w:pos="695" w:val="left" w:leader="none"/>
              </w:tabs>
              <w:spacing w:line="240" w:lineRule="auto" w:before="0" w:after="0"/>
              <w:ind w:left="694" w:right="0" w:hanging="316"/>
              <w:jc w:val="left"/>
              <w:rPr>
                <w:sz w:val="19"/>
              </w:rPr>
            </w:pPr>
            <w:r>
              <w:rPr>
                <w:sz w:val="19"/>
              </w:rPr>
              <w:t>– Filled after coverage was</w:t>
            </w:r>
            <w:r>
              <w:rPr>
                <w:spacing w:val="-2"/>
                <w:sz w:val="19"/>
              </w:rPr>
              <w:t> </w:t>
            </w:r>
            <w:r>
              <w:rPr>
                <w:sz w:val="19"/>
              </w:rPr>
              <w:t>terminated.</w:t>
            </w:r>
          </w:p>
          <w:p>
            <w:pPr>
              <w:pStyle w:val="TableParagraph"/>
              <w:numPr>
                <w:ilvl w:val="0"/>
                <w:numId w:val="4"/>
              </w:numPr>
              <w:tabs>
                <w:tab w:pos="695" w:val="left" w:leader="none"/>
              </w:tabs>
              <w:spacing w:line="240" w:lineRule="auto" w:before="0" w:after="0"/>
              <w:ind w:left="694" w:right="0" w:hanging="316"/>
              <w:jc w:val="left"/>
              <w:rPr>
                <w:sz w:val="19"/>
              </w:rPr>
            </w:pPr>
            <w:r>
              <w:rPr>
                <w:sz w:val="19"/>
              </w:rPr>
              <w:t>– Product/service is not covered.</w:t>
            </w:r>
          </w:p>
          <w:p>
            <w:pPr>
              <w:pStyle w:val="TableParagraph"/>
              <w:numPr>
                <w:ilvl w:val="0"/>
                <w:numId w:val="4"/>
              </w:numPr>
              <w:tabs>
                <w:tab w:pos="695" w:val="left" w:leader="none"/>
              </w:tabs>
              <w:spacing w:line="240" w:lineRule="auto" w:before="0" w:after="0"/>
              <w:ind w:left="694" w:right="0" w:hanging="316"/>
              <w:jc w:val="left"/>
              <w:rPr>
                <w:sz w:val="19"/>
              </w:rPr>
            </w:pPr>
            <w:r>
              <w:rPr>
                <w:sz w:val="19"/>
              </w:rPr>
              <w:t>– Prescriber is not</w:t>
            </w:r>
            <w:r>
              <w:rPr>
                <w:spacing w:val="-1"/>
                <w:sz w:val="19"/>
              </w:rPr>
              <w:t> </w:t>
            </w:r>
            <w:r>
              <w:rPr>
                <w:sz w:val="19"/>
              </w:rPr>
              <w:t>covered.</w:t>
            </w:r>
          </w:p>
          <w:p>
            <w:pPr>
              <w:pStyle w:val="TableParagraph"/>
              <w:spacing w:line="218" w:lineRule="exact"/>
              <w:ind w:left="378"/>
              <w:rPr>
                <w:sz w:val="19"/>
              </w:rPr>
            </w:pPr>
            <w:r>
              <w:rPr>
                <w:sz w:val="19"/>
              </w:rPr>
              <w:t>76 – Plan limitations were exceeded.</w:t>
            </w:r>
          </w:p>
          <w:p>
            <w:pPr>
              <w:pStyle w:val="TableParagraph"/>
              <w:ind w:left="378"/>
              <w:rPr>
                <w:sz w:val="19"/>
              </w:rPr>
            </w:pPr>
            <w:r>
              <w:rPr>
                <w:sz w:val="18"/>
              </w:rPr>
              <w:t>AA </w:t>
            </w:r>
            <w:r>
              <w:rPr>
                <w:sz w:val="19"/>
              </w:rPr>
              <w:t>– Patient spend-down was not met.</w:t>
            </w:r>
          </w:p>
          <w:p>
            <w:pPr>
              <w:pStyle w:val="TableParagraph"/>
              <w:ind w:left="378"/>
              <w:rPr>
                <w:sz w:val="19"/>
              </w:rPr>
            </w:pPr>
            <w:r>
              <w:rPr>
                <w:sz w:val="18"/>
              </w:rPr>
              <w:t>M1 </w:t>
            </w:r>
            <w:r>
              <w:rPr>
                <w:sz w:val="19"/>
              </w:rPr>
              <w:t>– Patient is not covered in this aid category.</w:t>
            </w:r>
          </w:p>
          <w:p>
            <w:pPr>
              <w:pStyle w:val="TableParagraph"/>
              <w:ind w:left="970" w:right="458" w:hanging="593"/>
              <w:rPr>
                <w:sz w:val="19"/>
              </w:rPr>
            </w:pPr>
            <w:r>
              <w:rPr>
                <w:sz w:val="18"/>
              </w:rPr>
              <w:t>RN </w:t>
            </w:r>
            <w:r>
              <w:rPr>
                <w:sz w:val="19"/>
              </w:rPr>
              <w:t>– Plan limits were exceeded on intended partial fill values. MassHealth will pay only as the primary payer when one of the other payer reject codes listed above is received.</w:t>
            </w:r>
          </w:p>
          <w:p>
            <w:pPr>
              <w:pStyle w:val="TableParagraph"/>
              <w:spacing w:before="118"/>
              <w:ind w:left="89" w:right="186"/>
              <w:rPr>
                <w:sz w:val="20"/>
              </w:rPr>
            </w:pPr>
            <w:r>
              <w:rPr>
                <w:sz w:val="20"/>
              </w:rPr>
              <w:t>Use Code 07 when the primary insurer has denied the claim because the primary coverage was not in effect on date of service. The valid reject codes that can be used in Other Payer Reject Code Field when using OC 07 are as follows.</w:t>
            </w:r>
          </w:p>
          <w:p>
            <w:pPr>
              <w:pStyle w:val="TableParagraph"/>
              <w:spacing w:before="122"/>
              <w:ind w:left="378" w:right="1382"/>
              <w:rPr>
                <w:sz w:val="19"/>
              </w:rPr>
            </w:pPr>
            <w:r>
              <w:rPr>
                <w:sz w:val="19"/>
              </w:rPr>
              <w:t>67 – Filled before coverage was effective. 68 – Filled after coverage expired.</w:t>
            </w:r>
          </w:p>
          <w:p>
            <w:pPr>
              <w:pStyle w:val="TableParagraph"/>
              <w:ind w:left="378" w:right="1351"/>
              <w:rPr>
                <w:sz w:val="19"/>
              </w:rPr>
            </w:pPr>
            <w:r>
              <w:rPr>
                <w:sz w:val="19"/>
              </w:rPr>
              <w:t>69 – Filled after coverage was terminated. 76 – Plan limitations were exceeded.</w:t>
            </w:r>
          </w:p>
        </w:tc>
        <w:tc>
          <w:tcPr>
            <w:tcW w:w="5303" w:type="dxa"/>
            <w:tcBorders>
              <w:top w:val="single" w:sz="8" w:space="0" w:color="000000"/>
              <w:left w:val="single" w:sz="4" w:space="0" w:color="000000"/>
              <w:bottom w:val="single" w:sz="6" w:space="0" w:color="000000"/>
            </w:tcBorders>
          </w:tcPr>
          <w:p>
            <w:pPr>
              <w:pStyle w:val="TableParagraph"/>
              <w:spacing w:before="3"/>
              <w:rPr>
                <w:rFonts w:ascii="Arial Narrow"/>
                <w:sz w:val="17"/>
              </w:rPr>
            </w:pPr>
          </w:p>
          <w:p>
            <w:pPr>
              <w:pStyle w:val="TableParagraph"/>
              <w:ind w:left="103" w:right="94"/>
              <w:rPr>
                <w:sz w:val="20"/>
              </w:rPr>
            </w:pPr>
            <w:r>
              <w:rPr>
                <w:sz w:val="20"/>
              </w:rPr>
              <w:t>A pharmacy would use OC Code 08 when billing 100% of the copay from a paid claim to MassHealth. For example, when a member has a $10 copay with their primary insurer and they receive a prescription with a total cost of</w:t>
            </w:r>
          </w:p>
          <w:p>
            <w:pPr>
              <w:pStyle w:val="TableParagraph"/>
              <w:spacing w:before="1"/>
              <w:ind w:left="103" w:right="428"/>
              <w:rPr>
                <w:i/>
                <w:sz w:val="20"/>
              </w:rPr>
            </w:pPr>
            <w:r>
              <w:rPr>
                <w:sz w:val="20"/>
              </w:rPr>
              <w:t>$7, the pharmacy would bill MassHealth for the full $7 using Code 08. </w:t>
            </w:r>
            <w:r>
              <w:rPr>
                <w:i/>
                <w:sz w:val="20"/>
              </w:rPr>
              <w:t>If the primary insurer has made any </w:t>
            </w:r>
            <w:r>
              <w:rPr>
                <w:i/>
                <w:sz w:val="20"/>
              </w:rPr>
              <w:t>payment toward the claim, Code 02 should be used.</w:t>
            </w:r>
          </w:p>
          <w:p>
            <w:pPr>
              <w:pStyle w:val="TableParagraph"/>
              <w:spacing w:before="11"/>
              <w:rPr>
                <w:rFonts w:ascii="Arial Narrow"/>
                <w:sz w:val="17"/>
              </w:rPr>
            </w:pPr>
          </w:p>
          <w:p>
            <w:pPr>
              <w:pStyle w:val="TableParagraph"/>
              <w:ind w:left="102" w:right="107"/>
              <w:rPr>
                <w:sz w:val="20"/>
              </w:rPr>
            </w:pPr>
            <w:r>
              <w:rPr>
                <w:sz w:val="20"/>
              </w:rPr>
              <w:t>More information is accessible on the MassHealth Web site in the MassHealth Pharmacy Online Processing System (POPS) Billing Guide. This can be viewed at </w:t>
            </w:r>
            <w:hyperlink r:id="rId6">
              <w:r>
                <w:rPr>
                  <w:color w:val="0000FF"/>
                  <w:sz w:val="20"/>
                  <w:u w:val="single" w:color="0000FF"/>
                </w:rPr>
                <w:t>www.mass.gov/masshealth/pharmacy</w:t>
              </w:r>
            </w:hyperlink>
            <w:r>
              <w:rPr>
                <w:sz w:val="20"/>
              </w:rPr>
              <w:t>. Go to MassHealth Pharmacy Publications and Notices for Pharmacy Providers and click on the link for POPS Billing Guide.</w:t>
            </w:r>
          </w:p>
          <w:p>
            <w:pPr>
              <w:pStyle w:val="TableParagraph"/>
              <w:spacing w:before="7"/>
              <w:rPr>
                <w:rFonts w:ascii="Arial Narrow"/>
                <w:sz w:val="17"/>
              </w:rPr>
            </w:pPr>
          </w:p>
          <w:p>
            <w:pPr>
              <w:pStyle w:val="TableParagraph"/>
              <w:numPr>
                <w:ilvl w:val="0"/>
                <w:numId w:val="5"/>
              </w:numPr>
              <w:tabs>
                <w:tab w:pos="409" w:val="left" w:leader="none"/>
              </w:tabs>
              <w:spacing w:line="240" w:lineRule="auto" w:before="0" w:after="0"/>
              <w:ind w:left="391" w:right="279" w:hanging="288"/>
              <w:jc w:val="left"/>
              <w:rPr>
                <w:b/>
                <w:sz w:val="22"/>
              </w:rPr>
            </w:pPr>
            <w:r>
              <w:rPr>
                <w:b/>
                <w:sz w:val="22"/>
              </w:rPr>
              <w:t>Claims for Secondary Payment for</w:t>
            </w:r>
            <w:r>
              <w:rPr>
                <w:b/>
                <w:spacing w:val="-11"/>
                <w:sz w:val="22"/>
              </w:rPr>
              <w:t> </w:t>
            </w:r>
            <w:r>
              <w:rPr>
                <w:b/>
                <w:sz w:val="22"/>
              </w:rPr>
              <w:t>Medicare Part B Covered</w:t>
            </w:r>
            <w:r>
              <w:rPr>
                <w:b/>
                <w:spacing w:val="-1"/>
                <w:sz w:val="22"/>
              </w:rPr>
              <w:t> </w:t>
            </w:r>
            <w:r>
              <w:rPr>
                <w:b/>
                <w:sz w:val="22"/>
              </w:rPr>
              <w:t>Items</w:t>
            </w:r>
          </w:p>
          <w:p>
            <w:pPr>
              <w:pStyle w:val="TableParagraph"/>
              <w:spacing w:before="78"/>
              <w:ind w:left="102" w:right="191"/>
              <w:rPr>
                <w:sz w:val="20"/>
              </w:rPr>
            </w:pPr>
            <w:r>
              <w:rPr>
                <w:sz w:val="20"/>
              </w:rPr>
              <w:t>Effective April 7, 2009, for Medicare Part B covered drugs and durable medical equipment (DME) or supplies payable through POPS, (e.g. test strips or lancets), pharmacy providers must submit claims for secondary payment from MassHealth in the same manner for Medicare-eligible members as for members with any other primary insurance. A pharmacy should never assume a claim for any item paid through POPS will be paid as a crossover claim.</w:t>
            </w:r>
          </w:p>
          <w:p>
            <w:pPr>
              <w:pStyle w:val="TableParagraph"/>
              <w:spacing w:before="7"/>
              <w:rPr>
                <w:rFonts w:ascii="Arial Narrow"/>
                <w:sz w:val="17"/>
              </w:rPr>
            </w:pPr>
          </w:p>
          <w:p>
            <w:pPr>
              <w:pStyle w:val="TableParagraph"/>
              <w:numPr>
                <w:ilvl w:val="0"/>
                <w:numId w:val="5"/>
              </w:numPr>
              <w:tabs>
                <w:tab w:pos="409" w:val="left" w:leader="none"/>
              </w:tabs>
              <w:spacing w:line="240" w:lineRule="auto" w:before="0" w:after="0"/>
              <w:ind w:left="408" w:right="0" w:hanging="305"/>
              <w:jc w:val="left"/>
              <w:rPr>
                <w:b/>
                <w:sz w:val="22"/>
              </w:rPr>
            </w:pPr>
            <w:r>
              <w:rPr>
                <w:b/>
                <w:sz w:val="22"/>
              </w:rPr>
              <w:t>Prescriber NPI</w:t>
            </w:r>
            <w:r>
              <w:rPr>
                <w:b/>
                <w:spacing w:val="-1"/>
                <w:sz w:val="22"/>
              </w:rPr>
              <w:t> </w:t>
            </w:r>
            <w:r>
              <w:rPr>
                <w:b/>
                <w:sz w:val="22"/>
              </w:rPr>
              <w:t>Requirements</w:t>
            </w:r>
          </w:p>
          <w:p>
            <w:pPr>
              <w:pStyle w:val="TableParagraph"/>
              <w:spacing w:before="78"/>
              <w:ind w:left="102" w:right="141"/>
              <w:rPr>
                <w:sz w:val="20"/>
              </w:rPr>
            </w:pPr>
            <w:r>
              <w:rPr>
                <w:sz w:val="20"/>
              </w:rPr>
              <w:t>The National Provider Identifier (NPI) is mandated for compliance with the HIPAA standard transaction requirements. Effective April 8, 2009, MassHealth will require pharmacy providers to include the prescriber’s NPI number in the Prescriber ID field (NCPDP field 411- DB) for all pharmacy claim transactions. Other prescriber identifiers such as prescriber DEA number will no longer be accepted.</w:t>
            </w:r>
          </w:p>
          <w:p>
            <w:pPr>
              <w:pStyle w:val="TableParagraph"/>
              <w:spacing w:before="1"/>
              <w:rPr>
                <w:rFonts w:ascii="Arial Narrow"/>
                <w:sz w:val="20"/>
              </w:rPr>
            </w:pPr>
          </w:p>
          <w:p>
            <w:pPr>
              <w:pStyle w:val="TableParagraph"/>
              <w:ind w:left="102" w:right="107"/>
              <w:rPr>
                <w:sz w:val="20"/>
              </w:rPr>
            </w:pPr>
            <w:r>
              <w:rPr>
                <w:sz w:val="20"/>
              </w:rPr>
              <w:t>When submitting a claim with a prescriber NPI number, the pharmacy must enter the value of “01” in the prescriber ID qualifier field (NCPDP field 466-EZ). Claims submitted without the prescriber NPI qualifier will be denied and the pharmacy will receive the message,</w:t>
            </w:r>
          </w:p>
          <w:p>
            <w:pPr>
              <w:pStyle w:val="TableParagraph"/>
              <w:ind w:left="102"/>
              <w:rPr>
                <w:sz w:val="20"/>
              </w:rPr>
            </w:pPr>
            <w:r>
              <w:rPr>
                <w:sz w:val="20"/>
              </w:rPr>
              <w:t>EZ </w:t>
            </w:r>
            <w:r>
              <w:rPr>
                <w:b/>
                <w:i/>
                <w:sz w:val="19"/>
              </w:rPr>
              <w:t>– </w:t>
            </w:r>
            <w:r>
              <w:rPr>
                <w:sz w:val="20"/>
              </w:rPr>
              <w:t>INVALID PRESCRIBER ID QUALIFIER.</w:t>
            </w:r>
          </w:p>
        </w:tc>
        <w:tc>
          <w:tcPr>
            <w:tcW w:w="400" w:type="dxa"/>
            <w:tcBorders>
              <w:bottom w:val="single" w:sz="6" w:space="0" w:color="000000"/>
            </w:tcBorders>
          </w:tcPr>
          <w:p>
            <w:pPr>
              <w:pStyle w:val="TableParagraph"/>
              <w:rPr>
                <w:rFonts w:ascii="Times New Roman"/>
                <w:sz w:val="18"/>
              </w:rPr>
            </w:pPr>
          </w:p>
        </w:tc>
      </w:tr>
    </w:tbl>
    <w:p>
      <w:pPr>
        <w:pStyle w:val="BodyText"/>
        <w:spacing w:line="20" w:lineRule="exact"/>
        <w:ind w:left="113"/>
        <w:rPr>
          <w:rFonts w:ascii="Arial Narrow"/>
          <w:sz w:val="2"/>
        </w:rPr>
      </w:pPr>
      <w:r>
        <w:rPr>
          <w:rFonts w:ascii="Arial Narrow"/>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Narrow"/>
          <w:sz w:val="2"/>
        </w:rPr>
      </w:r>
    </w:p>
    <w:p>
      <w:pPr>
        <w:pStyle w:val="BodyText"/>
        <w:spacing w:before="94"/>
        <w:ind w:left="1740" w:right="1541"/>
        <w:jc w:val="center"/>
      </w:pPr>
      <w:r>
        <w:rPr/>
        <w:t>Please direct any questions or comments (or to be taken off of this fax distribution) to</w:t>
      </w:r>
    </w:p>
    <w:p>
      <w:pPr>
        <w:spacing w:before="0"/>
        <w:ind w:left="1739" w:right="1541" w:firstLine="0"/>
        <w:jc w:val="center"/>
        <w:rPr>
          <w:sz w:val="21"/>
        </w:rPr>
      </w:pPr>
      <w:r>
        <w:rPr>
          <w:rFonts w:ascii="Arial Black"/>
          <w:b/>
          <w:sz w:val="21"/>
        </w:rPr>
        <w:t>Victor Moquin </w:t>
      </w:r>
      <w:r>
        <w:rPr>
          <w:sz w:val="21"/>
        </w:rPr>
        <w:t>of ACS at 617-423-9830.</w:t>
      </w:r>
    </w:p>
    <w:sectPr>
      <w:type w:val="continuous"/>
      <w:pgSz w:w="12240" w:h="15840"/>
      <w:pgMar w:top="380" w:bottom="0" w:left="78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
      <w:numFmt w:val="decimal"/>
      <w:lvlText w:val="%1."/>
      <w:lvlJc w:val="left"/>
      <w:pPr>
        <w:ind w:left="391" w:hanging="306"/>
        <w:jc w:val="left"/>
      </w:pPr>
      <w:rPr>
        <w:rFonts w:hint="default" w:ascii="Arial" w:hAnsi="Arial" w:eastAsia="Arial" w:cs="Arial"/>
        <w:b/>
        <w:bCs/>
        <w:w w:val="99"/>
        <w:sz w:val="22"/>
        <w:szCs w:val="22"/>
        <w:lang w:val="en-us" w:eastAsia="en-us" w:bidi="en-us"/>
      </w:rPr>
    </w:lvl>
    <w:lvl w:ilvl="1">
      <w:start w:val="0"/>
      <w:numFmt w:val="bullet"/>
      <w:lvlText w:val="•"/>
      <w:lvlJc w:val="left"/>
      <w:pPr>
        <w:ind w:left="889" w:hanging="306"/>
      </w:pPr>
      <w:rPr>
        <w:rFonts w:hint="default"/>
        <w:lang w:val="en-us" w:eastAsia="en-us" w:bidi="en-us"/>
      </w:rPr>
    </w:lvl>
    <w:lvl w:ilvl="2">
      <w:start w:val="0"/>
      <w:numFmt w:val="bullet"/>
      <w:lvlText w:val="•"/>
      <w:lvlJc w:val="left"/>
      <w:pPr>
        <w:ind w:left="1379" w:hanging="306"/>
      </w:pPr>
      <w:rPr>
        <w:rFonts w:hint="default"/>
        <w:lang w:val="en-us" w:eastAsia="en-us" w:bidi="en-us"/>
      </w:rPr>
    </w:lvl>
    <w:lvl w:ilvl="3">
      <w:start w:val="0"/>
      <w:numFmt w:val="bullet"/>
      <w:lvlText w:val="•"/>
      <w:lvlJc w:val="left"/>
      <w:pPr>
        <w:ind w:left="1869" w:hanging="306"/>
      </w:pPr>
      <w:rPr>
        <w:rFonts w:hint="default"/>
        <w:lang w:val="en-us" w:eastAsia="en-us" w:bidi="en-us"/>
      </w:rPr>
    </w:lvl>
    <w:lvl w:ilvl="4">
      <w:start w:val="0"/>
      <w:numFmt w:val="bullet"/>
      <w:lvlText w:val="•"/>
      <w:lvlJc w:val="left"/>
      <w:pPr>
        <w:ind w:left="2359" w:hanging="306"/>
      </w:pPr>
      <w:rPr>
        <w:rFonts w:hint="default"/>
        <w:lang w:val="en-us" w:eastAsia="en-us" w:bidi="en-us"/>
      </w:rPr>
    </w:lvl>
    <w:lvl w:ilvl="5">
      <w:start w:val="0"/>
      <w:numFmt w:val="bullet"/>
      <w:lvlText w:val="•"/>
      <w:lvlJc w:val="left"/>
      <w:pPr>
        <w:ind w:left="2849" w:hanging="306"/>
      </w:pPr>
      <w:rPr>
        <w:rFonts w:hint="default"/>
        <w:lang w:val="en-us" w:eastAsia="en-us" w:bidi="en-us"/>
      </w:rPr>
    </w:lvl>
    <w:lvl w:ilvl="6">
      <w:start w:val="0"/>
      <w:numFmt w:val="bullet"/>
      <w:lvlText w:val="•"/>
      <w:lvlJc w:val="left"/>
      <w:pPr>
        <w:ind w:left="3338" w:hanging="306"/>
      </w:pPr>
      <w:rPr>
        <w:rFonts w:hint="default"/>
        <w:lang w:val="en-us" w:eastAsia="en-us" w:bidi="en-us"/>
      </w:rPr>
    </w:lvl>
    <w:lvl w:ilvl="7">
      <w:start w:val="0"/>
      <w:numFmt w:val="bullet"/>
      <w:lvlText w:val="•"/>
      <w:lvlJc w:val="left"/>
      <w:pPr>
        <w:ind w:left="3828" w:hanging="306"/>
      </w:pPr>
      <w:rPr>
        <w:rFonts w:hint="default"/>
        <w:lang w:val="en-us" w:eastAsia="en-us" w:bidi="en-us"/>
      </w:rPr>
    </w:lvl>
    <w:lvl w:ilvl="8">
      <w:start w:val="0"/>
      <w:numFmt w:val="bullet"/>
      <w:lvlText w:val="•"/>
      <w:lvlJc w:val="left"/>
      <w:pPr>
        <w:ind w:left="4318" w:hanging="306"/>
      </w:pPr>
      <w:rPr>
        <w:rFonts w:hint="default"/>
        <w:lang w:val="en-us" w:eastAsia="en-us" w:bidi="en-us"/>
      </w:rPr>
    </w:lvl>
  </w:abstractNum>
  <w:abstractNum w:abstractNumId="3">
    <w:multiLevelType w:val="hybridMultilevel"/>
    <w:lvl w:ilvl="0">
      <w:start w:val="65"/>
      <w:numFmt w:val="decimal"/>
      <w:lvlText w:val="%1"/>
      <w:lvlJc w:val="left"/>
      <w:pPr>
        <w:ind w:left="694" w:hanging="317"/>
        <w:jc w:val="left"/>
      </w:pPr>
      <w:rPr>
        <w:rFonts w:hint="default" w:ascii="Arial" w:hAnsi="Arial" w:eastAsia="Arial" w:cs="Arial"/>
        <w:w w:val="99"/>
        <w:sz w:val="19"/>
        <w:szCs w:val="19"/>
        <w:lang w:val="en-us" w:eastAsia="en-us" w:bidi="en-us"/>
      </w:rPr>
    </w:lvl>
    <w:lvl w:ilvl="1">
      <w:start w:val="0"/>
      <w:numFmt w:val="bullet"/>
      <w:lvlText w:val="•"/>
      <w:lvlJc w:val="left"/>
      <w:pPr>
        <w:ind w:left="1158" w:hanging="317"/>
      </w:pPr>
      <w:rPr>
        <w:rFonts w:hint="default"/>
        <w:lang w:val="en-us" w:eastAsia="en-us" w:bidi="en-us"/>
      </w:rPr>
    </w:lvl>
    <w:lvl w:ilvl="2">
      <w:start w:val="0"/>
      <w:numFmt w:val="bullet"/>
      <w:lvlText w:val="•"/>
      <w:lvlJc w:val="left"/>
      <w:pPr>
        <w:ind w:left="1617" w:hanging="317"/>
      </w:pPr>
      <w:rPr>
        <w:rFonts w:hint="default"/>
        <w:lang w:val="en-us" w:eastAsia="en-us" w:bidi="en-us"/>
      </w:rPr>
    </w:lvl>
    <w:lvl w:ilvl="3">
      <w:start w:val="0"/>
      <w:numFmt w:val="bullet"/>
      <w:lvlText w:val="•"/>
      <w:lvlJc w:val="left"/>
      <w:pPr>
        <w:ind w:left="2076" w:hanging="317"/>
      </w:pPr>
      <w:rPr>
        <w:rFonts w:hint="default"/>
        <w:lang w:val="en-us" w:eastAsia="en-us" w:bidi="en-us"/>
      </w:rPr>
    </w:lvl>
    <w:lvl w:ilvl="4">
      <w:start w:val="0"/>
      <w:numFmt w:val="bullet"/>
      <w:lvlText w:val="•"/>
      <w:lvlJc w:val="left"/>
      <w:pPr>
        <w:ind w:left="2534" w:hanging="317"/>
      </w:pPr>
      <w:rPr>
        <w:rFonts w:hint="default"/>
        <w:lang w:val="en-us" w:eastAsia="en-us" w:bidi="en-us"/>
      </w:rPr>
    </w:lvl>
    <w:lvl w:ilvl="5">
      <w:start w:val="0"/>
      <w:numFmt w:val="bullet"/>
      <w:lvlText w:val="•"/>
      <w:lvlJc w:val="left"/>
      <w:pPr>
        <w:ind w:left="2993" w:hanging="317"/>
      </w:pPr>
      <w:rPr>
        <w:rFonts w:hint="default"/>
        <w:lang w:val="en-us" w:eastAsia="en-us" w:bidi="en-us"/>
      </w:rPr>
    </w:lvl>
    <w:lvl w:ilvl="6">
      <w:start w:val="0"/>
      <w:numFmt w:val="bullet"/>
      <w:lvlText w:val="•"/>
      <w:lvlJc w:val="left"/>
      <w:pPr>
        <w:ind w:left="3452" w:hanging="317"/>
      </w:pPr>
      <w:rPr>
        <w:rFonts w:hint="default"/>
        <w:lang w:val="en-us" w:eastAsia="en-us" w:bidi="en-us"/>
      </w:rPr>
    </w:lvl>
    <w:lvl w:ilvl="7">
      <w:start w:val="0"/>
      <w:numFmt w:val="bullet"/>
      <w:lvlText w:val="•"/>
      <w:lvlJc w:val="left"/>
      <w:pPr>
        <w:ind w:left="3910" w:hanging="317"/>
      </w:pPr>
      <w:rPr>
        <w:rFonts w:hint="default"/>
        <w:lang w:val="en-us" w:eastAsia="en-us" w:bidi="en-us"/>
      </w:rPr>
    </w:lvl>
    <w:lvl w:ilvl="8">
      <w:start w:val="0"/>
      <w:numFmt w:val="bullet"/>
      <w:lvlText w:val="•"/>
      <w:lvlJc w:val="left"/>
      <w:pPr>
        <w:ind w:left="4369" w:hanging="317"/>
      </w:pPr>
      <w:rPr>
        <w:rFonts w:hint="default"/>
        <w:lang w:val="en-us" w:eastAsia="en-us" w:bidi="en-us"/>
      </w:rPr>
    </w:lvl>
  </w:abstractNum>
  <w:abstractNum w:abstractNumId="2">
    <w:multiLevelType w:val="hybridMultilevel"/>
    <w:lvl w:ilvl="0">
      <w:start w:val="60"/>
      <w:numFmt w:val="decimal"/>
      <w:lvlText w:val="%1"/>
      <w:lvlJc w:val="left"/>
      <w:pPr>
        <w:ind w:left="970" w:hanging="317"/>
        <w:jc w:val="left"/>
      </w:pPr>
      <w:rPr>
        <w:rFonts w:hint="default" w:ascii="Arial" w:hAnsi="Arial" w:eastAsia="Arial" w:cs="Arial"/>
        <w:w w:val="99"/>
        <w:sz w:val="19"/>
        <w:szCs w:val="19"/>
        <w:lang w:val="en-us" w:eastAsia="en-us" w:bidi="en-us"/>
      </w:rPr>
    </w:lvl>
    <w:lvl w:ilvl="1">
      <w:start w:val="0"/>
      <w:numFmt w:val="bullet"/>
      <w:lvlText w:val="•"/>
      <w:lvlJc w:val="left"/>
      <w:pPr>
        <w:ind w:left="1410" w:hanging="317"/>
      </w:pPr>
      <w:rPr>
        <w:rFonts w:hint="default"/>
        <w:lang w:val="en-us" w:eastAsia="en-us" w:bidi="en-us"/>
      </w:rPr>
    </w:lvl>
    <w:lvl w:ilvl="2">
      <w:start w:val="0"/>
      <w:numFmt w:val="bullet"/>
      <w:lvlText w:val="•"/>
      <w:lvlJc w:val="left"/>
      <w:pPr>
        <w:ind w:left="1841" w:hanging="317"/>
      </w:pPr>
      <w:rPr>
        <w:rFonts w:hint="default"/>
        <w:lang w:val="en-us" w:eastAsia="en-us" w:bidi="en-us"/>
      </w:rPr>
    </w:lvl>
    <w:lvl w:ilvl="3">
      <w:start w:val="0"/>
      <w:numFmt w:val="bullet"/>
      <w:lvlText w:val="•"/>
      <w:lvlJc w:val="left"/>
      <w:pPr>
        <w:ind w:left="2272" w:hanging="317"/>
      </w:pPr>
      <w:rPr>
        <w:rFonts w:hint="default"/>
        <w:lang w:val="en-us" w:eastAsia="en-us" w:bidi="en-us"/>
      </w:rPr>
    </w:lvl>
    <w:lvl w:ilvl="4">
      <w:start w:val="0"/>
      <w:numFmt w:val="bullet"/>
      <w:lvlText w:val="•"/>
      <w:lvlJc w:val="left"/>
      <w:pPr>
        <w:ind w:left="2702" w:hanging="317"/>
      </w:pPr>
      <w:rPr>
        <w:rFonts w:hint="default"/>
        <w:lang w:val="en-us" w:eastAsia="en-us" w:bidi="en-us"/>
      </w:rPr>
    </w:lvl>
    <w:lvl w:ilvl="5">
      <w:start w:val="0"/>
      <w:numFmt w:val="bullet"/>
      <w:lvlText w:val="•"/>
      <w:lvlJc w:val="left"/>
      <w:pPr>
        <w:ind w:left="3133" w:hanging="317"/>
      </w:pPr>
      <w:rPr>
        <w:rFonts w:hint="default"/>
        <w:lang w:val="en-us" w:eastAsia="en-us" w:bidi="en-us"/>
      </w:rPr>
    </w:lvl>
    <w:lvl w:ilvl="6">
      <w:start w:val="0"/>
      <w:numFmt w:val="bullet"/>
      <w:lvlText w:val="•"/>
      <w:lvlJc w:val="left"/>
      <w:pPr>
        <w:ind w:left="3564" w:hanging="317"/>
      </w:pPr>
      <w:rPr>
        <w:rFonts w:hint="default"/>
        <w:lang w:val="en-us" w:eastAsia="en-us" w:bidi="en-us"/>
      </w:rPr>
    </w:lvl>
    <w:lvl w:ilvl="7">
      <w:start w:val="0"/>
      <w:numFmt w:val="bullet"/>
      <w:lvlText w:val="•"/>
      <w:lvlJc w:val="left"/>
      <w:pPr>
        <w:ind w:left="3994" w:hanging="317"/>
      </w:pPr>
      <w:rPr>
        <w:rFonts w:hint="default"/>
        <w:lang w:val="en-us" w:eastAsia="en-us" w:bidi="en-us"/>
      </w:rPr>
    </w:lvl>
    <w:lvl w:ilvl="8">
      <w:start w:val="0"/>
      <w:numFmt w:val="bullet"/>
      <w:lvlText w:val="•"/>
      <w:lvlJc w:val="left"/>
      <w:pPr>
        <w:ind w:left="4425" w:hanging="317"/>
      </w:pPr>
      <w:rPr>
        <w:rFonts w:hint="default"/>
        <w:lang w:val="en-us" w:eastAsia="en-us" w:bidi="en-us"/>
      </w:rPr>
    </w:lvl>
  </w:abstractNum>
  <w:abstractNum w:abstractNumId="1">
    <w:multiLevelType w:val="hybridMultilevel"/>
    <w:lvl w:ilvl="0">
      <w:start w:val="7"/>
      <w:numFmt w:val="decimalZero"/>
      <w:lvlText w:val="%1"/>
      <w:lvlJc w:val="left"/>
      <w:pPr>
        <w:ind w:left="790" w:hanging="264"/>
        <w:jc w:val="left"/>
      </w:pPr>
      <w:rPr>
        <w:rFonts w:hint="default" w:ascii="Arial" w:hAnsi="Arial" w:eastAsia="Arial" w:cs="Arial"/>
        <w:w w:val="99"/>
        <w:sz w:val="19"/>
        <w:szCs w:val="19"/>
        <w:lang w:val="en-us" w:eastAsia="en-us" w:bidi="en-us"/>
      </w:rPr>
    </w:lvl>
    <w:lvl w:ilvl="1">
      <w:start w:val="0"/>
      <w:numFmt w:val="bullet"/>
      <w:lvlText w:val="•"/>
      <w:lvlJc w:val="left"/>
      <w:pPr>
        <w:ind w:left="1248" w:hanging="264"/>
      </w:pPr>
      <w:rPr>
        <w:rFonts w:hint="default"/>
        <w:lang w:val="en-us" w:eastAsia="en-us" w:bidi="en-us"/>
      </w:rPr>
    </w:lvl>
    <w:lvl w:ilvl="2">
      <w:start w:val="0"/>
      <w:numFmt w:val="bullet"/>
      <w:lvlText w:val="•"/>
      <w:lvlJc w:val="left"/>
      <w:pPr>
        <w:ind w:left="1697" w:hanging="264"/>
      </w:pPr>
      <w:rPr>
        <w:rFonts w:hint="default"/>
        <w:lang w:val="en-us" w:eastAsia="en-us" w:bidi="en-us"/>
      </w:rPr>
    </w:lvl>
    <w:lvl w:ilvl="3">
      <w:start w:val="0"/>
      <w:numFmt w:val="bullet"/>
      <w:lvlText w:val="•"/>
      <w:lvlJc w:val="left"/>
      <w:pPr>
        <w:ind w:left="2146" w:hanging="264"/>
      </w:pPr>
      <w:rPr>
        <w:rFonts w:hint="default"/>
        <w:lang w:val="en-us" w:eastAsia="en-us" w:bidi="en-us"/>
      </w:rPr>
    </w:lvl>
    <w:lvl w:ilvl="4">
      <w:start w:val="0"/>
      <w:numFmt w:val="bullet"/>
      <w:lvlText w:val="•"/>
      <w:lvlJc w:val="left"/>
      <w:pPr>
        <w:ind w:left="2594" w:hanging="264"/>
      </w:pPr>
      <w:rPr>
        <w:rFonts w:hint="default"/>
        <w:lang w:val="en-us" w:eastAsia="en-us" w:bidi="en-us"/>
      </w:rPr>
    </w:lvl>
    <w:lvl w:ilvl="5">
      <w:start w:val="0"/>
      <w:numFmt w:val="bullet"/>
      <w:lvlText w:val="•"/>
      <w:lvlJc w:val="left"/>
      <w:pPr>
        <w:ind w:left="3043" w:hanging="264"/>
      </w:pPr>
      <w:rPr>
        <w:rFonts w:hint="default"/>
        <w:lang w:val="en-us" w:eastAsia="en-us" w:bidi="en-us"/>
      </w:rPr>
    </w:lvl>
    <w:lvl w:ilvl="6">
      <w:start w:val="0"/>
      <w:numFmt w:val="bullet"/>
      <w:lvlText w:val="•"/>
      <w:lvlJc w:val="left"/>
      <w:pPr>
        <w:ind w:left="3492" w:hanging="264"/>
      </w:pPr>
      <w:rPr>
        <w:rFonts w:hint="default"/>
        <w:lang w:val="en-us" w:eastAsia="en-us" w:bidi="en-us"/>
      </w:rPr>
    </w:lvl>
    <w:lvl w:ilvl="7">
      <w:start w:val="0"/>
      <w:numFmt w:val="bullet"/>
      <w:lvlText w:val="•"/>
      <w:lvlJc w:val="left"/>
      <w:pPr>
        <w:ind w:left="3940" w:hanging="264"/>
      </w:pPr>
      <w:rPr>
        <w:rFonts w:hint="default"/>
        <w:lang w:val="en-us" w:eastAsia="en-us" w:bidi="en-us"/>
      </w:rPr>
    </w:lvl>
    <w:lvl w:ilvl="8">
      <w:start w:val="0"/>
      <w:numFmt w:val="bullet"/>
      <w:lvlText w:val="•"/>
      <w:lvlJc w:val="left"/>
      <w:pPr>
        <w:ind w:left="4389" w:hanging="264"/>
      </w:pPr>
      <w:rPr>
        <w:rFonts w:hint="default"/>
        <w:lang w:val="en-us" w:eastAsia="en-us" w:bidi="en-us"/>
      </w:rPr>
    </w:lvl>
  </w:abstractNum>
  <w:abstractNum w:abstractNumId="0">
    <w:multiLevelType w:val="hybridMultilevel"/>
    <w:lvl w:ilvl="0">
      <w:start w:val="0"/>
      <w:numFmt w:val="bullet"/>
      <w:lvlText w:val="•"/>
      <w:lvlJc w:val="left"/>
      <w:pPr>
        <w:ind w:left="1334" w:hanging="150"/>
      </w:pPr>
      <w:rPr>
        <w:rFonts w:hint="default" w:ascii="Arial Black" w:hAnsi="Arial Black" w:eastAsia="Arial Black" w:cs="Arial Black"/>
        <w:b/>
        <w:bCs/>
        <w:w w:val="100"/>
        <w:sz w:val="18"/>
        <w:szCs w:val="18"/>
        <w:lang w:val="en-us" w:eastAsia="en-us" w:bidi="en-us"/>
      </w:rPr>
    </w:lvl>
    <w:lvl w:ilvl="1">
      <w:start w:val="0"/>
      <w:numFmt w:val="bullet"/>
      <w:lvlText w:val="•"/>
      <w:lvlJc w:val="left"/>
      <w:pPr>
        <w:ind w:left="2265" w:hanging="150"/>
      </w:pPr>
      <w:rPr>
        <w:rFonts w:hint="default"/>
        <w:lang w:val="en-us" w:eastAsia="en-us" w:bidi="en-us"/>
      </w:rPr>
    </w:lvl>
    <w:lvl w:ilvl="2">
      <w:start w:val="0"/>
      <w:numFmt w:val="bullet"/>
      <w:lvlText w:val="•"/>
      <w:lvlJc w:val="left"/>
      <w:pPr>
        <w:ind w:left="3191" w:hanging="150"/>
      </w:pPr>
      <w:rPr>
        <w:rFonts w:hint="default"/>
        <w:lang w:val="en-us" w:eastAsia="en-us" w:bidi="en-us"/>
      </w:rPr>
    </w:lvl>
    <w:lvl w:ilvl="3">
      <w:start w:val="0"/>
      <w:numFmt w:val="bullet"/>
      <w:lvlText w:val="•"/>
      <w:lvlJc w:val="left"/>
      <w:pPr>
        <w:ind w:left="4116" w:hanging="150"/>
      </w:pPr>
      <w:rPr>
        <w:rFonts w:hint="default"/>
        <w:lang w:val="en-us" w:eastAsia="en-us" w:bidi="en-us"/>
      </w:rPr>
    </w:lvl>
    <w:lvl w:ilvl="4">
      <w:start w:val="0"/>
      <w:numFmt w:val="bullet"/>
      <w:lvlText w:val="•"/>
      <w:lvlJc w:val="left"/>
      <w:pPr>
        <w:ind w:left="5042" w:hanging="150"/>
      </w:pPr>
      <w:rPr>
        <w:rFonts w:hint="default"/>
        <w:lang w:val="en-us" w:eastAsia="en-us" w:bidi="en-us"/>
      </w:rPr>
    </w:lvl>
    <w:lvl w:ilvl="5">
      <w:start w:val="0"/>
      <w:numFmt w:val="bullet"/>
      <w:lvlText w:val="•"/>
      <w:lvlJc w:val="left"/>
      <w:pPr>
        <w:ind w:left="5967" w:hanging="150"/>
      </w:pPr>
      <w:rPr>
        <w:rFonts w:hint="default"/>
        <w:lang w:val="en-us" w:eastAsia="en-us" w:bidi="en-us"/>
      </w:rPr>
    </w:lvl>
    <w:lvl w:ilvl="6">
      <w:start w:val="0"/>
      <w:numFmt w:val="bullet"/>
      <w:lvlText w:val="•"/>
      <w:lvlJc w:val="left"/>
      <w:pPr>
        <w:ind w:left="6893" w:hanging="150"/>
      </w:pPr>
      <w:rPr>
        <w:rFonts w:hint="default"/>
        <w:lang w:val="en-us" w:eastAsia="en-us" w:bidi="en-us"/>
      </w:rPr>
    </w:lvl>
    <w:lvl w:ilvl="7">
      <w:start w:val="0"/>
      <w:numFmt w:val="bullet"/>
      <w:lvlText w:val="•"/>
      <w:lvlJc w:val="left"/>
      <w:pPr>
        <w:ind w:left="7818" w:hanging="150"/>
      </w:pPr>
      <w:rPr>
        <w:rFonts w:hint="default"/>
        <w:lang w:val="en-us" w:eastAsia="en-us" w:bidi="en-us"/>
      </w:rPr>
    </w:lvl>
    <w:lvl w:ilvl="8">
      <w:start w:val="0"/>
      <w:numFmt w:val="bullet"/>
      <w:lvlText w:val="•"/>
      <w:lvlJc w:val="left"/>
      <w:pPr>
        <w:ind w:left="8744" w:hanging="150"/>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1"/>
      <w:szCs w:val="21"/>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2017-11-24T15:32:56Z</dcterms:created>
  <dcterms:modified xsi:type="dcterms:W3CDTF">2017-11-24T15:32:56Z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2009-04-06T00:00:00Z</vt:filetime>
  </property>
  <property fmtid="{D5CDD505-2E9C-101B-9397-08002B2CF9AE}" pid="3" name="Creator">
    <vt:lpwstr>Acrobat PDFMaker 8.1 for Word</vt:lpwstr>
  </property>
  <property fmtid="{D5CDD505-2E9C-101B-9397-08002B2CF9AE}" pid="4" name="LastSaved">
    <vt:filetime>2017-11-24T00:00:00Z</vt:filetime>
  </property>
</Properties>
</file>