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23"/>
        </w:rPr>
      </w:pPr>
    </w:p>
    <w:p>
      <w:pPr>
        <w:spacing w:before="0" w:after="2"/>
        <w:ind w:left="1040" w:right="1417" w:firstLine="0"/>
        <w:jc w:val="center"/>
        <w:rPr>
          <w:rFonts w:ascii="Arial Narrow"/>
          <w:sz w:val="18"/>
        </w:rPr>
      </w:pPr>
      <w:r>
        <w:rPr/>
        <w:pict>
          <v:group style="position:absolute;margin-left:41.279999pt;margin-top:-105.210442pt;width:542.4pt;height:107.85pt;mso-position-horizontal-relative:page;mso-position-vertical-relative:paragraph;z-index:-4408" coordorigin="826,-2104" coordsize="10848,2157">
            <v:shape style="position:absolute;left:825;top:-2105;width:10848;height:2157" type="#_x0000_t75" stroked="false">
              <v:imagedata r:id="rId5" o:title=""/>
            </v:shape>
            <v:shapetype id="_x0000_t202" o:spt="202" coordsize="21600,21600" path="m,l,21600r21600,l21600,xe">
              <v:stroke joinstyle="miter"/>
              <v:path gradientshapeok="t" o:connecttype="rect"/>
            </v:shapetype>
            <v:shape style="position:absolute;left:1584;top:-1160;width:932;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50</w:t>
                    </w:r>
                  </w:p>
                  <w:p>
                    <w:pPr>
                      <w:spacing w:before="44"/>
                      <w:ind w:left="0" w:right="0" w:firstLine="0"/>
                      <w:jc w:val="left"/>
                      <w:rPr>
                        <w:rFonts w:ascii="Arial Narrow"/>
                        <w:b/>
                        <w:sz w:val="20"/>
                      </w:rPr>
                    </w:pPr>
                    <w:r>
                      <w:rPr>
                        <w:rFonts w:ascii="Arial Narrow"/>
                        <w:b/>
                        <w:sz w:val="20"/>
                      </w:rPr>
                      <w:t>May 6, 2009</w:t>
                    </w:r>
                  </w:p>
                </w:txbxContent>
              </v:textbox>
              <w10:wrap type="none"/>
            </v:shape>
            <v:shape style="position:absolute;left:10160;top:-260;width:1120;height:254" type="#_x0000_t202" filled="false" stroked="false">
              <v:textbox inset="0,0,0,0">
                <w:txbxContent>
                  <w:p>
                    <w:pPr>
                      <w:spacing w:before="0"/>
                      <w:ind w:left="0" w:right="0" w:firstLine="0"/>
                      <w:jc w:val="left"/>
                      <w:rPr>
                        <w:rFonts w:ascii="Arial Black"/>
                        <w:b/>
                        <w:sz w:val="18"/>
                      </w:rPr>
                    </w:pPr>
                    <w:r>
                      <w:rPr>
                        <w:rFonts w:ascii="Arial Black"/>
                        <w:b/>
                        <w:sz w:val="18"/>
                      </w:rPr>
                      <w:t>Page 1 of 2</w:t>
                    </w:r>
                  </w:p>
                </w:txbxContent>
              </v:textbox>
              <w10:wrap type="none"/>
            </v:shape>
            <w10:wrap type="none"/>
          </v:group>
        </w:pict>
      </w:r>
      <w:hyperlink r:id="rId6">
        <w:r>
          <w:rPr>
            <w:rFonts w:ascii="Arial Narrow"/>
            <w:sz w:val="18"/>
          </w:rPr>
          <w:t>www.mass.gov/masshealth/pharmacy</w:t>
        </w:r>
      </w:hyperlink>
    </w:p>
    <w:tbl>
      <w:tblPr>
        <w:tblW w:w="0" w:type="auto"/>
        <w:jc w:val="left"/>
        <w:tblInd w:w="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10"/>
        <w:gridCol w:w="5303"/>
      </w:tblGrid>
      <w:tr>
        <w:trPr>
          <w:trHeight w:val="303" w:hRule="atLeast"/>
        </w:trPr>
        <w:tc>
          <w:tcPr>
            <w:tcW w:w="10613" w:type="dxa"/>
            <w:gridSpan w:val="2"/>
            <w:tcBorders>
              <w:top w:val="single" w:sz="8" w:space="0" w:color="000000"/>
              <w:bottom w:val="single" w:sz="8" w:space="0" w:color="000000"/>
            </w:tcBorders>
          </w:tcPr>
          <w:p>
            <w:pPr>
              <w:pStyle w:val="TableParagraph"/>
              <w:numPr>
                <w:ilvl w:val="0"/>
                <w:numId w:val="1"/>
              </w:numPr>
              <w:tabs>
                <w:tab w:pos="1816" w:val="left" w:leader="none"/>
              </w:tabs>
              <w:spacing w:line="240" w:lineRule="auto" w:before="0" w:after="0"/>
              <w:ind w:left="1815" w:right="0" w:hanging="150"/>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Nancy Schiff</w:t>
            </w:r>
            <w:r>
              <w:rPr>
                <w:rFonts w:ascii="Arial Narrow" w:hAnsi="Arial Narrow"/>
                <w:spacing w:val="15"/>
                <w:sz w:val="18"/>
              </w:rPr>
              <w:t> </w:t>
            </w:r>
            <w:r>
              <w:rPr>
                <w:rFonts w:ascii="Arial Black" w:hAnsi="Arial Black"/>
                <w:b/>
                <w:sz w:val="18"/>
              </w:rPr>
              <w:t>•</w:t>
            </w:r>
          </w:p>
        </w:tc>
      </w:tr>
      <w:tr>
        <w:trPr>
          <w:trHeight w:val="12190" w:hRule="atLeast"/>
        </w:trPr>
        <w:tc>
          <w:tcPr>
            <w:tcW w:w="5310" w:type="dxa"/>
            <w:tcBorders>
              <w:top w:val="single" w:sz="8" w:space="0" w:color="000000"/>
              <w:right w:val="single" w:sz="4" w:space="0" w:color="000000"/>
            </w:tcBorders>
          </w:tcPr>
          <w:p>
            <w:pPr>
              <w:pStyle w:val="TableParagraph"/>
              <w:spacing w:line="288" w:lineRule="auto" w:before="199"/>
              <w:ind w:left="107" w:right="1083"/>
              <w:rPr>
                <w:rFonts w:ascii="Arial Black"/>
                <w:b/>
                <w:sz w:val="22"/>
              </w:rPr>
            </w:pPr>
            <w:r>
              <w:rPr>
                <w:rFonts w:ascii="Arial Black"/>
                <w:b/>
                <w:sz w:val="22"/>
              </w:rPr>
              <w:t>Claims for Secondary Payment for Medicare Part B Covered Items</w:t>
            </w:r>
          </w:p>
          <w:p>
            <w:pPr>
              <w:pStyle w:val="TableParagraph"/>
              <w:spacing w:line="290" w:lineRule="auto" w:before="132"/>
              <w:ind w:left="108" w:right="99"/>
              <w:rPr>
                <w:sz w:val="21"/>
              </w:rPr>
            </w:pPr>
            <w:r>
              <w:rPr>
                <w:sz w:val="21"/>
              </w:rPr>
              <w:t>In </w:t>
            </w:r>
            <w:r>
              <w:rPr>
                <w:i/>
                <w:sz w:val="21"/>
              </w:rPr>
              <w:t>Pharmacy Facts No. 49 </w:t>
            </w:r>
            <w:r>
              <w:rPr>
                <w:sz w:val="21"/>
              </w:rPr>
              <w:t>MassHealth announced revised procedures to follow when submitting claims to MassHealth for secondary payment for Medicare-B covered items when Medicare B is the primary payer. The implementation date of this revised procedure will now be July 1, 2009.</w:t>
            </w:r>
          </w:p>
          <w:p>
            <w:pPr>
              <w:pStyle w:val="TableParagraph"/>
              <w:spacing w:line="290" w:lineRule="auto" w:before="121"/>
              <w:ind w:left="108" w:right="134"/>
              <w:rPr>
                <w:sz w:val="21"/>
              </w:rPr>
            </w:pPr>
            <w:r>
              <w:rPr>
                <w:sz w:val="21"/>
              </w:rPr>
              <w:t>Beginning July 1, 2009, any claim for a Medicare-B covered drug, durable medical equipment, or supply that is payable through the Pharmacy Online Processing System (POPS) for when MassHealth is being billed as the secondary payer and Medicare B is the primary payer, must be processed through POPS.</w:t>
            </w:r>
          </w:p>
          <w:p>
            <w:pPr>
              <w:pStyle w:val="TableParagraph"/>
              <w:spacing w:before="147"/>
              <w:ind w:left="107"/>
              <w:rPr>
                <w:rFonts w:ascii="Arial Black"/>
                <w:b/>
                <w:sz w:val="22"/>
              </w:rPr>
            </w:pPr>
            <w:r>
              <w:rPr>
                <w:rFonts w:ascii="Arial Black"/>
                <w:b/>
                <w:sz w:val="22"/>
              </w:rPr>
              <w:t>Pharmacy Copayment Poster Updated</w:t>
            </w:r>
          </w:p>
          <w:p>
            <w:pPr>
              <w:pStyle w:val="TableParagraph"/>
              <w:spacing w:line="290" w:lineRule="auto" w:before="195"/>
              <w:ind w:left="107" w:right="128"/>
              <w:rPr>
                <w:sz w:val="21"/>
              </w:rPr>
            </w:pPr>
            <w:r>
              <w:rPr>
                <w:sz w:val="21"/>
              </w:rPr>
              <w:t>The sample Pharmacy Copayment poster on the MassHealth Web site has been updated to reflect the latest copayment information. Pharmacies are required by MassHealth regulations at 130 CMR 450.130(F) to post a notice about MassHealth copayments in areas where copayments are collected. The notice must be visible to the public and easily readable, must specify the exclusions from the copayment requirement listed in 130 CMR 450.130(D) and (E), and must instruct members to inform providers if members believe they are excluded from the copayment requirement. The poster can be downloaded by going to </w:t>
            </w:r>
            <w:hyperlink r:id="rId7">
              <w:r>
                <w:rPr>
                  <w:color w:val="0000FF"/>
                  <w:sz w:val="21"/>
                  <w:u w:val="single" w:color="0000FF"/>
                </w:rPr>
                <w:t>www.mass.gov/masshealth</w:t>
              </w:r>
            </w:hyperlink>
            <w:r>
              <w:rPr>
                <w:color w:val="0000FF"/>
                <w:sz w:val="21"/>
              </w:rPr>
              <w:t> </w:t>
            </w:r>
            <w:r>
              <w:rPr>
                <w:sz w:val="21"/>
              </w:rPr>
              <w:t>and clicking on the link for </w:t>
            </w:r>
            <w:r>
              <w:rPr>
                <w:b/>
                <w:sz w:val="21"/>
              </w:rPr>
              <w:t>Provide</w:t>
            </w:r>
            <w:r>
              <w:rPr>
                <w:sz w:val="21"/>
              </w:rPr>
              <w:t>r, then for </w:t>
            </w:r>
            <w:hyperlink r:id="rId8">
              <w:r>
                <w:rPr>
                  <w:sz w:val="21"/>
                </w:rPr>
                <w:t>I</w:t>
              </w:r>
              <w:r>
                <w:rPr>
                  <w:b/>
                  <w:sz w:val="21"/>
                </w:rPr>
                <w:t>nsurance </w:t>
              </w:r>
              <w:r>
                <w:rPr>
                  <w:sz w:val="21"/>
                </w:rPr>
                <w:t>(including MassHealth)</w:t>
              </w:r>
            </w:hyperlink>
            <w:r>
              <w:rPr>
                <w:sz w:val="21"/>
              </w:rPr>
              <w:t>, then for </w:t>
            </w:r>
            <w:hyperlink r:id="rId9">
              <w:r>
                <w:rPr>
                  <w:b/>
                  <w:sz w:val="21"/>
                </w:rPr>
                <w:t>MassHealth</w:t>
              </w:r>
            </w:hyperlink>
            <w:r>
              <w:rPr>
                <w:sz w:val="21"/>
              </w:rPr>
              <w:t>, then for </w:t>
            </w:r>
            <w:hyperlink r:id="rId10">
              <w:r>
                <w:rPr>
                  <w:b/>
                  <w:sz w:val="21"/>
                </w:rPr>
                <w:t>Training and Resources </w:t>
              </w:r>
            </w:hyperlink>
            <w:r>
              <w:rPr>
                <w:sz w:val="21"/>
              </w:rPr>
              <w:t>and then for </w:t>
            </w:r>
            <w:r>
              <w:rPr>
                <w:b/>
                <w:sz w:val="21"/>
              </w:rPr>
              <w:t>MassHealth Poster</w:t>
            </w:r>
            <w:r>
              <w:rPr>
                <w:b/>
                <w:spacing w:val="-7"/>
                <w:sz w:val="21"/>
              </w:rPr>
              <w:t> </w:t>
            </w:r>
            <w:r>
              <w:rPr>
                <w:b/>
                <w:sz w:val="21"/>
              </w:rPr>
              <w:t>Requirements</w:t>
            </w:r>
            <w:r>
              <w:rPr>
                <w:sz w:val="21"/>
              </w:rPr>
              <w:t>.</w:t>
            </w:r>
          </w:p>
          <w:p>
            <w:pPr>
              <w:pStyle w:val="TableParagraph"/>
              <w:spacing w:before="144"/>
              <w:ind w:left="107"/>
              <w:rPr>
                <w:rFonts w:ascii="Arial Black"/>
                <w:b/>
                <w:sz w:val="22"/>
              </w:rPr>
            </w:pPr>
            <w:r>
              <w:rPr>
                <w:rFonts w:ascii="Arial Black"/>
                <w:b/>
                <w:sz w:val="22"/>
              </w:rPr>
              <w:t>Invoice Type 9 Adjustments</w:t>
            </w:r>
          </w:p>
          <w:p>
            <w:pPr>
              <w:pStyle w:val="TableParagraph"/>
              <w:spacing w:line="290" w:lineRule="auto" w:before="194"/>
              <w:ind w:left="107" w:right="357"/>
              <w:rPr>
                <w:sz w:val="21"/>
              </w:rPr>
            </w:pPr>
            <w:r>
              <w:rPr>
                <w:sz w:val="21"/>
              </w:rPr>
              <w:t>MassHealth is adjusting some claims to pharmacies that may have paid incorrectly for dates of service</w:t>
            </w:r>
          </w:p>
        </w:tc>
        <w:tc>
          <w:tcPr>
            <w:tcW w:w="5303" w:type="dxa"/>
            <w:tcBorders>
              <w:top w:val="single" w:sz="8" w:space="0" w:color="000000"/>
              <w:left w:val="single" w:sz="4" w:space="0" w:color="000000"/>
            </w:tcBorders>
          </w:tcPr>
          <w:p>
            <w:pPr>
              <w:pStyle w:val="TableParagraph"/>
              <w:spacing w:before="6"/>
              <w:rPr>
                <w:rFonts w:ascii="Arial Narrow"/>
                <w:sz w:val="20"/>
              </w:rPr>
            </w:pPr>
          </w:p>
          <w:p>
            <w:pPr>
              <w:pStyle w:val="TableParagraph"/>
              <w:spacing w:line="290" w:lineRule="auto" w:before="0"/>
              <w:ind w:left="103" w:right="243"/>
              <w:rPr>
                <w:sz w:val="21"/>
              </w:rPr>
            </w:pPr>
            <w:r>
              <w:rPr>
                <w:sz w:val="21"/>
              </w:rPr>
              <w:t>from July 2007 to October 2007 on Claim Form No. 9 for DME products or supplies. This correction is to incorporate the July 2007 rate changes issued by the Division of Health Care Finance and Policy. The retro adjustment is expected to be in run 2085. Providers may contact MassHealth Customer Service at 1-800- 841-2900 with any questions or concerns.</w:t>
            </w:r>
          </w:p>
          <w:p>
            <w:pPr>
              <w:pStyle w:val="TableParagraph"/>
              <w:spacing w:before="146"/>
              <w:ind w:left="103"/>
              <w:rPr>
                <w:rFonts w:ascii="Arial Black"/>
                <w:b/>
                <w:sz w:val="22"/>
              </w:rPr>
            </w:pPr>
            <w:r>
              <w:rPr>
                <w:rFonts w:ascii="Arial Black"/>
                <w:b/>
                <w:sz w:val="22"/>
              </w:rPr>
              <w:t>MHDL Update</w:t>
            </w:r>
          </w:p>
          <w:p>
            <w:pPr>
              <w:pStyle w:val="TableParagraph"/>
              <w:spacing w:before="195"/>
              <w:ind w:left="103"/>
              <w:rPr>
                <w:b/>
                <w:sz w:val="21"/>
              </w:rPr>
            </w:pPr>
            <w:r>
              <w:rPr>
                <w:b/>
                <w:sz w:val="21"/>
              </w:rPr>
              <w:t>1. Additions</w:t>
            </w:r>
          </w:p>
          <w:p>
            <w:pPr>
              <w:pStyle w:val="TableParagraph"/>
              <w:spacing w:line="290" w:lineRule="auto"/>
              <w:ind w:left="463" w:right="425"/>
              <w:rPr>
                <w:sz w:val="21"/>
              </w:rPr>
            </w:pPr>
            <w:r>
              <w:rPr>
                <w:sz w:val="21"/>
              </w:rPr>
              <w:t>The following newly marketed drugs have been added to the MassHealth Drug List.</w:t>
            </w:r>
          </w:p>
          <w:p>
            <w:pPr>
              <w:pStyle w:val="TableParagraph"/>
              <w:spacing w:line="410" w:lineRule="auto" w:before="122"/>
              <w:ind w:left="463" w:right="2275" w:hanging="29"/>
              <w:rPr>
                <w:b/>
                <w:sz w:val="21"/>
              </w:rPr>
            </w:pPr>
            <w:r>
              <w:rPr>
                <w:sz w:val="21"/>
              </w:rPr>
              <w:t>Aczone (dapsone gel) – </w:t>
            </w:r>
            <w:r>
              <w:rPr>
                <w:b/>
                <w:sz w:val="21"/>
              </w:rPr>
              <w:t>PA </w:t>
            </w:r>
            <w:r>
              <w:rPr>
                <w:sz w:val="21"/>
              </w:rPr>
              <w:t>Astepro (azelastine) – </w:t>
            </w:r>
            <w:r>
              <w:rPr>
                <w:b/>
                <w:sz w:val="21"/>
              </w:rPr>
              <w:t>PA </w:t>
            </w:r>
            <w:r>
              <w:rPr>
                <w:sz w:val="21"/>
              </w:rPr>
              <w:t>Banzel (rufinamide) – </w:t>
            </w:r>
            <w:r>
              <w:rPr>
                <w:b/>
                <w:sz w:val="21"/>
              </w:rPr>
              <w:t>PA</w:t>
            </w:r>
          </w:p>
          <w:p>
            <w:pPr>
              <w:pStyle w:val="TableParagraph"/>
              <w:spacing w:before="3"/>
              <w:ind w:left="462"/>
              <w:rPr>
                <w:b/>
                <w:sz w:val="21"/>
              </w:rPr>
            </w:pPr>
            <w:r>
              <w:rPr>
                <w:sz w:val="21"/>
              </w:rPr>
              <w:t>Cinryze (C1 inhibitor, human) – </w:t>
            </w:r>
            <w:r>
              <w:rPr>
                <w:b/>
                <w:sz w:val="21"/>
              </w:rPr>
              <w:t>PA</w:t>
            </w:r>
          </w:p>
          <w:p>
            <w:pPr>
              <w:pStyle w:val="TableParagraph"/>
              <w:spacing w:line="410" w:lineRule="auto"/>
              <w:ind w:left="462" w:right="579"/>
              <w:rPr>
                <w:sz w:val="21"/>
              </w:rPr>
            </w:pPr>
            <w:r>
              <w:rPr>
                <w:sz w:val="21"/>
              </w:rPr>
              <w:t>Epiduo (adapalene/benzoyl peroxide) – </w:t>
            </w:r>
            <w:r>
              <w:rPr>
                <w:b/>
                <w:sz w:val="21"/>
              </w:rPr>
              <w:t>PA </w:t>
            </w:r>
            <w:r>
              <w:rPr>
                <w:sz w:val="21"/>
              </w:rPr>
              <w:t>Moxatag (amoxicillin, extended-release) – </w:t>
            </w:r>
            <w:r>
              <w:rPr>
                <w:b/>
                <w:sz w:val="21"/>
              </w:rPr>
              <w:t>PA </w:t>
            </w:r>
            <w:r>
              <w:rPr>
                <w:sz w:val="21"/>
              </w:rPr>
              <w:t>Mozobil (plerixafor)</w:t>
            </w:r>
          </w:p>
          <w:p>
            <w:pPr>
              <w:pStyle w:val="TableParagraph"/>
              <w:spacing w:before="3"/>
              <w:ind w:left="462"/>
              <w:rPr>
                <w:b/>
                <w:sz w:val="21"/>
              </w:rPr>
            </w:pPr>
            <w:r>
              <w:rPr>
                <w:sz w:val="21"/>
              </w:rPr>
              <w:t>Prandimet (repaglinide/metformin) – </w:t>
            </w:r>
            <w:r>
              <w:rPr>
                <w:b/>
                <w:sz w:val="21"/>
              </w:rPr>
              <w:t>PA</w:t>
            </w:r>
          </w:p>
          <w:p>
            <w:pPr>
              <w:pStyle w:val="TableParagraph"/>
              <w:ind w:left="463"/>
              <w:rPr>
                <w:b/>
                <w:sz w:val="21"/>
              </w:rPr>
            </w:pPr>
            <w:r>
              <w:rPr>
                <w:sz w:val="21"/>
              </w:rPr>
              <w:t>Promacta (eltrombopag) – </w:t>
            </w:r>
            <w:r>
              <w:rPr>
                <w:b/>
                <w:sz w:val="21"/>
              </w:rPr>
              <w:t>PA</w:t>
            </w:r>
          </w:p>
          <w:p>
            <w:pPr>
              <w:pStyle w:val="TableParagraph"/>
              <w:spacing w:before="173"/>
              <w:ind w:left="481"/>
              <w:rPr>
                <w:sz w:val="21"/>
              </w:rPr>
            </w:pPr>
            <w:r>
              <w:rPr>
                <w:sz w:val="21"/>
              </w:rPr>
              <w:t>Seroquel XR 50 mg (quetiapine extended-release)</w:t>
            </w:r>
          </w:p>
          <w:p>
            <w:pPr>
              <w:pStyle w:val="TableParagraph"/>
              <w:spacing w:before="50"/>
              <w:ind w:left="841"/>
              <w:rPr>
                <w:b/>
                <w:sz w:val="21"/>
              </w:rPr>
            </w:pPr>
            <w:r>
              <w:rPr>
                <w:sz w:val="21"/>
              </w:rPr>
              <w:t>– </w:t>
            </w:r>
            <w:r>
              <w:rPr>
                <w:b/>
                <w:sz w:val="21"/>
              </w:rPr>
              <w:t>PA &gt; 60 units/month</w:t>
            </w:r>
          </w:p>
          <w:p>
            <w:pPr>
              <w:pStyle w:val="TableParagraph"/>
              <w:spacing w:line="290" w:lineRule="auto"/>
              <w:ind w:left="840" w:right="758" w:hanging="360"/>
              <w:rPr>
                <w:b/>
                <w:sz w:val="21"/>
              </w:rPr>
            </w:pPr>
            <w:r>
              <w:rPr>
                <w:sz w:val="21"/>
              </w:rPr>
              <w:t>Seroquel XR 150 mg (quetiapine extended- release) – </w:t>
            </w:r>
            <w:r>
              <w:rPr>
                <w:b/>
                <w:sz w:val="21"/>
              </w:rPr>
              <w:t>PA &gt; 30 units/month</w:t>
            </w:r>
          </w:p>
          <w:p>
            <w:pPr>
              <w:pStyle w:val="TableParagraph"/>
              <w:spacing w:before="123"/>
              <w:ind w:left="462"/>
              <w:rPr>
                <w:b/>
                <w:sz w:val="21"/>
              </w:rPr>
            </w:pPr>
            <w:r>
              <w:rPr>
                <w:sz w:val="21"/>
              </w:rPr>
              <w:t>Trilipix (fenofibric acid) – </w:t>
            </w:r>
            <w:r>
              <w:rPr>
                <w:b/>
                <w:sz w:val="21"/>
              </w:rPr>
              <w:t>PA</w:t>
            </w:r>
          </w:p>
          <w:p>
            <w:pPr>
              <w:pStyle w:val="TableParagraph"/>
              <w:ind w:left="463"/>
              <w:rPr>
                <w:b/>
                <w:sz w:val="21"/>
              </w:rPr>
            </w:pPr>
            <w:r>
              <w:rPr>
                <w:sz w:val="21"/>
              </w:rPr>
              <w:t>Xenazine (tetrabenazine) – </w:t>
            </w:r>
            <w:r>
              <w:rPr>
                <w:b/>
                <w:sz w:val="21"/>
              </w:rPr>
              <w:t>PA</w:t>
            </w:r>
          </w:p>
          <w:p>
            <w:pPr>
              <w:pStyle w:val="TableParagraph"/>
              <w:spacing w:before="174"/>
              <w:ind w:left="103"/>
              <w:rPr>
                <w:b/>
                <w:sz w:val="21"/>
              </w:rPr>
            </w:pPr>
            <w:r>
              <w:rPr>
                <w:b/>
                <w:sz w:val="21"/>
              </w:rPr>
              <w:t>2. New FDA “A”-Rated Generics</w:t>
            </w:r>
          </w:p>
          <w:p>
            <w:pPr>
              <w:pStyle w:val="TableParagraph"/>
              <w:spacing w:line="290" w:lineRule="auto"/>
              <w:ind w:left="463" w:right="376" w:hanging="9"/>
              <w:rPr>
                <w:sz w:val="21"/>
              </w:rPr>
            </w:pPr>
            <w:r>
              <w:rPr>
                <w:sz w:val="21"/>
              </w:rPr>
              <w:t>The following FDA “A”-rated generic drugs have been added to the MassHealth Drug List. The brand name is listed with a # symbol to indicate that prior authorization is required for the brand.</w:t>
            </w:r>
          </w:p>
        </w:tc>
      </w:tr>
    </w:tbl>
    <w:p>
      <w:pPr>
        <w:spacing w:after="0" w:line="290" w:lineRule="auto"/>
        <w:rPr>
          <w:sz w:val="21"/>
        </w:rPr>
        <w:sectPr>
          <w:type w:val="continuous"/>
          <w:pgSz w:w="12240" w:h="15840"/>
          <w:pgMar w:top="380" w:bottom="280" w:left="620" w:right="420"/>
        </w:sectPr>
      </w:pPr>
    </w:p>
    <w:p>
      <w:pPr>
        <w:tabs>
          <w:tab w:pos="9547" w:val="left" w:leader="none"/>
        </w:tabs>
        <w:spacing w:before="72" w:after="34"/>
        <w:ind w:left="426" w:right="0" w:firstLine="0"/>
        <w:jc w:val="left"/>
        <w:rPr>
          <w:rFonts w:ascii="Arial Black"/>
          <w:b/>
          <w:sz w:val="18"/>
        </w:rPr>
      </w:pPr>
      <w:r>
        <w:rPr>
          <w:rFonts w:ascii="Arial Black"/>
          <w:b/>
          <w:sz w:val="18"/>
        </w:rPr>
        <w:t>Pharmacy Facts,</w:t>
      </w:r>
      <w:r>
        <w:rPr>
          <w:rFonts w:ascii="Arial Black"/>
          <w:b/>
          <w:spacing w:val="-5"/>
          <w:sz w:val="18"/>
        </w:rPr>
        <w:t> </w:t>
      </w:r>
      <w:r>
        <w:rPr>
          <w:rFonts w:ascii="Arial Black"/>
          <w:b/>
          <w:sz w:val="18"/>
        </w:rPr>
        <w:t>Number</w:t>
      </w:r>
      <w:r>
        <w:rPr>
          <w:rFonts w:ascii="Arial Black"/>
          <w:b/>
          <w:spacing w:val="-3"/>
          <w:sz w:val="18"/>
        </w:rPr>
        <w:t> </w:t>
      </w:r>
      <w:r>
        <w:rPr>
          <w:rFonts w:ascii="Arial Black"/>
          <w:b/>
          <w:sz w:val="18"/>
        </w:rPr>
        <w:t>50</w:t>
        <w:tab/>
        <w:t>Page 2 of</w:t>
      </w:r>
      <w:r>
        <w:rPr>
          <w:rFonts w:ascii="Arial Black"/>
          <w:b/>
          <w:spacing w:val="-3"/>
          <w:sz w:val="18"/>
        </w:rPr>
        <w:t> </w:t>
      </w:r>
      <w:r>
        <w:rPr>
          <w:rFonts w:ascii="Arial Black"/>
          <w:b/>
          <w:sz w:val="18"/>
        </w:rPr>
        <w:t>2</w:t>
      </w: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
        <w:gridCol w:w="5392"/>
        <w:gridCol w:w="5357"/>
        <w:gridCol w:w="160"/>
      </w:tblGrid>
      <w:tr>
        <w:trPr>
          <w:trHeight w:val="13999" w:hRule="atLeast"/>
        </w:trPr>
        <w:tc>
          <w:tcPr>
            <w:tcW w:w="72" w:type="dxa"/>
            <w:tcBorders>
              <w:bottom w:val="single" w:sz="6" w:space="0" w:color="000000"/>
            </w:tcBorders>
          </w:tcPr>
          <w:p>
            <w:pPr>
              <w:pStyle w:val="TableParagraph"/>
              <w:spacing w:before="0"/>
              <w:rPr>
                <w:rFonts w:ascii="Times New Roman"/>
                <w:sz w:val="20"/>
              </w:rPr>
            </w:pPr>
          </w:p>
        </w:tc>
        <w:tc>
          <w:tcPr>
            <w:tcW w:w="5392" w:type="dxa"/>
            <w:tcBorders>
              <w:top w:val="single" w:sz="8" w:space="0" w:color="000000"/>
              <w:bottom w:val="single" w:sz="6" w:space="0" w:color="000000"/>
              <w:right w:val="single" w:sz="4" w:space="0" w:color="000000"/>
            </w:tcBorders>
          </w:tcPr>
          <w:p>
            <w:pPr>
              <w:pStyle w:val="TableParagraph"/>
              <w:spacing w:before="10"/>
              <w:rPr>
                <w:rFonts w:ascii="Arial Black"/>
                <w:b/>
                <w:sz w:val="17"/>
              </w:rPr>
            </w:pPr>
          </w:p>
          <w:p>
            <w:pPr>
              <w:pStyle w:val="TableParagraph"/>
              <w:numPr>
                <w:ilvl w:val="0"/>
                <w:numId w:val="2"/>
              </w:numPr>
              <w:tabs>
                <w:tab w:pos="460" w:val="left" w:leader="none"/>
              </w:tabs>
              <w:spacing w:line="240" w:lineRule="auto" w:before="0" w:after="0"/>
              <w:ind w:left="468" w:right="0" w:hanging="360"/>
              <w:jc w:val="left"/>
              <w:rPr>
                <w:sz w:val="21"/>
              </w:rPr>
            </w:pPr>
            <w:r>
              <w:rPr>
                <w:b/>
                <w:sz w:val="21"/>
              </w:rPr>
              <w:t>New FDA “A” – Rated Generics</w:t>
            </w:r>
            <w:r>
              <w:rPr>
                <w:b/>
                <w:spacing w:val="-2"/>
                <w:sz w:val="21"/>
              </w:rPr>
              <w:t> </w:t>
            </w:r>
            <w:r>
              <w:rPr>
                <w:sz w:val="21"/>
              </w:rPr>
              <w:t>(cont.)</w:t>
            </w:r>
          </w:p>
          <w:p>
            <w:pPr>
              <w:pStyle w:val="TableParagraph"/>
              <w:tabs>
                <w:tab w:pos="3505" w:val="left" w:leader="none"/>
              </w:tabs>
              <w:spacing w:line="410" w:lineRule="auto" w:before="174"/>
              <w:ind w:left="108" w:right="526" w:hanging="1"/>
              <w:rPr>
                <w:sz w:val="21"/>
              </w:rPr>
            </w:pPr>
            <w:r>
              <w:rPr>
                <w:sz w:val="21"/>
                <w:u w:val="single"/>
              </w:rPr>
              <w:t>New FDA “A”-Rated Generic Drug</w:t>
            </w:r>
            <w:r>
              <w:rPr>
                <w:sz w:val="21"/>
              </w:rPr>
              <w:t>: calcium acetate </w:t>
            </w:r>
            <w:r>
              <w:rPr>
                <w:sz w:val="21"/>
                <w:u w:val="single"/>
              </w:rPr>
              <w:t>Generic</w:t>
            </w:r>
            <w:r>
              <w:rPr>
                <w:spacing w:val="-4"/>
                <w:sz w:val="21"/>
                <w:u w:val="single"/>
              </w:rPr>
              <w:t> </w:t>
            </w:r>
            <w:r>
              <w:rPr>
                <w:sz w:val="21"/>
                <w:u w:val="single"/>
              </w:rPr>
              <w:t>Equivalent</w:t>
            </w:r>
            <w:r>
              <w:rPr>
                <w:spacing w:val="-4"/>
                <w:sz w:val="21"/>
                <w:u w:val="single"/>
              </w:rPr>
              <w:t> </w:t>
            </w:r>
            <w:r>
              <w:rPr>
                <w:sz w:val="21"/>
                <w:u w:val="single"/>
              </w:rPr>
              <w:t>of</w:t>
            </w:r>
            <w:r>
              <w:rPr>
                <w:sz w:val="20"/>
              </w:rPr>
              <w:t>:</w:t>
              <w:tab/>
            </w:r>
            <w:r>
              <w:rPr>
                <w:sz w:val="21"/>
              </w:rPr>
              <w:t>Phoslo</w:t>
            </w:r>
            <w:r>
              <w:rPr>
                <w:spacing w:val="-1"/>
                <w:sz w:val="21"/>
              </w:rPr>
              <w:t> </w:t>
            </w:r>
            <w:r>
              <w:rPr>
                <w:sz w:val="21"/>
              </w:rPr>
              <w:t>#</w:t>
            </w:r>
          </w:p>
          <w:p>
            <w:pPr>
              <w:pStyle w:val="TableParagraph"/>
              <w:tabs>
                <w:tab w:pos="3560" w:val="left" w:leader="none"/>
              </w:tabs>
              <w:spacing w:line="410" w:lineRule="auto" w:before="120"/>
              <w:ind w:left="107" w:right="1077"/>
              <w:rPr>
                <w:sz w:val="21"/>
              </w:rPr>
            </w:pPr>
            <w:r>
              <w:rPr>
                <w:sz w:val="21"/>
                <w:u w:val="single"/>
              </w:rPr>
              <w:t>New FDA “A”-Rated Generic Drug</w:t>
            </w:r>
            <w:r>
              <w:rPr>
                <w:b/>
                <w:sz w:val="21"/>
              </w:rPr>
              <w:t>:</w:t>
            </w:r>
            <w:r>
              <w:rPr>
                <w:b/>
                <w:spacing w:val="-26"/>
                <w:sz w:val="21"/>
              </w:rPr>
              <w:t> </w:t>
            </w:r>
            <w:r>
              <w:rPr>
                <w:sz w:val="21"/>
              </w:rPr>
              <w:t>stavudine </w:t>
            </w:r>
            <w:r>
              <w:rPr>
                <w:sz w:val="21"/>
                <w:u w:val="single"/>
              </w:rPr>
              <w:t>Generic</w:t>
            </w:r>
            <w:r>
              <w:rPr>
                <w:spacing w:val="-4"/>
                <w:sz w:val="21"/>
                <w:u w:val="single"/>
              </w:rPr>
              <w:t> </w:t>
            </w:r>
            <w:r>
              <w:rPr>
                <w:sz w:val="21"/>
                <w:u w:val="single"/>
              </w:rPr>
              <w:t>Equivalent</w:t>
            </w:r>
            <w:r>
              <w:rPr>
                <w:spacing w:val="-4"/>
                <w:sz w:val="21"/>
                <w:u w:val="single"/>
              </w:rPr>
              <w:t> </w:t>
            </w:r>
            <w:r>
              <w:rPr>
                <w:sz w:val="21"/>
                <w:u w:val="single"/>
              </w:rPr>
              <w:t>of</w:t>
            </w:r>
            <w:r>
              <w:rPr>
                <w:sz w:val="20"/>
              </w:rPr>
              <w:t>:</w:t>
              <w:tab/>
            </w:r>
            <w:r>
              <w:rPr>
                <w:sz w:val="21"/>
              </w:rPr>
              <w:t>Zerit #</w:t>
            </w:r>
          </w:p>
          <w:p>
            <w:pPr>
              <w:pStyle w:val="TableParagraph"/>
              <w:numPr>
                <w:ilvl w:val="0"/>
                <w:numId w:val="2"/>
              </w:numPr>
              <w:tabs>
                <w:tab w:pos="460" w:val="left" w:leader="none"/>
              </w:tabs>
              <w:spacing w:line="240" w:lineRule="auto" w:before="2" w:after="0"/>
              <w:ind w:left="459" w:right="0" w:hanging="351"/>
              <w:jc w:val="left"/>
              <w:rPr>
                <w:b/>
                <w:sz w:val="21"/>
              </w:rPr>
            </w:pPr>
            <w:r>
              <w:rPr>
                <w:b/>
                <w:sz w:val="21"/>
              </w:rPr>
              <w:t>Change in Prior-Authorization</w:t>
            </w:r>
            <w:r>
              <w:rPr>
                <w:b/>
                <w:spacing w:val="-6"/>
                <w:sz w:val="21"/>
              </w:rPr>
              <w:t> </w:t>
            </w:r>
            <w:r>
              <w:rPr>
                <w:b/>
                <w:sz w:val="21"/>
              </w:rPr>
              <w:t>Status</w:t>
            </w:r>
          </w:p>
          <w:p>
            <w:pPr>
              <w:pStyle w:val="TableParagraph"/>
              <w:numPr>
                <w:ilvl w:val="1"/>
                <w:numId w:val="2"/>
              </w:numPr>
              <w:tabs>
                <w:tab w:pos="828" w:val="left" w:leader="none"/>
              </w:tabs>
              <w:spacing w:line="276" w:lineRule="auto" w:before="159" w:after="0"/>
              <w:ind w:left="835" w:right="953" w:hanging="367"/>
              <w:jc w:val="left"/>
              <w:rPr>
                <w:sz w:val="22"/>
              </w:rPr>
            </w:pPr>
            <w:r>
              <w:rPr>
                <w:sz w:val="22"/>
              </w:rPr>
              <w:t>The following drugs will require prior authorization effective May 18,</w:t>
            </w:r>
            <w:r>
              <w:rPr>
                <w:spacing w:val="-5"/>
                <w:sz w:val="22"/>
              </w:rPr>
              <w:t> </w:t>
            </w:r>
            <w:r>
              <w:rPr>
                <w:sz w:val="22"/>
              </w:rPr>
              <w:t>2009.</w:t>
            </w:r>
          </w:p>
          <w:p>
            <w:pPr>
              <w:pStyle w:val="TableParagraph"/>
              <w:spacing w:line="410" w:lineRule="auto" w:before="137"/>
              <w:ind w:left="828" w:right="1941" w:hanging="29"/>
              <w:rPr>
                <w:b/>
                <w:sz w:val="21"/>
              </w:rPr>
            </w:pPr>
            <w:r>
              <w:rPr>
                <w:sz w:val="21"/>
              </w:rPr>
              <w:t>Lumigan (bimatoprost) – </w:t>
            </w:r>
            <w:r>
              <w:rPr>
                <w:b/>
                <w:sz w:val="21"/>
              </w:rPr>
              <w:t>PA </w:t>
            </w:r>
            <w:r>
              <w:rPr>
                <w:sz w:val="21"/>
              </w:rPr>
              <w:t>Travatan (travoprost) – </w:t>
            </w:r>
            <w:r>
              <w:rPr>
                <w:b/>
                <w:sz w:val="21"/>
              </w:rPr>
              <w:t>PA </w:t>
            </w:r>
            <w:r>
              <w:rPr>
                <w:sz w:val="21"/>
              </w:rPr>
              <w:t>Xalatan (latanoprost) – </w:t>
            </w:r>
            <w:r>
              <w:rPr>
                <w:b/>
                <w:sz w:val="21"/>
              </w:rPr>
              <w:t>PA </w:t>
            </w:r>
            <w:r>
              <w:rPr>
                <w:sz w:val="21"/>
              </w:rPr>
              <w:t>Xifaxan (rifaximin) – </w:t>
            </w:r>
            <w:r>
              <w:rPr>
                <w:b/>
                <w:sz w:val="21"/>
              </w:rPr>
              <w:t>PA</w:t>
            </w:r>
          </w:p>
          <w:p>
            <w:pPr>
              <w:pStyle w:val="TableParagraph"/>
              <w:numPr>
                <w:ilvl w:val="1"/>
                <w:numId w:val="2"/>
              </w:numPr>
              <w:tabs>
                <w:tab w:pos="829" w:val="left" w:leader="none"/>
              </w:tabs>
              <w:spacing w:line="290" w:lineRule="auto" w:before="4" w:after="0"/>
              <w:ind w:left="828" w:right="111" w:hanging="360"/>
              <w:jc w:val="left"/>
              <w:rPr>
                <w:sz w:val="21"/>
              </w:rPr>
            </w:pPr>
            <w:r>
              <w:rPr>
                <w:sz w:val="21"/>
              </w:rPr>
              <w:t>The PA requirement for Nasacort AQ is changing. The following PA requirement is effective May 18, 2009. Please see Table 25</w:t>
            </w:r>
            <w:r>
              <w:rPr>
                <w:spacing w:val="-30"/>
                <w:sz w:val="21"/>
              </w:rPr>
              <w:t> </w:t>
            </w:r>
            <w:r>
              <w:rPr>
                <w:sz w:val="21"/>
              </w:rPr>
              <w:t>for a complete list of the PA requirements for intranasal</w:t>
            </w:r>
            <w:r>
              <w:rPr>
                <w:spacing w:val="-1"/>
                <w:sz w:val="21"/>
              </w:rPr>
              <w:t> </w:t>
            </w:r>
            <w:r>
              <w:rPr>
                <w:sz w:val="21"/>
              </w:rPr>
              <w:t>corticosteroids.</w:t>
            </w:r>
          </w:p>
          <w:p>
            <w:pPr>
              <w:pStyle w:val="TableParagraph"/>
              <w:spacing w:before="122"/>
              <w:ind w:left="842"/>
              <w:rPr>
                <w:b/>
                <w:sz w:val="21"/>
              </w:rPr>
            </w:pPr>
            <w:r>
              <w:rPr>
                <w:sz w:val="21"/>
              </w:rPr>
              <w:t>Nasacort AQ (triamcinolone nasal spray) – </w:t>
            </w:r>
            <w:r>
              <w:rPr>
                <w:b/>
                <w:sz w:val="21"/>
              </w:rPr>
              <w:t>PA</w:t>
            </w:r>
          </w:p>
          <w:p>
            <w:pPr>
              <w:pStyle w:val="TableParagraph"/>
              <w:spacing w:before="50"/>
              <w:ind w:left="827"/>
              <w:rPr>
                <w:b/>
                <w:sz w:val="21"/>
              </w:rPr>
            </w:pPr>
            <w:r>
              <w:rPr>
                <w:b/>
                <w:sz w:val="21"/>
                <w:u w:val="thick"/>
              </w:rPr>
              <w:t>&gt;</w:t>
            </w:r>
            <w:r>
              <w:rPr>
                <w:b/>
                <w:sz w:val="21"/>
              </w:rPr>
              <w:t> 4 years or &gt; 1 inhaler/month</w:t>
            </w:r>
          </w:p>
          <w:p>
            <w:pPr>
              <w:pStyle w:val="TableParagraph"/>
              <w:numPr>
                <w:ilvl w:val="1"/>
                <w:numId w:val="2"/>
              </w:numPr>
              <w:tabs>
                <w:tab w:pos="829" w:val="left" w:leader="none"/>
              </w:tabs>
              <w:spacing w:line="290" w:lineRule="auto" w:before="173" w:after="0"/>
              <w:ind w:left="827" w:right="263" w:hanging="359"/>
              <w:jc w:val="left"/>
              <w:rPr>
                <w:sz w:val="21"/>
              </w:rPr>
            </w:pPr>
            <w:r>
              <w:rPr>
                <w:sz w:val="21"/>
              </w:rPr>
              <w:t>The following drugs will no longer require</w:t>
            </w:r>
            <w:r>
              <w:rPr>
                <w:spacing w:val="-33"/>
                <w:sz w:val="21"/>
              </w:rPr>
              <w:t> </w:t>
            </w:r>
            <w:r>
              <w:rPr>
                <w:sz w:val="21"/>
              </w:rPr>
              <w:t>prior authorization.</w:t>
            </w:r>
          </w:p>
          <w:p>
            <w:pPr>
              <w:pStyle w:val="TableParagraph"/>
              <w:spacing w:line="410" w:lineRule="auto" w:before="121"/>
              <w:ind w:left="819" w:right="2822" w:hanging="2"/>
              <w:rPr>
                <w:sz w:val="21"/>
              </w:rPr>
            </w:pPr>
            <w:r>
              <w:rPr>
                <w:sz w:val="21"/>
              </w:rPr>
              <w:t>Eurax (crotamiton) Ovide (malathion)</w:t>
            </w:r>
          </w:p>
          <w:p>
            <w:pPr>
              <w:pStyle w:val="TableParagraph"/>
              <w:numPr>
                <w:ilvl w:val="0"/>
                <w:numId w:val="2"/>
              </w:numPr>
              <w:tabs>
                <w:tab w:pos="468" w:val="left" w:leader="none"/>
              </w:tabs>
              <w:spacing w:line="290" w:lineRule="auto" w:before="2" w:after="0"/>
              <w:ind w:left="468" w:right="413" w:hanging="360"/>
              <w:jc w:val="left"/>
              <w:rPr>
                <w:b/>
                <w:sz w:val="21"/>
              </w:rPr>
            </w:pPr>
            <w:r>
              <w:rPr>
                <w:b/>
                <w:sz w:val="21"/>
              </w:rPr>
              <w:t>Updated MassHealth Over-the-Counter (OTC) Drug</w:t>
            </w:r>
            <w:r>
              <w:rPr>
                <w:b/>
                <w:spacing w:val="-1"/>
                <w:sz w:val="21"/>
              </w:rPr>
              <w:t> </w:t>
            </w:r>
            <w:r>
              <w:rPr>
                <w:b/>
                <w:sz w:val="21"/>
              </w:rPr>
              <w:t>List</w:t>
            </w:r>
          </w:p>
          <w:p>
            <w:pPr>
              <w:pStyle w:val="TableParagraph"/>
              <w:spacing w:line="290" w:lineRule="auto" w:before="122"/>
              <w:ind w:left="468" w:hanging="9"/>
              <w:rPr>
                <w:sz w:val="21"/>
              </w:rPr>
            </w:pPr>
            <w:r>
              <w:rPr>
                <w:sz w:val="21"/>
              </w:rPr>
              <w:t>The MassHealth (OTC) Drug List has been updated to include the following.</w:t>
            </w:r>
          </w:p>
          <w:p>
            <w:pPr>
              <w:pStyle w:val="TableParagraph"/>
              <w:spacing w:before="121"/>
              <w:ind w:left="468"/>
              <w:rPr>
                <w:sz w:val="21"/>
              </w:rPr>
            </w:pPr>
            <w:r>
              <w:rPr>
                <w:sz w:val="21"/>
              </w:rPr>
              <w:t>hydrophilic ointment</w:t>
            </w:r>
          </w:p>
          <w:p>
            <w:pPr>
              <w:pStyle w:val="TableParagraph"/>
              <w:numPr>
                <w:ilvl w:val="0"/>
                <w:numId w:val="2"/>
              </w:numPr>
              <w:tabs>
                <w:tab w:pos="468" w:val="left" w:leader="none"/>
              </w:tabs>
              <w:spacing w:line="240" w:lineRule="auto" w:before="173" w:after="0"/>
              <w:ind w:left="467" w:right="0" w:hanging="359"/>
              <w:jc w:val="left"/>
              <w:rPr>
                <w:b/>
                <w:sz w:val="21"/>
              </w:rPr>
            </w:pPr>
            <w:r>
              <w:rPr>
                <w:b/>
                <w:sz w:val="21"/>
              </w:rPr>
              <w:t>Updated MassHealth Non-Drug Product</w:t>
            </w:r>
            <w:r>
              <w:rPr>
                <w:b/>
                <w:spacing w:val="-10"/>
                <w:sz w:val="21"/>
              </w:rPr>
              <w:t> </w:t>
            </w:r>
            <w:r>
              <w:rPr>
                <w:b/>
                <w:sz w:val="21"/>
              </w:rPr>
              <w:t>List</w:t>
            </w:r>
          </w:p>
          <w:p>
            <w:pPr>
              <w:pStyle w:val="TableParagraph"/>
              <w:spacing w:line="290" w:lineRule="auto"/>
              <w:ind w:left="468" w:right="285" w:hanging="9"/>
              <w:rPr>
                <w:sz w:val="21"/>
              </w:rPr>
            </w:pPr>
            <w:r>
              <w:rPr>
                <w:sz w:val="21"/>
              </w:rPr>
              <w:t>The MassHealth Non-Drug List has been updated to include the following.</w:t>
            </w:r>
          </w:p>
          <w:p>
            <w:pPr>
              <w:pStyle w:val="TableParagraph"/>
              <w:spacing w:before="122"/>
              <w:ind w:left="446"/>
              <w:rPr>
                <w:sz w:val="21"/>
              </w:rPr>
            </w:pPr>
            <w:r>
              <w:rPr>
                <w:sz w:val="21"/>
              </w:rPr>
              <w:t>Hyper-Sal (sodium chloride 7% for inhalation)</w:t>
            </w:r>
          </w:p>
          <w:p>
            <w:pPr>
              <w:pStyle w:val="TableParagraph"/>
              <w:numPr>
                <w:ilvl w:val="0"/>
                <w:numId w:val="2"/>
              </w:numPr>
              <w:tabs>
                <w:tab w:pos="469" w:val="left" w:leader="none"/>
              </w:tabs>
              <w:spacing w:line="240" w:lineRule="auto" w:before="173" w:after="0"/>
              <w:ind w:left="468" w:right="0" w:hanging="360"/>
              <w:jc w:val="left"/>
              <w:rPr>
                <w:b/>
                <w:sz w:val="21"/>
              </w:rPr>
            </w:pPr>
            <w:r>
              <w:rPr>
                <w:b/>
                <w:sz w:val="21"/>
              </w:rPr>
              <w:t>Deletions</w:t>
            </w:r>
          </w:p>
          <w:p>
            <w:pPr>
              <w:pStyle w:val="TableParagraph"/>
              <w:spacing w:line="290" w:lineRule="auto"/>
              <w:ind w:left="468" w:right="101"/>
              <w:rPr>
                <w:sz w:val="21"/>
              </w:rPr>
            </w:pPr>
            <w:r>
              <w:rPr>
                <w:sz w:val="21"/>
              </w:rPr>
              <w:t>The following drugs have been deleted from the MassHealth Drug List. MassHealth does not pay for</w:t>
            </w:r>
          </w:p>
        </w:tc>
        <w:tc>
          <w:tcPr>
            <w:tcW w:w="5357" w:type="dxa"/>
            <w:tcBorders>
              <w:top w:val="single" w:sz="8" w:space="0" w:color="000000"/>
              <w:left w:val="single" w:sz="4" w:space="0" w:color="000000"/>
              <w:bottom w:val="single" w:sz="6" w:space="0" w:color="000000"/>
            </w:tcBorders>
          </w:tcPr>
          <w:p>
            <w:pPr>
              <w:pStyle w:val="TableParagraph"/>
              <w:spacing w:before="5"/>
              <w:rPr>
                <w:rFonts w:ascii="Arial Black"/>
                <w:b/>
                <w:sz w:val="16"/>
              </w:rPr>
            </w:pPr>
          </w:p>
          <w:p>
            <w:pPr>
              <w:pStyle w:val="TableParagraph"/>
              <w:spacing w:line="290" w:lineRule="auto" w:before="0"/>
              <w:ind w:left="470" w:right="309" w:firstLine="6"/>
              <w:rPr>
                <w:sz w:val="21"/>
              </w:rPr>
            </w:pPr>
            <w:r>
              <w:rPr>
                <w:sz w:val="21"/>
              </w:rPr>
              <w:t>drugs that are manufactured by companies that have not signed rebate agreements with the U.S. Secretary of Health and Human Services.</w:t>
            </w:r>
          </w:p>
          <w:p>
            <w:pPr>
              <w:pStyle w:val="TableParagraph"/>
              <w:spacing w:before="159"/>
              <w:ind w:left="470"/>
              <w:rPr>
                <w:sz w:val="21"/>
              </w:rPr>
            </w:pPr>
            <w:r>
              <w:rPr>
                <w:sz w:val="21"/>
              </w:rPr>
              <w:t>Aphthasol 5% (amlexanox)</w:t>
            </w:r>
          </w:p>
          <w:p>
            <w:pPr>
              <w:pStyle w:val="TableParagraph"/>
              <w:ind w:left="470"/>
              <w:rPr>
                <w:sz w:val="21"/>
              </w:rPr>
            </w:pPr>
            <w:r>
              <w:rPr>
                <w:sz w:val="21"/>
              </w:rPr>
              <w:t>Coraz (hydrocortisone/salicylic acid/sulfur)</w:t>
            </w:r>
          </w:p>
          <w:p>
            <w:pPr>
              <w:pStyle w:val="TableParagraph"/>
              <w:spacing w:before="173"/>
              <w:ind w:left="102"/>
              <w:rPr>
                <w:b/>
                <w:sz w:val="21"/>
              </w:rPr>
            </w:pPr>
            <w:r>
              <w:rPr>
                <w:b/>
                <w:sz w:val="21"/>
              </w:rPr>
              <w:t>7. Corrections</w:t>
            </w:r>
          </w:p>
          <w:p>
            <w:pPr>
              <w:pStyle w:val="TableParagraph"/>
              <w:spacing w:line="276" w:lineRule="auto" w:before="160"/>
              <w:ind w:left="471" w:right="580"/>
              <w:rPr>
                <w:sz w:val="22"/>
              </w:rPr>
            </w:pPr>
            <w:r>
              <w:rPr>
                <w:sz w:val="22"/>
              </w:rPr>
              <w:t>The following drugs have been added to the MassHealth Drug List. They were omitted in error. These additions do not reflect any changes in MassHealth policy.</w:t>
            </w:r>
          </w:p>
          <w:p>
            <w:pPr>
              <w:pStyle w:val="TableParagraph"/>
              <w:spacing w:line="410" w:lineRule="auto" w:before="139"/>
              <w:ind w:left="471" w:right="2025" w:hanging="1"/>
              <w:rPr>
                <w:sz w:val="21"/>
              </w:rPr>
            </w:pPr>
            <w:r>
              <w:rPr>
                <w:sz w:val="21"/>
              </w:rPr>
              <w:t>Anzemet (dolasetron) injection coal tar °</w:t>
            </w:r>
          </w:p>
          <w:p>
            <w:pPr>
              <w:pStyle w:val="TableParagraph"/>
              <w:spacing w:line="410" w:lineRule="auto" w:before="2"/>
              <w:ind w:left="476" w:right="1879" w:hanging="6"/>
              <w:rPr>
                <w:sz w:val="21"/>
              </w:rPr>
            </w:pPr>
            <w:r>
              <w:rPr>
                <w:sz w:val="21"/>
              </w:rPr>
              <w:t>Kytril # (granisetron) injection Zofran # (ondansetron) injection</w:t>
            </w:r>
          </w:p>
          <w:p>
            <w:pPr>
              <w:pStyle w:val="TableParagraph"/>
              <w:spacing w:before="0"/>
              <w:rPr>
                <w:rFonts w:ascii="Arial Black"/>
                <w:b/>
                <w:sz w:val="22"/>
              </w:rPr>
            </w:pPr>
          </w:p>
          <w:p>
            <w:pPr>
              <w:pStyle w:val="TableParagraph"/>
              <w:spacing w:before="9"/>
              <w:rPr>
                <w:rFonts w:ascii="Arial Black"/>
                <w:b/>
                <w:sz w:val="26"/>
              </w:rPr>
            </w:pPr>
          </w:p>
          <w:p>
            <w:pPr>
              <w:pStyle w:val="TableParagraph"/>
              <w:spacing w:before="0"/>
              <w:ind w:left="471"/>
              <w:rPr>
                <w:sz w:val="18"/>
              </w:rPr>
            </w:pPr>
            <w:r>
              <w:rPr>
                <w:sz w:val="18"/>
              </w:rPr>
              <w:t>° PA status depends on the drug’s formulation.</w:t>
            </w:r>
          </w:p>
        </w:tc>
        <w:tc>
          <w:tcPr>
            <w:tcW w:w="160" w:type="dxa"/>
            <w:tcBorders>
              <w:bottom w:val="single" w:sz="6" w:space="0" w:color="000000"/>
            </w:tcBorders>
          </w:tcPr>
          <w:p>
            <w:pPr>
              <w:pStyle w:val="TableParagraph"/>
              <w:spacing w:before="0"/>
              <w:rPr>
                <w:rFonts w:ascii="Times New Roman"/>
                <w:sz w:val="20"/>
              </w:rPr>
            </w:pPr>
          </w:p>
        </w:tc>
      </w:tr>
    </w:tbl>
    <w:p>
      <w:pPr>
        <w:pStyle w:val="BodyText"/>
        <w:spacing w:line="20" w:lineRule="exact"/>
        <w:ind w:left="100"/>
        <w:rPr>
          <w:rFonts w:ascii="Arial Black"/>
          <w:sz w:val="2"/>
        </w:rPr>
      </w:pPr>
      <w:r>
        <w:rPr>
          <w:rFonts w:ascii="Arial Black"/>
          <w:sz w:val="2"/>
        </w:rPr>
        <w:pict>
          <v:group style="width:549pt;height:.7pt;mso-position-horizontal-relative:char;mso-position-vertical-relative:line" coordorigin="0,0" coordsize="10980,14">
            <v:line style="position:absolute" from="0,7" to="10980,7" stroked="true" strokeweight=".66pt" strokecolor="#000000">
              <v:stroke dashstyle="solid"/>
            </v:line>
          </v:group>
        </w:pict>
      </w:r>
      <w:r>
        <w:rPr>
          <w:rFonts w:ascii="Arial Black"/>
          <w:sz w:val="2"/>
        </w:rPr>
      </w:r>
    </w:p>
    <w:p>
      <w:pPr>
        <w:pStyle w:val="BodyText"/>
        <w:spacing w:line="241" w:lineRule="exact" w:before="118"/>
        <w:ind w:left="1864" w:right="1417"/>
        <w:jc w:val="center"/>
      </w:pPr>
      <w:r>
        <w:rPr/>
        <w:t>Please direct any questions or comments (or to be taken off of this fax distribution) to</w:t>
      </w:r>
    </w:p>
    <w:p>
      <w:pPr>
        <w:spacing w:line="296" w:lineRule="exact" w:before="0"/>
        <w:ind w:left="1862" w:right="1417" w:firstLine="0"/>
        <w:jc w:val="center"/>
        <w:rPr>
          <w:sz w:val="21"/>
        </w:rPr>
      </w:pPr>
      <w:r>
        <w:rPr>
          <w:rFonts w:ascii="Arial Black"/>
          <w:b/>
          <w:sz w:val="21"/>
        </w:rPr>
        <w:t>Victor Moquin </w:t>
      </w:r>
      <w:r>
        <w:rPr>
          <w:sz w:val="21"/>
        </w:rPr>
        <w:t>of ACS at 617-423-9830.</w:t>
      </w:r>
    </w:p>
    <w:sectPr>
      <w:pgSz w:w="12240" w:h="15840"/>
      <w:pgMar w:top="360" w:bottom="280" w:left="62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Black">
    <w:altName w:val="Arial Black"/>
    <w:charset w:val="0"/>
    <w:family w:val="swiss"/>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
      <w:numFmt w:val="decimal"/>
      <w:lvlText w:val="%1."/>
      <w:lvlJc w:val="left"/>
      <w:pPr>
        <w:ind w:left="468" w:hanging="352"/>
        <w:jc w:val="left"/>
      </w:pPr>
      <w:rPr>
        <w:rFonts w:hint="default" w:ascii="Arial" w:hAnsi="Arial" w:eastAsia="Arial" w:cs="Arial"/>
        <w:b/>
        <w:bCs/>
        <w:spacing w:val="-3"/>
        <w:w w:val="99"/>
        <w:sz w:val="21"/>
        <w:szCs w:val="21"/>
      </w:rPr>
    </w:lvl>
    <w:lvl w:ilvl="1">
      <w:start w:val="1"/>
      <w:numFmt w:val="lowerLetter"/>
      <w:lvlText w:val="%2."/>
      <w:lvlJc w:val="left"/>
      <w:pPr>
        <w:ind w:left="835" w:hanging="360"/>
        <w:jc w:val="left"/>
      </w:pPr>
      <w:rPr>
        <w:rFonts w:hint="default"/>
        <w:w w:val="99"/>
      </w:rPr>
    </w:lvl>
    <w:lvl w:ilvl="2">
      <w:start w:val="0"/>
      <w:numFmt w:val="bullet"/>
      <w:lvlText w:val="•"/>
      <w:lvlJc w:val="left"/>
      <w:pPr>
        <w:ind w:left="1345" w:hanging="360"/>
      </w:pPr>
      <w:rPr>
        <w:rFonts w:hint="default"/>
      </w:rPr>
    </w:lvl>
    <w:lvl w:ilvl="3">
      <w:start w:val="0"/>
      <w:numFmt w:val="bullet"/>
      <w:lvlText w:val="•"/>
      <w:lvlJc w:val="left"/>
      <w:pPr>
        <w:ind w:left="1850" w:hanging="360"/>
      </w:pPr>
      <w:rPr>
        <w:rFonts w:hint="default"/>
      </w:rPr>
    </w:lvl>
    <w:lvl w:ilvl="4">
      <w:start w:val="0"/>
      <w:numFmt w:val="bullet"/>
      <w:lvlText w:val="•"/>
      <w:lvlJc w:val="left"/>
      <w:pPr>
        <w:ind w:left="2355" w:hanging="360"/>
      </w:pPr>
      <w:rPr>
        <w:rFonts w:hint="default"/>
      </w:rPr>
    </w:lvl>
    <w:lvl w:ilvl="5">
      <w:start w:val="0"/>
      <w:numFmt w:val="bullet"/>
      <w:lvlText w:val="•"/>
      <w:lvlJc w:val="left"/>
      <w:pPr>
        <w:ind w:left="2860" w:hanging="360"/>
      </w:pPr>
      <w:rPr>
        <w:rFonts w:hint="default"/>
      </w:rPr>
    </w:lvl>
    <w:lvl w:ilvl="6">
      <w:start w:val="0"/>
      <w:numFmt w:val="bullet"/>
      <w:lvlText w:val="•"/>
      <w:lvlJc w:val="left"/>
      <w:pPr>
        <w:ind w:left="3366" w:hanging="360"/>
      </w:pPr>
      <w:rPr>
        <w:rFonts w:hint="default"/>
      </w:rPr>
    </w:lvl>
    <w:lvl w:ilvl="7">
      <w:start w:val="0"/>
      <w:numFmt w:val="bullet"/>
      <w:lvlText w:val="•"/>
      <w:lvlJc w:val="left"/>
      <w:pPr>
        <w:ind w:left="3871" w:hanging="360"/>
      </w:pPr>
      <w:rPr>
        <w:rFonts w:hint="default"/>
      </w:rPr>
    </w:lvl>
    <w:lvl w:ilvl="8">
      <w:start w:val="0"/>
      <w:numFmt w:val="bullet"/>
      <w:lvlText w:val="•"/>
      <w:lvlJc w:val="left"/>
      <w:pPr>
        <w:ind w:left="4376" w:hanging="360"/>
      </w:pPr>
      <w:rPr>
        <w:rFonts w:hint="default"/>
      </w:rPr>
    </w:lvl>
  </w:abstractNum>
  <w:abstractNum w:abstractNumId="0">
    <w:multiLevelType w:val="hybridMultilevel"/>
    <w:lvl w:ilvl="0">
      <w:start w:val="0"/>
      <w:numFmt w:val="bullet"/>
      <w:lvlText w:val="•"/>
      <w:lvlJc w:val="left"/>
      <w:pPr>
        <w:ind w:left="1815" w:hanging="150"/>
      </w:pPr>
      <w:rPr>
        <w:rFonts w:hint="default" w:ascii="Arial Black" w:hAnsi="Arial Black" w:eastAsia="Arial Black" w:cs="Arial Black"/>
        <w:b/>
        <w:bCs/>
        <w:w w:val="100"/>
        <w:sz w:val="18"/>
        <w:szCs w:val="18"/>
      </w:rPr>
    </w:lvl>
    <w:lvl w:ilvl="1">
      <w:start w:val="0"/>
      <w:numFmt w:val="bullet"/>
      <w:lvlText w:val="•"/>
      <w:lvlJc w:val="left"/>
      <w:pPr>
        <w:ind w:left="2699" w:hanging="150"/>
      </w:pPr>
      <w:rPr>
        <w:rFonts w:hint="default"/>
      </w:rPr>
    </w:lvl>
    <w:lvl w:ilvl="2">
      <w:start w:val="0"/>
      <w:numFmt w:val="bullet"/>
      <w:lvlText w:val="•"/>
      <w:lvlJc w:val="left"/>
      <w:pPr>
        <w:ind w:left="3578" w:hanging="150"/>
      </w:pPr>
      <w:rPr>
        <w:rFonts w:hint="default"/>
      </w:rPr>
    </w:lvl>
    <w:lvl w:ilvl="3">
      <w:start w:val="0"/>
      <w:numFmt w:val="bullet"/>
      <w:lvlText w:val="•"/>
      <w:lvlJc w:val="left"/>
      <w:pPr>
        <w:ind w:left="4457" w:hanging="150"/>
      </w:pPr>
      <w:rPr>
        <w:rFonts w:hint="default"/>
      </w:rPr>
    </w:lvl>
    <w:lvl w:ilvl="4">
      <w:start w:val="0"/>
      <w:numFmt w:val="bullet"/>
      <w:lvlText w:val="•"/>
      <w:lvlJc w:val="left"/>
      <w:pPr>
        <w:ind w:left="5337" w:hanging="150"/>
      </w:pPr>
      <w:rPr>
        <w:rFonts w:hint="default"/>
      </w:rPr>
    </w:lvl>
    <w:lvl w:ilvl="5">
      <w:start w:val="0"/>
      <w:numFmt w:val="bullet"/>
      <w:lvlText w:val="•"/>
      <w:lvlJc w:val="left"/>
      <w:pPr>
        <w:ind w:left="6216" w:hanging="150"/>
      </w:pPr>
      <w:rPr>
        <w:rFonts w:hint="default"/>
      </w:rPr>
    </w:lvl>
    <w:lvl w:ilvl="6">
      <w:start w:val="0"/>
      <w:numFmt w:val="bullet"/>
      <w:lvlText w:val="•"/>
      <w:lvlJc w:val="left"/>
      <w:pPr>
        <w:ind w:left="7095" w:hanging="150"/>
      </w:pPr>
      <w:rPr>
        <w:rFonts w:hint="default"/>
      </w:rPr>
    </w:lvl>
    <w:lvl w:ilvl="7">
      <w:start w:val="0"/>
      <w:numFmt w:val="bullet"/>
      <w:lvlText w:val="•"/>
      <w:lvlJc w:val="left"/>
      <w:pPr>
        <w:ind w:left="7975" w:hanging="150"/>
      </w:pPr>
      <w:rPr>
        <w:rFonts w:hint="default"/>
      </w:rPr>
    </w:lvl>
    <w:lvl w:ilvl="8">
      <w:start w:val="0"/>
      <w:numFmt w:val="bullet"/>
      <w:lvlText w:val="•"/>
      <w:lvlJc w:val="left"/>
      <w:pPr>
        <w:ind w:left="8854" w:hanging="15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172"/>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hyperlink" Target="http://www.mass.gov/masshealth" TargetMode="External"/><Relationship Id="rId8" Type="http://schemas.openxmlformats.org/officeDocument/2006/relationships/hyperlink" Target="http://www.mass.gov/?pageID=eohhs2topic&amp;amp;L=3&amp;amp;L0=Home&amp;amp;L1=Provider&amp;amp;L2=Insurance%2B(including%2BMassHealth)&amp;amp;sid=Eeohhs2" TargetMode="External"/><Relationship Id="rId9" Type="http://schemas.openxmlformats.org/officeDocument/2006/relationships/hyperlink" Target="http://www.mass.gov/?pageID=eohhs2subtopic&amp;amp;L=4&amp;amp;L0=Home&amp;amp;L1=Provider&amp;amp;L2=Insurance%2B(including%2BMassHealth)&amp;amp;L3=MassHealth&amp;amp;sid=Eeohhs2" TargetMode="External"/><Relationship Id="rId10" Type="http://schemas.openxmlformats.org/officeDocument/2006/relationships/hyperlink" Target="http://www.mass.gov/?pageID=eohhs2subtopic&amp;amp;L=5&amp;amp;L0=Home&amp;amp;L1=Provider&amp;amp;L2=Insurance%2B(including%2BMassHealth)&amp;amp;L3=MassHealth&amp;amp;L4=Training%2Band%2BResources&amp;amp;sid=Eeohhs2"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dcterms:created xsi:type="dcterms:W3CDTF">2017-11-24T18:35:10Z</dcterms:created>
  <dcterms:modified xsi:type="dcterms:W3CDTF">2017-11-24T18:35:10Z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2009-05-06T00:00:00Z</vt:filetime>
  </property>
  <property fmtid="{D5CDD505-2E9C-101B-9397-08002B2CF9AE}" pid="3" name="Creator">
    <vt:lpwstr>Acrobat PDFMaker 8.1 for Word</vt:lpwstr>
  </property>
  <property fmtid="{D5CDD505-2E9C-101B-9397-08002B2CF9AE}" pid="4" name="LastSaved">
    <vt:filetime>2017-11-24T00:00:00Z</vt:filetime>
  </property>
</Properties>
</file>