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1"/>
        </w:rPr>
      </w:pPr>
    </w:p>
    <w:p>
      <w:pPr>
        <w:pStyle w:val="BodyText"/>
        <w:ind w:left="1040" w:right="1417"/>
        <w:jc w:val="center"/>
      </w:pPr>
      <w:r>
        <w:rPr/>
        <w:pict>
          <v:group style="position:absolute;margin-left:41.05793pt;margin-top:-104.701202pt;width:541.9pt;height:107.25pt;mso-position-horizontal-relative:page;mso-position-vertical-relative:paragraph;z-index:-4288" coordorigin="821,-2094" coordsize="10838,2145">
            <v:shape style="position:absolute;left:821;top:-2095;width:10838;height:2145" type="#_x0000_t75" stroked="false">
              <v:imagedata r:id="rId5" o:title=""/>
            </v:shape>
            <v:shapetype id="_x0000_t202" o:spt="202" coordsize="21600,21600" path="m,l,21600r21600,l21600,xe">
              <v:stroke joinstyle="miter"/>
              <v:path gradientshapeok="t" o:connecttype="rect"/>
            </v:shapetype>
            <v:shape style="position:absolute;left:1584;top:-1160;width:1024;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51</w:t>
                    </w:r>
                  </w:p>
                  <w:p>
                    <w:pPr>
                      <w:spacing w:before="44"/>
                      <w:ind w:left="0" w:right="0" w:firstLine="0"/>
                      <w:jc w:val="left"/>
                      <w:rPr>
                        <w:rFonts w:ascii="Arial Narrow"/>
                        <w:b/>
                        <w:sz w:val="20"/>
                      </w:rPr>
                    </w:pPr>
                    <w:r>
                      <w:rPr>
                        <w:rFonts w:ascii="Arial Narrow"/>
                        <w:b/>
                        <w:sz w:val="20"/>
                      </w:rPr>
                      <w:t>May 14, 2009</w:t>
                    </w:r>
                  </w:p>
                </w:txbxContent>
              </v:textbox>
              <w10:wrap type="none"/>
            </v:shape>
            <v:shape style="position:absolute;left:10160;top:-260;width:1120;height:254" type="#_x0000_t202" filled="false" stroked="false">
              <v:textbox inset="0,0,0,0">
                <w:txbxContent>
                  <w:p>
                    <w:pPr>
                      <w:spacing w:before="0"/>
                      <w:ind w:left="0" w:right="0" w:firstLine="0"/>
                      <w:jc w:val="left"/>
                      <w:rPr>
                        <w:rFonts w:ascii="Arial Black"/>
                        <w:b/>
                        <w:sz w:val="18"/>
                      </w:rPr>
                    </w:pPr>
                    <w:r>
                      <w:rPr>
                        <w:rFonts w:ascii="Arial Black"/>
                        <w:b/>
                        <w:sz w:val="18"/>
                      </w:rPr>
                      <w:t>Page 1 of 2</w:t>
                    </w:r>
                  </w:p>
                </w:txbxContent>
              </v:textbox>
              <w10:wrap type="none"/>
            </v:shape>
            <w10:wrap type="none"/>
          </v:group>
        </w:pict>
      </w:r>
      <w:hyperlink r:id="rId6">
        <w:r>
          <w:rPr/>
          <w:t>www.mass.gov/masshealth/pharmacy</w:t>
        </w:r>
      </w:hyperlink>
    </w:p>
    <w:p>
      <w:pPr>
        <w:pStyle w:val="BodyText"/>
        <w:spacing w:line="20" w:lineRule="exact"/>
        <w:ind w:left="234"/>
        <w:rPr>
          <w:sz w:val="2"/>
        </w:rPr>
      </w:pPr>
      <w:r>
        <w:rPr>
          <w:sz w:val="2"/>
        </w:rPr>
        <w:pict>
          <v:group style="width:530.65pt;height:1pt;mso-position-horizontal-relative:char;mso-position-vertical-relative:line" coordorigin="0,0" coordsize="10613,20">
            <v:line style="position:absolute" from="0,10" to="10613,10" stroked="true" strokeweight=".96pt" strokecolor="#000000">
              <v:stroke dashstyle="solid"/>
            </v:line>
          </v:group>
        </w:pict>
      </w:r>
      <w:r>
        <w:rPr>
          <w:sz w:val="2"/>
        </w:rPr>
      </w:r>
    </w:p>
    <w:p>
      <w:pPr>
        <w:pStyle w:val="ListParagraph"/>
        <w:numPr>
          <w:ilvl w:val="0"/>
          <w:numId w:val="1"/>
        </w:numPr>
        <w:tabs>
          <w:tab w:pos="2080" w:val="left" w:leader="none"/>
        </w:tabs>
        <w:spacing w:line="240" w:lineRule="auto" w:before="0" w:after="51"/>
        <w:ind w:left="2079" w:right="0" w:hanging="149"/>
        <w:jc w:val="left"/>
        <w:rPr>
          <w:rFonts w:ascii="Arial Black" w:hAnsi="Arial Black"/>
          <w:b/>
          <w:sz w:val="18"/>
        </w:rPr>
      </w:pPr>
      <w:r>
        <w:rPr/>
        <w:pict>
          <v:line style="position:absolute;mso-position-horizontal-relative:page;mso-position-vertical-relative:paragraph;z-index:1120" from="43.200001pt,15.665291pt" to="308.460001pt,15.665291pt" stroked="true" strokeweight=".96pt" strokecolor="#000000">
            <v:stroke dashstyle="solid"/>
            <w10:wrap type="none"/>
          </v:line>
        </w:pict>
      </w:r>
      <w:r>
        <w:rPr>
          <w:sz w:val="18"/>
        </w:rPr>
        <w:t>Editor: Vic Vangel </w:t>
      </w:r>
      <w:r>
        <w:rPr>
          <w:rFonts w:ascii="Arial Black" w:hAnsi="Arial Black"/>
          <w:b/>
          <w:sz w:val="18"/>
        </w:rPr>
        <w:t>• </w:t>
      </w:r>
      <w:r>
        <w:rPr>
          <w:sz w:val="18"/>
        </w:rPr>
        <w:t>Contributors: Chris Burke, Gary Gilmore, Paul Jeffrey, James Monahan, Nancy Schiff</w:t>
      </w:r>
      <w:r>
        <w:rPr>
          <w:spacing w:val="16"/>
          <w:sz w:val="18"/>
        </w:rPr>
        <w:t> </w:t>
      </w:r>
      <w:r>
        <w:rPr>
          <w:rFonts w:ascii="Arial Black" w:hAnsi="Arial Black"/>
          <w:b/>
          <w:sz w:val="18"/>
        </w:rPr>
        <w:t>•</w:t>
      </w:r>
    </w:p>
    <w:tbl>
      <w:tblPr>
        <w:tblW w:w="0" w:type="auto"/>
        <w:jc w:val="left"/>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94"/>
        <w:gridCol w:w="122"/>
        <w:gridCol w:w="5302"/>
      </w:tblGrid>
      <w:tr>
        <w:trPr>
          <w:trHeight w:val="2723" w:hRule="atLeast"/>
        </w:trPr>
        <w:tc>
          <w:tcPr>
            <w:tcW w:w="5094" w:type="dxa"/>
            <w:shd w:val="clear" w:color="auto" w:fill="E6E6E6"/>
          </w:tcPr>
          <w:p>
            <w:pPr>
              <w:pStyle w:val="TableParagraph"/>
              <w:spacing w:before="199"/>
              <w:ind w:left="122"/>
              <w:rPr>
                <w:rFonts w:ascii="Arial Black"/>
                <w:b/>
                <w:sz w:val="22"/>
              </w:rPr>
            </w:pPr>
            <w:r>
              <w:rPr>
                <w:rFonts w:ascii="Arial Black"/>
                <w:b/>
                <w:sz w:val="22"/>
              </w:rPr>
              <w:t>POPS Scheduled Downtime</w:t>
            </w:r>
          </w:p>
          <w:p>
            <w:pPr>
              <w:pStyle w:val="TableParagraph"/>
              <w:spacing w:before="201"/>
              <w:ind w:left="122" w:right="189"/>
              <w:rPr>
                <w:sz w:val="21"/>
              </w:rPr>
            </w:pPr>
            <w:r>
              <w:rPr>
                <w:sz w:val="21"/>
              </w:rPr>
              <w:t>Due to the implementation of NewMMIS, the POPS system will undergo major maintenance on the weekend of May 16-17, 2009. The POPS system will be unavailable to process claims from approximately 11:55 P.M. on Saturday, May 16, through 3:00 P.M. Sunday, May 17. The changes made will not affect how pharmacies will process claims after the maintenance is applied.</w:t>
            </w:r>
          </w:p>
        </w:tc>
        <w:tc>
          <w:tcPr>
            <w:tcW w:w="122" w:type="dxa"/>
            <w:tcBorders>
              <w:right w:val="single" w:sz="4" w:space="0" w:color="000000"/>
            </w:tcBorders>
          </w:tcPr>
          <w:p>
            <w:pPr>
              <w:pStyle w:val="TableParagraph"/>
              <w:rPr>
                <w:rFonts w:ascii="Times New Roman"/>
                <w:sz w:val="20"/>
              </w:rPr>
            </w:pPr>
          </w:p>
        </w:tc>
        <w:tc>
          <w:tcPr>
            <w:tcW w:w="5302" w:type="dxa"/>
            <w:vMerge w:val="restart"/>
            <w:tcBorders>
              <w:top w:val="single" w:sz="8" w:space="0" w:color="000000"/>
              <w:left w:val="single" w:sz="4" w:space="0" w:color="000000"/>
            </w:tcBorders>
          </w:tcPr>
          <w:p>
            <w:pPr>
              <w:pStyle w:val="TableParagraph"/>
              <w:spacing w:before="200"/>
              <w:ind w:left="103" w:right="154"/>
              <w:rPr>
                <w:sz w:val="21"/>
              </w:rPr>
            </w:pPr>
            <w:r>
              <w:rPr>
                <w:sz w:val="21"/>
              </w:rPr>
              <w:t>To use the POSC, you must have Internet access, designate a primary user to be responsible for</w:t>
            </w:r>
            <w:r>
              <w:rPr>
                <w:spacing w:val="-35"/>
                <w:sz w:val="21"/>
              </w:rPr>
              <w:t> </w:t>
            </w:r>
            <w:r>
              <w:rPr>
                <w:sz w:val="21"/>
              </w:rPr>
              <w:t>security access, and have that person register as the primary user. Once registered, the primary user can set up user IDs for others who will need to use the POSC in, or associated with, your organization, including other site locations and billing intermediaries. A provider's primary user will have a manage subordinate accounts role that will not be available to subordinate users. This guide will instruct the primary user on tasks such as assigning and removing subordinate user roles. The user guide is available on </w:t>
            </w:r>
            <w:hyperlink r:id="rId7">
              <w:r>
                <w:rPr>
                  <w:color w:val="3365FF"/>
                  <w:sz w:val="21"/>
                  <w:u w:val="single" w:color="3365FF"/>
                </w:rPr>
                <w:t>www.mass.gov/masshealth/newmmis</w:t>
              </w:r>
            </w:hyperlink>
            <w:r>
              <w:rPr>
                <w:sz w:val="21"/>
              </w:rPr>
              <w:t>.</w:t>
            </w:r>
          </w:p>
          <w:p>
            <w:pPr>
              <w:pStyle w:val="TableParagraph"/>
              <w:spacing w:before="121"/>
              <w:ind w:left="103" w:right="137"/>
              <w:rPr>
                <w:sz w:val="21"/>
              </w:rPr>
            </w:pPr>
            <w:r>
              <w:rPr>
                <w:b/>
                <w:sz w:val="21"/>
              </w:rPr>
              <w:t>Please Note</w:t>
            </w:r>
            <w:r>
              <w:rPr>
                <w:sz w:val="21"/>
              </w:rPr>
              <w:t>: The primary user ID and password cannot be used as a shared ID. One person must be assigned as the primary because that person will be responsible for assigning subordinate IDs.</w:t>
            </w:r>
          </w:p>
          <w:p>
            <w:pPr>
              <w:pStyle w:val="TableParagraph"/>
              <w:ind w:left="103" w:right="469"/>
              <w:rPr>
                <w:sz w:val="21"/>
              </w:rPr>
            </w:pPr>
            <w:r>
              <w:rPr>
                <w:sz w:val="21"/>
              </w:rPr>
              <w:t>Additionally, the application does not allow for the same user ID and password to be logged on at the same time.</w:t>
            </w:r>
          </w:p>
          <w:p>
            <w:pPr>
              <w:pStyle w:val="TableParagraph"/>
              <w:spacing w:before="120"/>
              <w:ind w:left="103" w:right="137"/>
              <w:rPr>
                <w:sz w:val="21"/>
              </w:rPr>
            </w:pPr>
            <w:r>
              <w:rPr>
                <w:sz w:val="21"/>
              </w:rPr>
              <w:t>Information about the POSC was mailed to providers two months ago in the MassHealth Provider Identification Number (PIN) letter. One letter was mailed to the “doing business as” locations of all providers. A second letter was mailed on May 4, 2009, to those providers who had not registered as of April 19</w:t>
            </w:r>
            <w:r>
              <w:rPr>
                <w:sz w:val="21"/>
                <w:vertAlign w:val="superscript"/>
              </w:rPr>
              <w:t>th</w:t>
            </w:r>
            <w:r>
              <w:rPr>
                <w:sz w:val="21"/>
                <w:vertAlign w:val="baseline"/>
              </w:rPr>
              <w:t>. If you did not receive this letter, please contact the MassHealth Customer Service Team (CST) at 1- 800-841-2900 for the necessary information.</w:t>
            </w:r>
          </w:p>
          <w:p>
            <w:pPr>
              <w:pStyle w:val="TableParagraph"/>
              <w:spacing w:before="120"/>
              <w:ind w:left="103" w:right="151"/>
              <w:rPr>
                <w:sz w:val="21"/>
              </w:rPr>
            </w:pPr>
            <w:r>
              <w:rPr>
                <w:sz w:val="21"/>
              </w:rPr>
              <w:t>Many MassHealth pharmacy providers who are eligible to use the POSC have </w:t>
            </w:r>
            <w:r>
              <w:rPr>
                <w:b/>
                <w:sz w:val="21"/>
              </w:rPr>
              <w:t>not </w:t>
            </w:r>
            <w:r>
              <w:rPr>
                <w:sz w:val="21"/>
              </w:rPr>
              <w:t>yet registered. Please carry out this important task for your pharmacy business.</w:t>
            </w:r>
          </w:p>
          <w:p>
            <w:pPr>
              <w:pStyle w:val="TableParagraph"/>
              <w:spacing w:before="2"/>
              <w:rPr>
                <w:rFonts w:ascii="Arial Black"/>
                <w:b/>
                <w:sz w:val="14"/>
              </w:rPr>
            </w:pPr>
          </w:p>
          <w:p>
            <w:pPr>
              <w:pStyle w:val="TableParagraph"/>
              <w:ind w:left="103" w:right="835"/>
              <w:rPr>
                <w:rFonts w:ascii="Arial Black"/>
                <w:b/>
                <w:sz w:val="22"/>
              </w:rPr>
            </w:pPr>
            <w:r>
              <w:rPr>
                <w:rFonts w:ascii="Arial Black"/>
                <w:b/>
                <w:sz w:val="22"/>
              </w:rPr>
              <w:t>Paper Claim Form Changes for Pharmacies Providing DME Services</w:t>
            </w:r>
          </w:p>
          <w:p>
            <w:pPr>
              <w:pStyle w:val="TableParagraph"/>
              <w:spacing w:before="80"/>
              <w:ind w:left="103" w:right="213"/>
              <w:rPr>
                <w:sz w:val="21"/>
              </w:rPr>
            </w:pPr>
            <w:r>
              <w:rPr>
                <w:sz w:val="21"/>
              </w:rPr>
              <w:t>Effective May 4, 2009, all paper claims and paper claim adjustments must be submitted on the industry- standard CMS-1500 or UB-04 claim forms, as applicable.</w:t>
            </w:r>
          </w:p>
          <w:p>
            <w:pPr>
              <w:pStyle w:val="TableParagraph"/>
              <w:spacing w:before="120"/>
              <w:ind w:left="103" w:right="493"/>
              <w:rPr>
                <w:sz w:val="21"/>
              </w:rPr>
            </w:pPr>
            <w:r>
              <w:rPr>
                <w:sz w:val="21"/>
              </w:rPr>
              <w:t>The MassHealth claim form no. 9 is no longer accepted. In addition, all claims must contain a national provider identifier (NPI), except for claims submitted by “atypical providers,” that is, providers who are not required to obtain an NPI.</w:t>
            </w:r>
          </w:p>
        </w:tc>
      </w:tr>
      <w:tr>
        <w:trPr>
          <w:trHeight w:val="9466" w:hRule="atLeast"/>
        </w:trPr>
        <w:tc>
          <w:tcPr>
            <w:tcW w:w="5216" w:type="dxa"/>
            <w:gridSpan w:val="2"/>
            <w:tcBorders>
              <w:right w:val="single" w:sz="4" w:space="0" w:color="000000"/>
            </w:tcBorders>
          </w:tcPr>
          <w:p>
            <w:pPr>
              <w:pStyle w:val="TableParagraph"/>
              <w:spacing w:before="119"/>
              <w:ind w:left="14"/>
              <w:rPr>
                <w:rFonts w:ascii="Arial Black"/>
                <w:b/>
                <w:sz w:val="22"/>
              </w:rPr>
            </w:pPr>
            <w:r>
              <w:rPr>
                <w:rFonts w:ascii="Arial Black"/>
                <w:b/>
                <w:sz w:val="22"/>
              </w:rPr>
              <w:t>Pharmacy Payment Cycle</w:t>
            </w:r>
          </w:p>
          <w:p>
            <w:pPr>
              <w:pStyle w:val="TableParagraph"/>
              <w:spacing w:before="80"/>
              <w:ind w:left="14" w:right="192"/>
              <w:rPr>
                <w:sz w:val="21"/>
              </w:rPr>
            </w:pPr>
            <w:r>
              <w:rPr>
                <w:sz w:val="21"/>
              </w:rPr>
              <w:t>Claims processed through POPS on May 17 and May 18 will not appear on the usual, expected remittance. Payment for claims processed on these days will be slightly delayed and will appear on the following week’s remittance.</w:t>
            </w:r>
          </w:p>
          <w:p>
            <w:pPr>
              <w:pStyle w:val="TableParagraph"/>
              <w:spacing w:before="2"/>
              <w:rPr>
                <w:rFonts w:ascii="Arial Black"/>
                <w:b/>
                <w:sz w:val="14"/>
              </w:rPr>
            </w:pPr>
          </w:p>
          <w:p>
            <w:pPr>
              <w:pStyle w:val="TableParagraph"/>
              <w:ind w:left="14" w:right="336"/>
              <w:rPr>
                <w:rFonts w:ascii="Arial Black"/>
                <w:b/>
                <w:sz w:val="22"/>
              </w:rPr>
            </w:pPr>
            <w:r>
              <w:rPr>
                <w:rFonts w:ascii="Arial Black"/>
                <w:b/>
                <w:sz w:val="22"/>
              </w:rPr>
              <w:t>Update on NewMMIS Implementation on May 26, 2009</w:t>
            </w:r>
          </w:p>
          <w:p>
            <w:pPr>
              <w:pStyle w:val="TableParagraph"/>
              <w:spacing w:before="81"/>
              <w:ind w:left="14" w:right="192"/>
              <w:rPr>
                <w:sz w:val="21"/>
              </w:rPr>
            </w:pPr>
            <w:r>
              <w:rPr>
                <w:sz w:val="21"/>
              </w:rPr>
              <w:t>The NewMMIS implementation date is May 26, 2009. Providers should complete preparation activities for implementation, including e-learning, PIN registration, and review of the all-provider bulletins.</w:t>
            </w:r>
          </w:p>
          <w:p>
            <w:pPr>
              <w:pStyle w:val="TableParagraph"/>
              <w:spacing w:before="1"/>
              <w:ind w:left="14" w:right="89"/>
              <w:rPr>
                <w:sz w:val="21"/>
              </w:rPr>
            </w:pPr>
            <w:r>
              <w:rPr>
                <w:sz w:val="21"/>
              </w:rPr>
              <w:t>For more information on the latest development and communications, go to </w:t>
            </w:r>
            <w:hyperlink r:id="rId7">
              <w:r>
                <w:rPr>
                  <w:color w:val="3365FF"/>
                  <w:sz w:val="21"/>
                  <w:u w:val="single" w:color="3365FF"/>
                </w:rPr>
                <w:t>www.mass.gov/masshealth/newmmis</w:t>
              </w:r>
            </w:hyperlink>
            <w:r>
              <w:rPr>
                <w:sz w:val="21"/>
              </w:rPr>
              <w:t>. This Web site is updated regularly. Some of the training materials here include past NewMMIS Provider Education Forums, MassHealth NewMMIS Preparation, and provider questions and answers.</w:t>
            </w:r>
          </w:p>
          <w:p>
            <w:pPr>
              <w:pStyle w:val="TableParagraph"/>
              <w:spacing w:before="119"/>
              <w:ind w:left="14" w:right="356"/>
              <w:rPr>
                <w:sz w:val="21"/>
              </w:rPr>
            </w:pPr>
            <w:r>
              <w:rPr>
                <w:sz w:val="21"/>
              </w:rPr>
              <w:t>You should have already informed your software vendors to make any necessary changes to accommodate the NewMMIS system. This is especially important for nonpharmacy claims submitted outside of POPS, and all 835 remittance advices used by a provider. Providers currently submitting POPS claims do not need to complete another Trading Partner Agreement (TPA) with MassHealth to retrieve the new 835 at the new Web location.</w:t>
            </w:r>
          </w:p>
          <w:p>
            <w:pPr>
              <w:pStyle w:val="TableParagraph"/>
              <w:spacing w:before="1"/>
              <w:rPr>
                <w:rFonts w:ascii="Arial Black"/>
                <w:b/>
                <w:sz w:val="14"/>
              </w:rPr>
            </w:pPr>
          </w:p>
          <w:p>
            <w:pPr>
              <w:pStyle w:val="TableParagraph"/>
              <w:spacing w:before="1"/>
              <w:ind w:left="14"/>
              <w:rPr>
                <w:rFonts w:ascii="Arial Black"/>
                <w:b/>
                <w:sz w:val="22"/>
              </w:rPr>
            </w:pPr>
            <w:r>
              <w:rPr>
                <w:rFonts w:ascii="Arial Black"/>
                <w:b/>
                <w:sz w:val="22"/>
              </w:rPr>
              <w:t>NewMMIS POSC Guide for Primary Users</w:t>
            </w:r>
          </w:p>
          <w:p>
            <w:pPr>
              <w:pStyle w:val="TableParagraph"/>
              <w:spacing w:before="120"/>
              <w:ind w:left="14" w:right="267"/>
              <w:rPr>
                <w:sz w:val="21"/>
              </w:rPr>
            </w:pPr>
            <w:r>
              <w:rPr>
                <w:sz w:val="21"/>
              </w:rPr>
              <w:t>MassHealth has issued a new Primary User Guide to help primary users understand how to manage user security access to the Provider Online Service Center</w:t>
            </w:r>
            <w:r>
              <w:rPr>
                <w:spacing w:val="-1"/>
                <w:sz w:val="21"/>
              </w:rPr>
              <w:t> </w:t>
            </w:r>
            <w:r>
              <w:rPr>
                <w:sz w:val="21"/>
              </w:rPr>
              <w:t>(POSC).</w:t>
            </w:r>
          </w:p>
        </w:tc>
        <w:tc>
          <w:tcPr>
            <w:tcW w:w="5302" w:type="dxa"/>
            <w:vMerge/>
            <w:tcBorders>
              <w:top w:val="nil"/>
              <w:left w:val="single" w:sz="4" w:space="0" w:color="000000"/>
            </w:tcBorders>
          </w:tcPr>
          <w:p>
            <w:pPr>
              <w:rPr>
                <w:sz w:val="2"/>
                <w:szCs w:val="2"/>
              </w:rPr>
            </w:pPr>
          </w:p>
        </w:tc>
      </w:tr>
    </w:tbl>
    <w:p>
      <w:pPr>
        <w:spacing w:after="0"/>
        <w:rPr>
          <w:sz w:val="2"/>
          <w:szCs w:val="2"/>
        </w:rPr>
        <w:sectPr>
          <w:type w:val="continuous"/>
          <w:pgSz w:w="12240" w:h="15840"/>
          <w:pgMar w:top="400" w:bottom="280" w:left="620" w:right="420"/>
        </w:sectPr>
      </w:pPr>
    </w:p>
    <w:p>
      <w:pPr>
        <w:tabs>
          <w:tab w:pos="9547" w:val="left" w:leader="none"/>
        </w:tabs>
        <w:spacing w:before="72" w:after="34"/>
        <w:ind w:left="426" w:right="0" w:firstLine="0"/>
        <w:jc w:val="left"/>
        <w:rPr>
          <w:rFonts w:ascii="Arial Black"/>
          <w:b/>
          <w:sz w:val="18"/>
        </w:rPr>
      </w:pPr>
      <w:r>
        <w:rPr>
          <w:rFonts w:ascii="Arial Black"/>
          <w:b/>
          <w:sz w:val="18"/>
        </w:rPr>
        <w:t>Pharmacy Facts,</w:t>
      </w:r>
      <w:r>
        <w:rPr>
          <w:rFonts w:ascii="Arial Black"/>
          <w:b/>
          <w:spacing w:val="-5"/>
          <w:sz w:val="18"/>
        </w:rPr>
        <w:t> </w:t>
      </w:r>
      <w:r>
        <w:rPr>
          <w:rFonts w:ascii="Arial Black"/>
          <w:b/>
          <w:sz w:val="18"/>
        </w:rPr>
        <w:t>Number</w:t>
      </w:r>
      <w:r>
        <w:rPr>
          <w:rFonts w:ascii="Arial Black"/>
          <w:b/>
          <w:spacing w:val="-3"/>
          <w:sz w:val="18"/>
        </w:rPr>
        <w:t> </w:t>
      </w:r>
      <w:r>
        <w:rPr>
          <w:rFonts w:ascii="Arial Black"/>
          <w:b/>
          <w:sz w:val="18"/>
        </w:rPr>
        <w:t>51</w:t>
        <w:tab/>
        <w:t>Page 2 of</w:t>
      </w:r>
      <w:r>
        <w:rPr>
          <w:rFonts w:ascii="Arial Black"/>
          <w:b/>
          <w:spacing w:val="-3"/>
          <w:sz w:val="18"/>
        </w:rPr>
        <w:t> </w:t>
      </w:r>
      <w:r>
        <w:rPr>
          <w:rFonts w:ascii="Arial Black"/>
          <w:b/>
          <w:sz w:val="18"/>
        </w:rPr>
        <w:t>2</w:t>
      </w: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
        <w:gridCol w:w="5392"/>
        <w:gridCol w:w="5357"/>
        <w:gridCol w:w="160"/>
      </w:tblGrid>
      <w:tr>
        <w:trPr>
          <w:trHeight w:val="13999" w:hRule="atLeast"/>
        </w:trPr>
        <w:tc>
          <w:tcPr>
            <w:tcW w:w="72" w:type="dxa"/>
            <w:tcBorders>
              <w:bottom w:val="single" w:sz="6" w:space="0" w:color="000000"/>
            </w:tcBorders>
          </w:tcPr>
          <w:p>
            <w:pPr>
              <w:pStyle w:val="TableParagraph"/>
              <w:rPr>
                <w:rFonts w:ascii="Times New Roman"/>
                <w:sz w:val="20"/>
              </w:rPr>
            </w:pPr>
          </w:p>
        </w:tc>
        <w:tc>
          <w:tcPr>
            <w:tcW w:w="5392" w:type="dxa"/>
            <w:tcBorders>
              <w:top w:val="single" w:sz="8" w:space="0" w:color="000000"/>
              <w:bottom w:val="single" w:sz="6" w:space="0" w:color="000000"/>
              <w:right w:val="single" w:sz="4" w:space="0" w:color="000000"/>
            </w:tcBorders>
          </w:tcPr>
          <w:p>
            <w:pPr>
              <w:pStyle w:val="TableParagraph"/>
              <w:spacing w:before="2"/>
              <w:rPr>
                <w:rFonts w:ascii="Arial Black"/>
                <w:b/>
                <w:sz w:val="14"/>
              </w:rPr>
            </w:pPr>
          </w:p>
          <w:p>
            <w:pPr>
              <w:pStyle w:val="TableParagraph"/>
              <w:ind w:left="107" w:right="661"/>
              <w:rPr>
                <w:sz w:val="21"/>
              </w:rPr>
            </w:pPr>
            <w:r>
              <w:rPr>
                <w:sz w:val="21"/>
              </w:rPr>
              <w:t>See All Provider Bulletin 181 for more information about the NPI requirement for NewMMIS and exceptions to it.</w:t>
            </w:r>
          </w:p>
          <w:p>
            <w:pPr>
              <w:pStyle w:val="TableParagraph"/>
              <w:spacing w:before="120"/>
              <w:ind w:left="126" w:right="334" w:hanging="19"/>
              <w:rPr>
                <w:sz w:val="21"/>
              </w:rPr>
            </w:pPr>
            <w:r>
              <w:rPr>
                <w:sz w:val="21"/>
              </w:rPr>
              <w:t>Effective May 4, 2009, paper claims must contain the new 12-digit member identification (ID) number. See the applicable MassHealth billing guides on the MassHealth Web site at </w:t>
            </w:r>
            <w:hyperlink r:id="rId7">
              <w:r>
                <w:rPr>
                  <w:color w:val="0000FF"/>
                  <w:sz w:val="21"/>
                  <w:u w:val="single" w:color="0000FF"/>
                </w:rPr>
                <w:t>www.mass.gov/masshealth/newmmis</w:t>
              </w:r>
              <w:r>
                <w:rPr>
                  <w:color w:val="0000FF"/>
                  <w:sz w:val="21"/>
                </w:rPr>
                <w:t> </w:t>
              </w:r>
            </w:hyperlink>
            <w:r>
              <w:rPr>
                <w:sz w:val="21"/>
              </w:rPr>
              <w:t>for more information about completing and submitting claims.</w:t>
            </w:r>
          </w:p>
          <w:p>
            <w:pPr>
              <w:pStyle w:val="TableParagraph"/>
              <w:spacing w:before="41"/>
              <w:ind w:left="108" w:right="334"/>
              <w:rPr>
                <w:sz w:val="21"/>
              </w:rPr>
            </w:pPr>
            <w:r>
              <w:rPr>
                <w:sz w:val="21"/>
              </w:rPr>
              <w:t>Please see the NewMMIS Web site for item-by-item billing instructions for this claim form.</w:t>
            </w:r>
          </w:p>
          <w:p>
            <w:pPr>
              <w:pStyle w:val="TableParagraph"/>
              <w:spacing w:before="1"/>
              <w:rPr>
                <w:rFonts w:ascii="Arial Black"/>
                <w:b/>
                <w:sz w:val="14"/>
              </w:rPr>
            </w:pPr>
          </w:p>
          <w:p>
            <w:pPr>
              <w:pStyle w:val="TableParagraph"/>
              <w:ind w:left="107"/>
              <w:rPr>
                <w:rFonts w:ascii="Arial Black"/>
                <w:b/>
                <w:sz w:val="22"/>
              </w:rPr>
            </w:pPr>
            <w:r>
              <w:rPr>
                <w:rFonts w:ascii="Arial Black"/>
                <w:b/>
                <w:sz w:val="22"/>
              </w:rPr>
              <w:t>REVS Member Eligibility Changes</w:t>
            </w:r>
          </w:p>
          <w:p>
            <w:pPr>
              <w:pStyle w:val="TableParagraph"/>
              <w:spacing w:before="81"/>
              <w:ind w:left="107" w:right="311"/>
              <w:rPr>
                <w:sz w:val="21"/>
              </w:rPr>
            </w:pPr>
            <w:r>
              <w:rPr>
                <w:sz w:val="21"/>
              </w:rPr>
              <w:t>The current Recipient Eligibility Verification System (REVS) will shut down on 5/23/09, three days before NewMMIS implementation. The NewMMIS Eligibility Verification System (EVS) will begin on the same day (5/23/09). Providers who check member eligibility via this method should prepare for a smooth transition between the two systems.</w:t>
            </w:r>
          </w:p>
          <w:p>
            <w:pPr>
              <w:pStyle w:val="TableParagraph"/>
              <w:spacing w:before="121"/>
              <w:ind w:left="107" w:right="264"/>
              <w:rPr>
                <w:sz w:val="21"/>
              </w:rPr>
            </w:pPr>
            <w:r>
              <w:rPr>
                <w:sz w:val="21"/>
              </w:rPr>
              <w:t>There will be a delay in updating member eligibility in POPS from May 21 through May 24. For any inquiries concerning member eligibility, pharmacies should use REVS on May 21</w:t>
            </w:r>
            <w:r>
              <w:rPr>
                <w:sz w:val="21"/>
                <w:vertAlign w:val="superscript"/>
              </w:rPr>
              <w:t>st</w:t>
            </w:r>
            <w:r>
              <w:rPr>
                <w:sz w:val="21"/>
                <w:vertAlign w:val="baseline"/>
              </w:rPr>
              <w:t> and May 22</w:t>
            </w:r>
            <w:r>
              <w:rPr>
                <w:sz w:val="21"/>
                <w:vertAlign w:val="superscript"/>
              </w:rPr>
              <w:t>nd</w:t>
            </w:r>
            <w:r>
              <w:rPr>
                <w:sz w:val="21"/>
                <w:vertAlign w:val="baseline"/>
              </w:rPr>
              <w:t>, and the NewMMIS EVS that will be available through the POSC, on May 23</w:t>
            </w:r>
            <w:r>
              <w:rPr>
                <w:sz w:val="21"/>
                <w:vertAlign w:val="superscript"/>
              </w:rPr>
              <w:t>rd</w:t>
            </w:r>
            <w:r>
              <w:rPr>
                <w:sz w:val="21"/>
                <w:vertAlign w:val="baseline"/>
              </w:rPr>
              <w:t> and May 24</w:t>
            </w:r>
            <w:r>
              <w:rPr>
                <w:sz w:val="21"/>
                <w:vertAlign w:val="superscript"/>
              </w:rPr>
              <w:t>th</w:t>
            </w:r>
            <w:r>
              <w:rPr>
                <w:sz w:val="21"/>
                <w:vertAlign w:val="baseline"/>
              </w:rPr>
              <w:t>, during this time.</w:t>
            </w:r>
          </w:p>
          <w:p>
            <w:pPr>
              <w:pStyle w:val="TableParagraph"/>
              <w:spacing w:before="119"/>
              <w:ind w:left="107" w:right="89"/>
              <w:rPr>
                <w:sz w:val="21"/>
              </w:rPr>
            </w:pPr>
            <w:r>
              <w:rPr>
                <w:sz w:val="21"/>
              </w:rPr>
              <w:t>Pharmacies will also be able to check member eligibility by telephone using an Automated Voice Response (AVR) System that is available by calling</w:t>
            </w:r>
          </w:p>
          <w:p>
            <w:pPr>
              <w:pStyle w:val="TableParagraph"/>
              <w:ind w:left="108" w:right="76" w:hanging="1"/>
              <w:rPr>
                <w:sz w:val="21"/>
              </w:rPr>
            </w:pPr>
            <w:r>
              <w:rPr>
                <w:sz w:val="21"/>
              </w:rPr>
              <w:t>1-800-554-0042. On May 23</w:t>
            </w:r>
            <w:r>
              <w:rPr>
                <w:sz w:val="21"/>
                <w:vertAlign w:val="superscript"/>
              </w:rPr>
              <w:t>rd</w:t>
            </w:r>
            <w:r>
              <w:rPr>
                <w:sz w:val="21"/>
                <w:vertAlign w:val="baseline"/>
              </w:rPr>
              <w:t>, a new AVR system will begin taking member eligibility calls. The phone number for the AVR (1-800-554-0042) is the same number as the AVR system used under the current system.</w:t>
            </w:r>
          </w:p>
          <w:p>
            <w:pPr>
              <w:pStyle w:val="TableParagraph"/>
              <w:spacing w:before="1"/>
              <w:ind w:left="108" w:right="58"/>
              <w:rPr>
                <w:sz w:val="21"/>
              </w:rPr>
            </w:pPr>
            <w:r>
              <w:rPr>
                <w:sz w:val="21"/>
              </w:rPr>
              <w:t>Providers will be required to register with the POSC before they can use the new AVR. A pharmacy will be able to check eligibility by using either member ID, social security number, or name with gender and</w:t>
            </w:r>
            <w:r>
              <w:rPr>
                <w:spacing w:val="-33"/>
                <w:sz w:val="21"/>
              </w:rPr>
              <w:t> </w:t>
            </w:r>
            <w:r>
              <w:rPr>
                <w:sz w:val="21"/>
              </w:rPr>
              <w:t>D.O.B.</w:t>
            </w:r>
          </w:p>
          <w:p>
            <w:pPr>
              <w:pStyle w:val="TableParagraph"/>
              <w:spacing w:before="1"/>
              <w:rPr>
                <w:rFonts w:ascii="Arial Black"/>
                <w:b/>
                <w:sz w:val="14"/>
              </w:rPr>
            </w:pPr>
          </w:p>
          <w:p>
            <w:pPr>
              <w:pStyle w:val="TableParagraph"/>
              <w:spacing w:before="1"/>
              <w:ind w:left="107" w:right="443"/>
              <w:rPr>
                <w:rFonts w:ascii="Arial Black"/>
                <w:b/>
                <w:sz w:val="22"/>
              </w:rPr>
            </w:pPr>
            <w:r>
              <w:rPr>
                <w:rFonts w:ascii="Arial Black"/>
                <w:b/>
                <w:sz w:val="22"/>
              </w:rPr>
              <w:t>Durable Medical Equipment (DME) Prior Authorization (PA) Changes in May 2009</w:t>
            </w:r>
          </w:p>
          <w:p>
            <w:pPr>
              <w:pStyle w:val="TableParagraph"/>
              <w:spacing w:before="119"/>
              <w:ind w:left="107" w:right="244"/>
              <w:rPr>
                <w:sz w:val="21"/>
              </w:rPr>
            </w:pPr>
            <w:r>
              <w:rPr>
                <w:sz w:val="21"/>
              </w:rPr>
              <w:t>PA requests cannot be accepted by the existing Automated Prior Authorization System (APAS) after close of business on May 8, 2009. APAS will be replaced by a service-authorization function in the NewMMIS POSC. Providers will be able to submit their PAs via the POSC starting May 18</w:t>
            </w:r>
            <w:r>
              <w:rPr>
                <w:sz w:val="21"/>
                <w:vertAlign w:val="superscript"/>
              </w:rPr>
              <w:t>th</w:t>
            </w:r>
            <w:r>
              <w:rPr>
                <w:sz w:val="21"/>
                <w:vertAlign w:val="baseline"/>
              </w:rPr>
              <w:t>. If a provider needs to submit a PA request during the period between May 8</w:t>
            </w:r>
            <w:r>
              <w:rPr>
                <w:sz w:val="21"/>
                <w:vertAlign w:val="superscript"/>
              </w:rPr>
              <w:t>th</w:t>
            </w:r>
            <w:r>
              <w:rPr>
                <w:sz w:val="21"/>
                <w:vertAlign w:val="baseline"/>
              </w:rPr>
              <w:t> and May 18</w:t>
            </w:r>
            <w:r>
              <w:rPr>
                <w:sz w:val="21"/>
                <w:vertAlign w:val="superscript"/>
              </w:rPr>
              <w:t>th</w:t>
            </w:r>
            <w:r>
              <w:rPr>
                <w:sz w:val="21"/>
                <w:vertAlign w:val="baseline"/>
              </w:rPr>
              <w:t>, the request must be submitted on paper.</w:t>
            </w:r>
          </w:p>
        </w:tc>
        <w:tc>
          <w:tcPr>
            <w:tcW w:w="5357" w:type="dxa"/>
            <w:tcBorders>
              <w:top w:val="single" w:sz="8" w:space="0" w:color="000000"/>
              <w:left w:val="single" w:sz="4" w:space="0" w:color="000000"/>
              <w:bottom w:val="single" w:sz="6" w:space="0" w:color="000000"/>
            </w:tcBorders>
          </w:tcPr>
          <w:p>
            <w:pPr>
              <w:pStyle w:val="TableParagraph"/>
              <w:spacing w:before="200"/>
              <w:ind w:left="102" w:right="152"/>
              <w:rPr>
                <w:sz w:val="21"/>
              </w:rPr>
            </w:pPr>
            <w:r>
              <w:rPr>
                <w:sz w:val="21"/>
              </w:rPr>
              <w:t>While MassHealth will review and adjudicate the paper request, a PA number will not be available until the POSC goes live on May 18</w:t>
            </w:r>
            <w:r>
              <w:rPr>
                <w:sz w:val="21"/>
                <w:vertAlign w:val="superscript"/>
              </w:rPr>
              <w:t>th</w:t>
            </w:r>
            <w:r>
              <w:rPr>
                <w:sz w:val="21"/>
                <w:vertAlign w:val="baseline"/>
              </w:rPr>
              <w:t>.</w:t>
            </w:r>
          </w:p>
          <w:p>
            <w:pPr>
              <w:pStyle w:val="TableParagraph"/>
              <w:spacing w:before="80"/>
              <w:ind w:left="102" w:right="129"/>
              <w:rPr>
                <w:sz w:val="21"/>
              </w:rPr>
            </w:pPr>
            <w:r>
              <w:rPr>
                <w:b/>
                <w:sz w:val="21"/>
              </w:rPr>
              <w:t>Please Note</w:t>
            </w:r>
            <w:r>
              <w:rPr>
                <w:sz w:val="21"/>
              </w:rPr>
              <w:t>: The PA process for medications and DME products that are processed by POPS will remain unchanged.</w:t>
            </w:r>
          </w:p>
          <w:p>
            <w:pPr>
              <w:pStyle w:val="TableParagraph"/>
              <w:spacing w:before="1"/>
              <w:rPr>
                <w:rFonts w:ascii="Arial Black"/>
                <w:b/>
                <w:sz w:val="14"/>
              </w:rPr>
            </w:pPr>
          </w:p>
          <w:p>
            <w:pPr>
              <w:pStyle w:val="TableParagraph"/>
              <w:spacing w:before="1"/>
              <w:ind w:left="102"/>
              <w:rPr>
                <w:rFonts w:ascii="Arial Black"/>
                <w:b/>
                <w:sz w:val="22"/>
              </w:rPr>
            </w:pPr>
            <w:r>
              <w:rPr>
                <w:rFonts w:ascii="Arial Black"/>
                <w:b/>
                <w:sz w:val="22"/>
              </w:rPr>
              <w:t>Changes to the CMS-1500 Billing Guide</w:t>
            </w:r>
          </w:p>
          <w:p>
            <w:pPr>
              <w:pStyle w:val="TableParagraph"/>
              <w:spacing w:before="81"/>
              <w:ind w:left="102" w:right="106"/>
              <w:rPr>
                <w:sz w:val="21"/>
              </w:rPr>
            </w:pPr>
            <w:r>
              <w:rPr>
                <w:b/>
                <w:sz w:val="21"/>
              </w:rPr>
              <w:t>This is important for DME providers </w:t>
            </w:r>
            <w:r>
              <w:rPr>
                <w:sz w:val="21"/>
              </w:rPr>
              <w:t>The CMS-1500 Billing Guide has been updated. The CMS-1500 claim form will replace the MassHealth proprietary claim form no. 9 effective May 4, 2009.</w:t>
            </w:r>
          </w:p>
          <w:p>
            <w:pPr>
              <w:pStyle w:val="TableParagraph"/>
              <w:spacing w:before="3"/>
              <w:rPr>
                <w:rFonts w:ascii="Arial Black"/>
                <w:b/>
                <w:sz w:val="14"/>
              </w:rPr>
            </w:pPr>
          </w:p>
          <w:p>
            <w:pPr>
              <w:pStyle w:val="TableParagraph"/>
              <w:ind w:left="102" w:right="1037"/>
              <w:rPr>
                <w:rFonts w:ascii="Arial Black"/>
                <w:b/>
                <w:sz w:val="22"/>
              </w:rPr>
            </w:pPr>
            <w:r>
              <w:rPr>
                <w:rFonts w:ascii="Arial Black"/>
                <w:b/>
                <w:sz w:val="22"/>
              </w:rPr>
              <w:t>Electronic Remittance Advice (835 Transactions)</w:t>
            </w:r>
          </w:p>
          <w:p>
            <w:pPr>
              <w:pStyle w:val="TableParagraph"/>
              <w:spacing w:before="80"/>
              <w:ind w:left="102" w:right="303"/>
              <w:rPr>
                <w:sz w:val="21"/>
              </w:rPr>
            </w:pPr>
            <w:r>
              <w:rPr>
                <w:sz w:val="21"/>
              </w:rPr>
              <w:t>Pharmacy 835s will no longer be separately provided by ACS as of the NewMMIS implementation date.</w:t>
            </w:r>
          </w:p>
          <w:p>
            <w:pPr>
              <w:pStyle w:val="TableParagraph"/>
              <w:ind w:left="102" w:right="152"/>
              <w:rPr>
                <w:sz w:val="21"/>
              </w:rPr>
            </w:pPr>
            <w:r>
              <w:rPr>
                <w:sz w:val="21"/>
              </w:rPr>
              <w:t>Pharmacy providers must log into the current EDI Web location (</w:t>
            </w:r>
            <w:hyperlink r:id="rId8">
              <w:r>
                <w:rPr>
                  <w:color w:val="3365FF"/>
                  <w:sz w:val="21"/>
                  <w:u w:val="single" w:color="3365FF"/>
                </w:rPr>
                <w:t>www.masspharmacy-edi.com</w:t>
              </w:r>
            </w:hyperlink>
            <w:r>
              <w:rPr>
                <w:sz w:val="21"/>
              </w:rPr>
              <w:t>) and download their remaining 835s before July 7, 2009. 835s will be available through the POSC after the NewMMIS implementation date.</w:t>
            </w:r>
          </w:p>
        </w:tc>
        <w:tc>
          <w:tcPr>
            <w:tcW w:w="160" w:type="dxa"/>
            <w:tcBorders>
              <w:bottom w:val="single" w:sz="6" w:space="0" w:color="000000"/>
            </w:tcBorders>
          </w:tcPr>
          <w:p>
            <w:pPr>
              <w:pStyle w:val="TableParagraph"/>
              <w:rPr>
                <w:rFonts w:ascii="Times New Roman"/>
                <w:sz w:val="20"/>
              </w:rPr>
            </w:pPr>
          </w:p>
        </w:tc>
      </w:tr>
    </w:tbl>
    <w:p>
      <w:pPr>
        <w:pStyle w:val="BodyText"/>
        <w:spacing w:line="20" w:lineRule="exact"/>
        <w:ind w:left="100"/>
        <w:rPr>
          <w:rFonts w:ascii="Arial Black"/>
          <w:sz w:val="2"/>
        </w:rPr>
      </w:pPr>
      <w:r>
        <w:rPr>
          <w:rFonts w:ascii="Arial Black"/>
          <w:sz w:val="2"/>
        </w:rPr>
        <w:pict>
          <v:group style="width:549pt;height:.7pt;mso-position-horizontal-relative:char;mso-position-vertical-relative:line" coordorigin="0,0" coordsize="10980,14">
            <v:line style="position:absolute" from="0,7" to="10980,7" stroked="true" strokeweight=".66pt" strokecolor="#000000">
              <v:stroke dashstyle="solid"/>
            </v:line>
          </v:group>
        </w:pict>
      </w:r>
      <w:r>
        <w:rPr>
          <w:rFonts w:ascii="Arial Black"/>
          <w:sz w:val="2"/>
        </w:rPr>
      </w:r>
    </w:p>
    <w:p>
      <w:pPr>
        <w:spacing w:line="241" w:lineRule="exact" w:before="118"/>
        <w:ind w:left="1864" w:right="1417" w:firstLine="0"/>
        <w:jc w:val="center"/>
        <w:rPr>
          <w:sz w:val="21"/>
        </w:rPr>
      </w:pPr>
      <w:r>
        <w:rPr>
          <w:sz w:val="21"/>
        </w:rPr>
        <w:t>Please direct any questions or comments (or to be taken off of this fax distribution) to</w:t>
      </w:r>
    </w:p>
    <w:p>
      <w:pPr>
        <w:spacing w:line="296" w:lineRule="exact" w:before="0"/>
        <w:ind w:left="1862" w:right="1417" w:firstLine="0"/>
        <w:jc w:val="center"/>
        <w:rPr>
          <w:sz w:val="21"/>
        </w:rPr>
      </w:pPr>
      <w:r>
        <w:rPr>
          <w:rFonts w:ascii="Arial Black"/>
          <w:b/>
          <w:sz w:val="21"/>
        </w:rPr>
        <w:t>Victor Moquin </w:t>
      </w:r>
      <w:r>
        <w:rPr>
          <w:sz w:val="21"/>
        </w:rPr>
        <w:t>of ACS at 617-423-9830.</w:t>
      </w:r>
    </w:p>
    <w:sectPr>
      <w:pgSz w:w="12240" w:h="15840"/>
      <w:pgMar w:top="360" w:bottom="280" w:left="6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079" w:hanging="150"/>
      </w:pPr>
      <w:rPr>
        <w:rFonts w:hint="default" w:ascii="Arial Black" w:hAnsi="Arial Black" w:eastAsia="Arial Black" w:cs="Arial Black"/>
        <w:b/>
        <w:bCs/>
        <w:w w:val="100"/>
        <w:sz w:val="18"/>
        <w:szCs w:val="18"/>
        <w:lang w:val="en-us" w:eastAsia="en-us" w:bidi="en-us"/>
      </w:rPr>
    </w:lvl>
    <w:lvl w:ilvl="1">
      <w:start w:val="0"/>
      <w:numFmt w:val="bullet"/>
      <w:lvlText w:val="•"/>
      <w:lvlJc w:val="left"/>
      <w:pPr>
        <w:ind w:left="2992" w:hanging="150"/>
      </w:pPr>
      <w:rPr>
        <w:rFonts w:hint="default"/>
        <w:lang w:val="en-us" w:eastAsia="en-us" w:bidi="en-us"/>
      </w:rPr>
    </w:lvl>
    <w:lvl w:ilvl="2">
      <w:start w:val="0"/>
      <w:numFmt w:val="bullet"/>
      <w:lvlText w:val="•"/>
      <w:lvlJc w:val="left"/>
      <w:pPr>
        <w:ind w:left="3904" w:hanging="150"/>
      </w:pPr>
      <w:rPr>
        <w:rFonts w:hint="default"/>
        <w:lang w:val="en-us" w:eastAsia="en-us" w:bidi="en-us"/>
      </w:rPr>
    </w:lvl>
    <w:lvl w:ilvl="3">
      <w:start w:val="0"/>
      <w:numFmt w:val="bullet"/>
      <w:lvlText w:val="•"/>
      <w:lvlJc w:val="left"/>
      <w:pPr>
        <w:ind w:left="4816" w:hanging="150"/>
      </w:pPr>
      <w:rPr>
        <w:rFonts w:hint="default"/>
        <w:lang w:val="en-us" w:eastAsia="en-us" w:bidi="en-us"/>
      </w:rPr>
    </w:lvl>
    <w:lvl w:ilvl="4">
      <w:start w:val="0"/>
      <w:numFmt w:val="bullet"/>
      <w:lvlText w:val="•"/>
      <w:lvlJc w:val="left"/>
      <w:pPr>
        <w:ind w:left="5728" w:hanging="150"/>
      </w:pPr>
      <w:rPr>
        <w:rFonts w:hint="default"/>
        <w:lang w:val="en-us" w:eastAsia="en-us" w:bidi="en-us"/>
      </w:rPr>
    </w:lvl>
    <w:lvl w:ilvl="5">
      <w:start w:val="0"/>
      <w:numFmt w:val="bullet"/>
      <w:lvlText w:val="•"/>
      <w:lvlJc w:val="left"/>
      <w:pPr>
        <w:ind w:left="6640" w:hanging="150"/>
      </w:pPr>
      <w:rPr>
        <w:rFonts w:hint="default"/>
        <w:lang w:val="en-us" w:eastAsia="en-us" w:bidi="en-us"/>
      </w:rPr>
    </w:lvl>
    <w:lvl w:ilvl="6">
      <w:start w:val="0"/>
      <w:numFmt w:val="bullet"/>
      <w:lvlText w:val="•"/>
      <w:lvlJc w:val="left"/>
      <w:pPr>
        <w:ind w:left="7552" w:hanging="150"/>
      </w:pPr>
      <w:rPr>
        <w:rFonts w:hint="default"/>
        <w:lang w:val="en-us" w:eastAsia="en-us" w:bidi="en-us"/>
      </w:rPr>
    </w:lvl>
    <w:lvl w:ilvl="7">
      <w:start w:val="0"/>
      <w:numFmt w:val="bullet"/>
      <w:lvlText w:val="•"/>
      <w:lvlJc w:val="left"/>
      <w:pPr>
        <w:ind w:left="8464" w:hanging="150"/>
      </w:pPr>
      <w:rPr>
        <w:rFonts w:hint="default"/>
        <w:lang w:val="en-us" w:eastAsia="en-us" w:bidi="en-us"/>
      </w:rPr>
    </w:lvl>
    <w:lvl w:ilvl="8">
      <w:start w:val="0"/>
      <w:numFmt w:val="bullet"/>
      <w:lvlText w:val="•"/>
      <w:lvlJc w:val="left"/>
      <w:pPr>
        <w:ind w:left="9376" w:hanging="15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Narrow" w:hAnsi="Arial Narrow" w:eastAsia="Arial Narrow" w:cs="Arial Narrow"/>
      <w:sz w:val="18"/>
      <w:szCs w:val="18"/>
      <w:lang w:val="en-us" w:eastAsia="en-us" w:bidi="en-us"/>
    </w:rPr>
  </w:style>
  <w:style w:styleId="ListParagraph" w:type="paragraph">
    <w:name w:val="List Paragraph"/>
    <w:basedOn w:val="Normal"/>
    <w:uiPriority w:val="1"/>
    <w:qFormat/>
    <w:pPr>
      <w:spacing w:before="51"/>
      <w:ind w:left="2079" w:hanging="149"/>
    </w:pPr>
    <w:rPr>
      <w:rFonts w:ascii="Arial Narrow" w:hAnsi="Arial Narrow" w:eastAsia="Arial Narrow" w:cs="Arial Narrow"/>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mass.gov/masshealth/newmmis" TargetMode="External"/><Relationship Id="rId8" Type="http://schemas.openxmlformats.org/officeDocument/2006/relationships/hyperlink" Target="http://www.masspharmacy-edi.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2017-11-24T15:36:55Z</dcterms:created>
  <dcterms:modified xsi:type="dcterms:W3CDTF">2017-11-24T15:36:55Z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2009-05-14T00:00:00Z</vt:filetime>
  </property>
  <property fmtid="{D5CDD505-2E9C-101B-9397-08002B2CF9AE}" pid="3" name="Creator">
    <vt:lpwstr>Acrobat PDFMaker 8.1 for Word</vt:lpwstr>
  </property>
  <property fmtid="{D5CDD505-2E9C-101B-9397-08002B2CF9AE}" pid="4" name="LastSaved">
    <vt:filetime>2017-11-24T00:00:00Z</vt:filetime>
  </property>
</Properties>
</file>