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
        <w:rPr>
          <w:rFonts w:ascii="Times New Roman"/>
          <w:sz w:val="23"/>
        </w:rPr>
      </w:pPr>
    </w:p>
    <w:p>
      <w:pPr>
        <w:spacing w:before="0" w:after="2"/>
        <w:ind w:left="1040" w:right="1417" w:firstLine="0"/>
        <w:jc w:val="center"/>
        <w:rPr>
          <w:rFonts w:ascii="Arial Narrow"/>
          <w:sz w:val="18"/>
        </w:rPr>
      </w:pPr>
      <w:r>
        <w:rPr/>
        <w:pict>
          <v:group style="position:absolute;margin-left:41.279999pt;margin-top:-105.210442pt;width:542.4pt;height:107.85pt;mso-position-horizontal-relative:page;mso-position-vertical-relative:paragraph;z-index:-5272" coordorigin="826,-2104" coordsize="10848,2157">
            <v:shape style="position:absolute;left:825;top:-2105;width:10848;height:2157" type="#_x0000_t75" stroked="false">
              <v:imagedata r:id="rId5" o:title=""/>
            </v:shape>
            <v:shapetype id="_x0000_t202" o:spt="202" coordsize="21600,21600" path="m,l,21600r21600,l21600,xe">
              <v:stroke joinstyle="miter"/>
              <v:path gradientshapeok="t" o:connecttype="rect"/>
            </v:shapetype>
            <v:shape style="position:absolute;left:1584;top:-1160;width:1033;height:503" type="#_x0000_t202" filled="false" stroked="false">
              <v:textbox inset="0,0,0,0">
                <w:txbxContent>
                  <w:p>
                    <w:pPr>
                      <w:spacing w:line="229" w:lineRule="exact" w:before="0"/>
                      <w:ind w:left="0" w:right="0" w:firstLine="0"/>
                      <w:jc w:val="left"/>
                      <w:rPr>
                        <w:rFonts w:ascii="Arial Narrow"/>
                        <w:b/>
                        <w:sz w:val="20"/>
                      </w:rPr>
                    </w:pPr>
                    <w:r>
                      <w:rPr>
                        <w:rFonts w:ascii="Arial Narrow"/>
                        <w:b/>
                        <w:sz w:val="20"/>
                      </w:rPr>
                      <w:t>Number 52</w:t>
                    </w:r>
                  </w:p>
                  <w:p>
                    <w:pPr>
                      <w:spacing w:before="44"/>
                      <w:ind w:left="0" w:right="0" w:firstLine="0"/>
                      <w:jc w:val="left"/>
                      <w:rPr>
                        <w:rFonts w:ascii="Arial Narrow"/>
                        <w:b/>
                        <w:sz w:val="20"/>
                      </w:rPr>
                    </w:pPr>
                    <w:r>
                      <w:rPr>
                        <w:rFonts w:ascii="Arial Narrow"/>
                        <w:b/>
                        <w:sz w:val="20"/>
                      </w:rPr>
                      <w:t>July 21, 2009</w:t>
                    </w:r>
                  </w:p>
                </w:txbxContent>
              </v:textbox>
              <w10:wrap type="none"/>
            </v:shape>
            <v:shape style="position:absolute;left:10160;top:-260;width:1120;height:254" type="#_x0000_t202" filled="false" stroked="false">
              <v:textbox inset="0,0,0,0">
                <w:txbxContent>
                  <w:p>
                    <w:pPr>
                      <w:spacing w:before="0"/>
                      <w:ind w:left="0" w:right="0" w:firstLine="0"/>
                      <w:jc w:val="left"/>
                      <w:rPr>
                        <w:rFonts w:ascii="Arial Black"/>
                        <w:b/>
                        <w:sz w:val="18"/>
                      </w:rPr>
                    </w:pPr>
                    <w:r>
                      <w:rPr>
                        <w:rFonts w:ascii="Arial Black"/>
                        <w:b/>
                        <w:sz w:val="18"/>
                      </w:rPr>
                      <w:t>Page 1 of 2</w:t>
                    </w:r>
                  </w:p>
                </w:txbxContent>
              </v:textbox>
              <w10:wrap type="none"/>
            </v:shape>
            <w10:wrap type="none"/>
          </v:group>
        </w:pict>
      </w:r>
      <w:hyperlink r:id="rId6">
        <w:r>
          <w:rPr>
            <w:rFonts w:ascii="Arial Narrow"/>
            <w:sz w:val="18"/>
          </w:rPr>
          <w:t>www.mass.gov/masshealth/pharmacy</w:t>
        </w:r>
      </w:hyperlink>
    </w:p>
    <w:tbl>
      <w:tblPr>
        <w:tblW w:w="0" w:type="auto"/>
        <w:jc w:val="left"/>
        <w:tblInd w:w="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10"/>
        <w:gridCol w:w="5303"/>
      </w:tblGrid>
      <w:tr>
        <w:trPr>
          <w:trHeight w:val="303" w:hRule="atLeast"/>
        </w:trPr>
        <w:tc>
          <w:tcPr>
            <w:tcW w:w="10613" w:type="dxa"/>
            <w:gridSpan w:val="2"/>
            <w:tcBorders>
              <w:top w:val="single" w:sz="8" w:space="0" w:color="000000"/>
              <w:bottom w:val="single" w:sz="8" w:space="0" w:color="000000"/>
            </w:tcBorders>
          </w:tcPr>
          <w:p>
            <w:pPr>
              <w:pStyle w:val="TableParagraph"/>
              <w:numPr>
                <w:ilvl w:val="0"/>
                <w:numId w:val="1"/>
              </w:numPr>
              <w:tabs>
                <w:tab w:pos="1836" w:val="left" w:leader="none"/>
              </w:tabs>
              <w:spacing w:line="240" w:lineRule="auto" w:before="0" w:after="0"/>
              <w:ind w:left="1835" w:right="0" w:hanging="149"/>
              <w:jc w:val="left"/>
              <w:rPr>
                <w:rFonts w:ascii="Arial Black" w:hAnsi="Arial Black"/>
                <w:b/>
                <w:sz w:val="18"/>
              </w:rPr>
            </w:pPr>
            <w:r>
              <w:rPr>
                <w:rFonts w:ascii="Arial Narrow" w:hAnsi="Arial Narrow"/>
                <w:sz w:val="18"/>
              </w:rPr>
              <w:t>Editor: Vic Vangel </w:t>
            </w:r>
            <w:r>
              <w:rPr>
                <w:rFonts w:ascii="Arial Black" w:hAnsi="Arial Black"/>
                <w:b/>
                <w:sz w:val="18"/>
              </w:rPr>
              <w:t>• </w:t>
            </w:r>
            <w:r>
              <w:rPr>
                <w:rFonts w:ascii="Arial Narrow" w:hAnsi="Arial Narrow"/>
                <w:sz w:val="18"/>
              </w:rPr>
              <w:t>Contributors: Chris Burke, Gary Gilmore, Paul Jeffrey, James Monahan, Nancy Schiff</w:t>
            </w:r>
            <w:r>
              <w:rPr>
                <w:rFonts w:ascii="Arial Narrow" w:hAnsi="Arial Narrow"/>
                <w:spacing w:val="15"/>
                <w:sz w:val="18"/>
              </w:rPr>
              <w:t> </w:t>
            </w:r>
            <w:r>
              <w:rPr>
                <w:rFonts w:ascii="Arial Black" w:hAnsi="Arial Black"/>
                <w:b/>
                <w:sz w:val="18"/>
              </w:rPr>
              <w:t>•</w:t>
            </w:r>
          </w:p>
        </w:tc>
      </w:tr>
      <w:tr>
        <w:trPr>
          <w:trHeight w:val="12190" w:hRule="atLeast"/>
        </w:trPr>
        <w:tc>
          <w:tcPr>
            <w:tcW w:w="5310" w:type="dxa"/>
            <w:tcBorders>
              <w:top w:val="single" w:sz="8" w:space="0" w:color="000000"/>
              <w:right w:val="single" w:sz="4" w:space="0" w:color="000000"/>
            </w:tcBorders>
          </w:tcPr>
          <w:p>
            <w:pPr>
              <w:pStyle w:val="TableParagraph"/>
              <w:spacing w:line="288" w:lineRule="auto" w:before="199"/>
              <w:ind w:left="107" w:right="300"/>
              <w:rPr>
                <w:rFonts w:ascii="Arial Black"/>
                <w:b/>
                <w:sz w:val="22"/>
              </w:rPr>
            </w:pPr>
            <w:r>
              <w:rPr>
                <w:rFonts w:ascii="Arial Black"/>
                <w:b/>
                <w:sz w:val="22"/>
              </w:rPr>
              <w:t>Proposed Regulation Changes - Payment Methodology</w:t>
            </w:r>
          </w:p>
          <w:p>
            <w:pPr>
              <w:pStyle w:val="TableParagraph"/>
              <w:spacing w:before="82"/>
              <w:ind w:left="107" w:right="240"/>
              <w:rPr>
                <w:sz w:val="21"/>
              </w:rPr>
            </w:pPr>
            <w:r>
              <w:rPr>
                <w:sz w:val="21"/>
              </w:rPr>
              <w:t>The Division of Health Care Finance and Policy will hold a public hearing on Tuesday, July 28, 2009 at 10:00 A.M. at the Division, 2 Boylston Street, Boston, MA, about proposed amendments to:</w:t>
            </w:r>
          </w:p>
          <w:p>
            <w:pPr>
              <w:pStyle w:val="TableParagraph"/>
              <w:spacing w:before="60"/>
              <w:ind w:left="108"/>
              <w:rPr>
                <w:b/>
                <w:sz w:val="21"/>
              </w:rPr>
            </w:pPr>
            <w:r>
              <w:rPr>
                <w:b/>
                <w:sz w:val="21"/>
              </w:rPr>
              <w:t>114.3 CMR 31.00: Prescribed Drugs</w:t>
            </w:r>
          </w:p>
          <w:p>
            <w:pPr>
              <w:pStyle w:val="TableParagraph"/>
              <w:spacing w:before="2"/>
              <w:rPr>
                <w:rFonts w:ascii="Arial Narrow"/>
                <w:sz w:val="19"/>
              </w:rPr>
            </w:pPr>
          </w:p>
          <w:p>
            <w:pPr>
              <w:pStyle w:val="TableParagraph"/>
              <w:ind w:left="107" w:right="115"/>
              <w:rPr>
                <w:sz w:val="21"/>
              </w:rPr>
            </w:pPr>
            <w:r>
              <w:rPr>
                <w:sz w:val="21"/>
              </w:rPr>
              <w:t>The proposed amendments, effective August 1, 2009, alter the usual and customary charge to ensure that payment for MassHealth does not exceed prices that a pharmacist has agreed to accept from any other payer.</w:t>
            </w:r>
          </w:p>
          <w:p>
            <w:pPr>
              <w:pStyle w:val="TableParagraph"/>
              <w:spacing w:before="1"/>
              <w:rPr>
                <w:rFonts w:ascii="Arial Narrow"/>
                <w:sz w:val="21"/>
              </w:rPr>
            </w:pPr>
          </w:p>
          <w:p>
            <w:pPr>
              <w:pStyle w:val="TableParagraph"/>
              <w:spacing w:before="1"/>
              <w:ind w:left="107" w:right="322"/>
              <w:rPr>
                <w:sz w:val="21"/>
              </w:rPr>
            </w:pPr>
            <w:r>
              <w:rPr>
                <w:sz w:val="21"/>
              </w:rPr>
              <w:t>The amendment also redefines how MassHealth will reimburse pharmacies for blood clotting factors by including the Medicare B rate as follows</w:t>
            </w:r>
          </w:p>
          <w:p>
            <w:pPr>
              <w:pStyle w:val="TableParagraph"/>
              <w:rPr>
                <w:rFonts w:ascii="Arial Narrow"/>
                <w:sz w:val="21"/>
              </w:rPr>
            </w:pPr>
          </w:p>
          <w:p>
            <w:pPr>
              <w:pStyle w:val="TableParagraph"/>
              <w:ind w:left="107" w:right="100"/>
              <w:rPr>
                <w:sz w:val="21"/>
              </w:rPr>
            </w:pPr>
            <w:r>
              <w:rPr>
                <w:sz w:val="21"/>
              </w:rPr>
              <w:t>Payment for Blood Clotting Factor shall not exceed the lowest of:</w:t>
            </w:r>
          </w:p>
          <w:p>
            <w:pPr>
              <w:pStyle w:val="TableParagraph"/>
              <w:rPr>
                <w:rFonts w:ascii="Arial Narrow"/>
                <w:sz w:val="21"/>
              </w:rPr>
            </w:pPr>
          </w:p>
          <w:p>
            <w:pPr>
              <w:pStyle w:val="TableParagraph"/>
              <w:numPr>
                <w:ilvl w:val="0"/>
                <w:numId w:val="2"/>
              </w:numPr>
              <w:tabs>
                <w:tab w:pos="424" w:val="left" w:leader="none"/>
              </w:tabs>
              <w:spacing w:line="240" w:lineRule="auto" w:before="0" w:after="0"/>
              <w:ind w:left="458" w:right="385" w:hanging="350"/>
              <w:jc w:val="left"/>
              <w:rPr>
                <w:sz w:val="21"/>
              </w:rPr>
            </w:pPr>
            <w:r>
              <w:rPr>
                <w:sz w:val="21"/>
              </w:rPr>
              <w:t>the federal upper limit of the drug, if any, plus the appropriate dispensing fee as listed in 114.3 CMR</w:t>
            </w:r>
            <w:r>
              <w:rPr>
                <w:spacing w:val="-1"/>
                <w:sz w:val="21"/>
              </w:rPr>
              <w:t> </w:t>
            </w:r>
            <w:r>
              <w:rPr>
                <w:sz w:val="21"/>
              </w:rPr>
              <w:t>31.06;</w:t>
            </w:r>
          </w:p>
          <w:p>
            <w:pPr>
              <w:pStyle w:val="TableParagraph"/>
              <w:numPr>
                <w:ilvl w:val="0"/>
                <w:numId w:val="2"/>
              </w:numPr>
              <w:tabs>
                <w:tab w:pos="424" w:val="left" w:leader="none"/>
              </w:tabs>
              <w:spacing w:line="240" w:lineRule="auto" w:before="1" w:after="0"/>
              <w:ind w:left="459" w:right="361" w:hanging="351"/>
              <w:jc w:val="left"/>
              <w:rPr>
                <w:sz w:val="21"/>
              </w:rPr>
            </w:pPr>
            <w:r>
              <w:rPr>
                <w:sz w:val="21"/>
              </w:rPr>
              <w:t>the Massachusetts upper limit of the drug, if any, plus the appropriate dispensing fee as listed</w:t>
            </w:r>
            <w:r>
              <w:rPr>
                <w:spacing w:val="-23"/>
                <w:sz w:val="21"/>
              </w:rPr>
              <w:t> </w:t>
            </w:r>
            <w:r>
              <w:rPr>
                <w:sz w:val="21"/>
              </w:rPr>
              <w:t>in</w:t>
            </w:r>
          </w:p>
          <w:p>
            <w:pPr>
              <w:pStyle w:val="TableParagraph"/>
              <w:spacing w:before="1"/>
              <w:ind w:left="400"/>
              <w:rPr>
                <w:sz w:val="21"/>
              </w:rPr>
            </w:pPr>
            <w:r>
              <w:rPr>
                <w:sz w:val="21"/>
              </w:rPr>
              <w:t>114.3 CMR 31.06;</w:t>
            </w:r>
          </w:p>
          <w:p>
            <w:pPr>
              <w:pStyle w:val="TableParagraph"/>
              <w:numPr>
                <w:ilvl w:val="0"/>
                <w:numId w:val="2"/>
              </w:numPr>
              <w:tabs>
                <w:tab w:pos="412" w:val="left" w:leader="none"/>
              </w:tabs>
              <w:spacing w:line="240" w:lineRule="auto" w:before="0" w:after="0"/>
              <w:ind w:left="459" w:right="734" w:hanging="351"/>
              <w:jc w:val="left"/>
              <w:rPr>
                <w:sz w:val="21"/>
              </w:rPr>
            </w:pPr>
            <w:r>
              <w:rPr>
                <w:sz w:val="21"/>
              </w:rPr>
              <w:t>the estimated acquisition cost, plus the appropriate dispensing fee as listed in 114.3 CMR</w:t>
            </w:r>
            <w:r>
              <w:rPr>
                <w:spacing w:val="-1"/>
                <w:sz w:val="21"/>
              </w:rPr>
              <w:t> </w:t>
            </w:r>
            <w:r>
              <w:rPr>
                <w:sz w:val="21"/>
              </w:rPr>
              <w:t>31.06;</w:t>
            </w:r>
          </w:p>
          <w:p>
            <w:pPr>
              <w:pStyle w:val="TableParagraph"/>
              <w:numPr>
                <w:ilvl w:val="0"/>
                <w:numId w:val="2"/>
              </w:numPr>
              <w:tabs>
                <w:tab w:pos="424" w:val="left" w:leader="none"/>
              </w:tabs>
              <w:spacing w:line="240" w:lineRule="auto" w:before="0" w:after="0"/>
              <w:ind w:left="423" w:right="0" w:hanging="315"/>
              <w:jc w:val="left"/>
              <w:rPr>
                <w:sz w:val="21"/>
              </w:rPr>
            </w:pPr>
            <w:r>
              <w:rPr>
                <w:sz w:val="21"/>
              </w:rPr>
              <w:t>the Medicare Part B rate;</w:t>
            </w:r>
            <w:r>
              <w:rPr>
                <w:spacing w:val="-3"/>
                <w:sz w:val="21"/>
              </w:rPr>
              <w:t> </w:t>
            </w:r>
            <w:r>
              <w:rPr>
                <w:sz w:val="21"/>
              </w:rPr>
              <w:t>or</w:t>
            </w:r>
          </w:p>
          <w:p>
            <w:pPr>
              <w:pStyle w:val="TableParagraph"/>
              <w:numPr>
                <w:ilvl w:val="0"/>
                <w:numId w:val="2"/>
              </w:numPr>
              <w:tabs>
                <w:tab w:pos="424" w:val="left" w:leader="none"/>
              </w:tabs>
              <w:spacing w:line="240" w:lineRule="auto" w:before="0" w:after="0"/>
              <w:ind w:left="423" w:right="0" w:hanging="315"/>
              <w:jc w:val="left"/>
              <w:rPr>
                <w:sz w:val="21"/>
              </w:rPr>
            </w:pPr>
            <w:r>
              <w:rPr>
                <w:sz w:val="21"/>
              </w:rPr>
              <w:t>the usual and customary</w:t>
            </w:r>
            <w:r>
              <w:rPr>
                <w:spacing w:val="-3"/>
                <w:sz w:val="21"/>
              </w:rPr>
              <w:t> </w:t>
            </w:r>
            <w:r>
              <w:rPr>
                <w:sz w:val="21"/>
              </w:rPr>
              <w:t>charge.</w:t>
            </w:r>
          </w:p>
          <w:p>
            <w:pPr>
              <w:pStyle w:val="TableParagraph"/>
              <w:spacing w:line="288" w:lineRule="auto" w:before="197"/>
              <w:ind w:left="107" w:right="215"/>
              <w:rPr>
                <w:rFonts w:ascii="Arial Black"/>
                <w:b/>
                <w:sz w:val="22"/>
              </w:rPr>
            </w:pPr>
            <w:r>
              <w:rPr>
                <w:rFonts w:ascii="Arial Black"/>
                <w:b/>
                <w:sz w:val="22"/>
              </w:rPr>
              <w:t>Reminder About Claims Processing When MassHealth is Secondary Insurer</w:t>
            </w:r>
          </w:p>
          <w:p>
            <w:pPr>
              <w:pStyle w:val="TableParagraph"/>
              <w:spacing w:before="81"/>
              <w:ind w:left="107" w:right="107"/>
              <w:rPr>
                <w:sz w:val="21"/>
              </w:rPr>
            </w:pPr>
            <w:r>
              <w:rPr>
                <w:sz w:val="21"/>
              </w:rPr>
              <w:t>When a pharmacy is not a participating provider for a MassHealth member’s primary insurance or the pharmacy receives a message from the primary insurer that a product is covered only at certain network pharmacies, the pharmacy </w:t>
            </w:r>
            <w:r>
              <w:rPr>
                <w:b/>
                <w:sz w:val="21"/>
              </w:rPr>
              <w:t>cannot </w:t>
            </w:r>
            <w:r>
              <w:rPr>
                <w:sz w:val="21"/>
              </w:rPr>
              <w:t>appropriately bill MassHealth as the primary payer using Other Coverage Code 3. In these instances, the pharmacy needs to instruct the member that they</w:t>
            </w:r>
            <w:r>
              <w:rPr>
                <w:spacing w:val="-34"/>
                <w:sz w:val="21"/>
              </w:rPr>
              <w:t> </w:t>
            </w:r>
            <w:r>
              <w:rPr>
                <w:sz w:val="21"/>
              </w:rPr>
              <w:t>need to use a participating pharmacy of the primary</w:t>
            </w:r>
            <w:r>
              <w:rPr>
                <w:spacing w:val="-32"/>
                <w:sz w:val="21"/>
              </w:rPr>
              <w:t> </w:t>
            </w:r>
            <w:r>
              <w:rPr>
                <w:sz w:val="21"/>
              </w:rPr>
              <w:t>insurer.</w:t>
            </w:r>
          </w:p>
        </w:tc>
        <w:tc>
          <w:tcPr>
            <w:tcW w:w="5303" w:type="dxa"/>
            <w:tcBorders>
              <w:top w:val="single" w:sz="8" w:space="0" w:color="000000"/>
              <w:left w:val="single" w:sz="4" w:space="0" w:color="000000"/>
            </w:tcBorders>
          </w:tcPr>
          <w:p>
            <w:pPr>
              <w:pStyle w:val="TableParagraph"/>
              <w:spacing w:before="199"/>
              <w:ind w:left="102"/>
              <w:rPr>
                <w:rFonts w:ascii="Arial Black"/>
                <w:b/>
                <w:sz w:val="22"/>
              </w:rPr>
            </w:pPr>
            <w:r>
              <w:rPr>
                <w:rFonts w:ascii="Arial Black"/>
                <w:b/>
                <w:sz w:val="22"/>
              </w:rPr>
              <w:t>MHDL Updates</w:t>
            </w:r>
          </w:p>
          <w:p>
            <w:pPr>
              <w:pStyle w:val="TableParagraph"/>
              <w:numPr>
                <w:ilvl w:val="0"/>
                <w:numId w:val="3"/>
              </w:numPr>
              <w:tabs>
                <w:tab w:pos="464" w:val="left" w:leader="none"/>
              </w:tabs>
              <w:spacing w:line="240" w:lineRule="auto" w:before="144" w:after="0"/>
              <w:ind w:left="463" w:right="0" w:hanging="360"/>
              <w:jc w:val="left"/>
              <w:rPr>
                <w:b/>
                <w:sz w:val="21"/>
              </w:rPr>
            </w:pPr>
            <w:r>
              <w:rPr>
                <w:b/>
                <w:sz w:val="21"/>
              </w:rPr>
              <w:t>Additions</w:t>
            </w:r>
          </w:p>
          <w:p>
            <w:pPr>
              <w:pStyle w:val="TableParagraph"/>
              <w:numPr>
                <w:ilvl w:val="1"/>
                <w:numId w:val="3"/>
              </w:numPr>
              <w:tabs>
                <w:tab w:pos="827" w:val="left" w:leader="none"/>
              </w:tabs>
              <w:spacing w:line="240" w:lineRule="auto" w:before="0" w:after="0"/>
              <w:ind w:left="840" w:right="380" w:hanging="386"/>
              <w:jc w:val="left"/>
              <w:rPr>
                <w:sz w:val="21"/>
              </w:rPr>
            </w:pPr>
            <w:r>
              <w:rPr>
                <w:sz w:val="21"/>
              </w:rPr>
              <w:t>The following newly marketed drugs will be added to the MassHealth Drug List effective August 3,</w:t>
            </w:r>
            <w:r>
              <w:rPr>
                <w:spacing w:val="-1"/>
                <w:sz w:val="21"/>
              </w:rPr>
              <w:t> </w:t>
            </w:r>
            <w:r>
              <w:rPr>
                <w:sz w:val="21"/>
              </w:rPr>
              <w:t>2009.</w:t>
            </w:r>
          </w:p>
          <w:p>
            <w:pPr>
              <w:pStyle w:val="TableParagraph"/>
              <w:rPr>
                <w:rFonts w:ascii="Arial Narrow"/>
                <w:sz w:val="21"/>
              </w:rPr>
            </w:pPr>
          </w:p>
          <w:p>
            <w:pPr>
              <w:pStyle w:val="TableParagraph"/>
              <w:spacing w:before="1"/>
              <w:ind w:left="841" w:right="292" w:hanging="38"/>
              <w:rPr>
                <w:b/>
                <w:sz w:val="21"/>
              </w:rPr>
            </w:pPr>
            <w:r>
              <w:rPr>
                <w:sz w:val="21"/>
              </w:rPr>
              <w:t>Acanya (clindamycin/benzoyl peroxide) – </w:t>
            </w:r>
            <w:r>
              <w:rPr>
                <w:b/>
                <w:sz w:val="21"/>
              </w:rPr>
              <w:t>PA </w:t>
            </w:r>
            <w:r>
              <w:rPr>
                <w:sz w:val="21"/>
              </w:rPr>
              <w:t>Aplenzin (bupropion extended-release) – </w:t>
            </w:r>
            <w:r>
              <w:rPr>
                <w:b/>
                <w:sz w:val="21"/>
              </w:rPr>
              <w:t>PA </w:t>
            </w:r>
            <w:r>
              <w:rPr>
                <w:sz w:val="21"/>
              </w:rPr>
              <w:t>Apriso (mesalamine extended-release) degarelix – </w:t>
            </w:r>
            <w:r>
              <w:rPr>
                <w:b/>
                <w:sz w:val="21"/>
              </w:rPr>
              <w:t>PA</w:t>
            </w:r>
          </w:p>
          <w:p>
            <w:pPr>
              <w:pStyle w:val="TableParagraph"/>
              <w:ind w:left="1154" w:hanging="351"/>
              <w:rPr>
                <w:sz w:val="21"/>
              </w:rPr>
            </w:pPr>
            <w:r>
              <w:rPr>
                <w:sz w:val="21"/>
              </w:rPr>
              <w:t>Exforge HCT (amlodipine/valsartan/hydrochlorothiazide)</w:t>
            </w:r>
          </w:p>
          <w:p>
            <w:pPr>
              <w:pStyle w:val="TableParagraph"/>
              <w:spacing w:before="1"/>
              <w:ind w:left="1201"/>
              <w:rPr>
                <w:b/>
                <w:sz w:val="21"/>
              </w:rPr>
            </w:pPr>
            <w:r>
              <w:rPr>
                <w:sz w:val="21"/>
              </w:rPr>
              <w:t>– </w:t>
            </w:r>
            <w:r>
              <w:rPr>
                <w:b/>
                <w:sz w:val="21"/>
              </w:rPr>
              <w:t>PA</w:t>
            </w:r>
          </w:p>
          <w:p>
            <w:pPr>
              <w:pStyle w:val="TableParagraph"/>
              <w:ind w:left="841" w:right="1374" w:hanging="173"/>
              <w:jc w:val="center"/>
              <w:rPr>
                <w:b/>
                <w:sz w:val="21"/>
              </w:rPr>
            </w:pPr>
            <w:r>
              <w:rPr>
                <w:sz w:val="21"/>
              </w:rPr>
              <w:t>Gelnique (oxybutynin gel) – </w:t>
            </w:r>
            <w:r>
              <w:rPr>
                <w:b/>
                <w:sz w:val="21"/>
              </w:rPr>
              <w:t>PA </w:t>
            </w:r>
            <w:r>
              <w:rPr>
                <w:sz w:val="21"/>
              </w:rPr>
              <w:t>Kapidex (dexlansoprazole) – </w:t>
            </w:r>
            <w:r>
              <w:rPr>
                <w:b/>
                <w:sz w:val="21"/>
              </w:rPr>
              <w:t>PA </w:t>
            </w:r>
            <w:r>
              <w:rPr>
                <w:sz w:val="21"/>
              </w:rPr>
              <w:t>Lamictal ODT (lamotrigine, orally disintegrating tablet) – </w:t>
            </w:r>
            <w:r>
              <w:rPr>
                <w:b/>
                <w:sz w:val="21"/>
              </w:rPr>
              <w:t>PA</w:t>
            </w:r>
          </w:p>
          <w:p>
            <w:pPr>
              <w:pStyle w:val="TableParagraph"/>
              <w:ind w:left="1155" w:right="574" w:hanging="314"/>
              <w:rPr>
                <w:b/>
                <w:sz w:val="21"/>
              </w:rPr>
            </w:pPr>
            <w:r>
              <w:rPr>
                <w:sz w:val="21"/>
              </w:rPr>
              <w:t>Lamictal ODT Start Kit (lamotrigine, orally disintegrating tablet) – </w:t>
            </w:r>
            <w:r>
              <w:rPr>
                <w:b/>
                <w:sz w:val="21"/>
              </w:rPr>
              <w:t>PA</w:t>
            </w:r>
          </w:p>
          <w:p>
            <w:pPr>
              <w:pStyle w:val="TableParagraph"/>
              <w:ind w:left="980" w:right="2056" w:hanging="117"/>
              <w:rPr>
                <w:sz w:val="21"/>
              </w:rPr>
            </w:pPr>
            <w:r>
              <w:rPr>
                <w:sz w:val="21"/>
              </w:rPr>
              <w:t>LoSeasonique (ethinyl estradiol/levonorgestrel)</w:t>
            </w:r>
          </w:p>
          <w:p>
            <w:pPr>
              <w:pStyle w:val="TableParagraph"/>
              <w:ind w:left="1164" w:right="422" w:hanging="324"/>
              <w:rPr>
                <w:b/>
                <w:sz w:val="21"/>
              </w:rPr>
            </w:pPr>
            <w:r>
              <w:rPr>
                <w:sz w:val="21"/>
              </w:rPr>
              <w:t>Naprelan CR 750 mg (naproxen controlled- release) – </w:t>
            </w:r>
            <w:r>
              <w:rPr>
                <w:b/>
                <w:sz w:val="21"/>
              </w:rPr>
              <w:t>PA</w:t>
            </w:r>
          </w:p>
          <w:p>
            <w:pPr>
              <w:pStyle w:val="TableParagraph"/>
              <w:spacing w:line="241" w:lineRule="exact"/>
              <w:ind w:left="842"/>
              <w:rPr>
                <w:b/>
                <w:sz w:val="21"/>
              </w:rPr>
            </w:pPr>
            <w:r>
              <w:rPr>
                <w:sz w:val="21"/>
              </w:rPr>
              <w:t>Prilosec (omeprazole suspension) – </w:t>
            </w:r>
            <w:r>
              <w:rPr>
                <w:b/>
                <w:sz w:val="21"/>
              </w:rPr>
              <w:t>PA</w:t>
            </w:r>
          </w:p>
          <w:p>
            <w:pPr>
              <w:pStyle w:val="TableParagraph"/>
              <w:ind w:left="842"/>
              <w:rPr>
                <w:b/>
                <w:sz w:val="21"/>
              </w:rPr>
            </w:pPr>
            <w:r>
              <w:rPr>
                <w:sz w:val="21"/>
              </w:rPr>
              <w:t>Rapaflo (silodosin) – </w:t>
            </w:r>
            <w:r>
              <w:rPr>
                <w:b/>
                <w:sz w:val="21"/>
              </w:rPr>
              <w:t>PA</w:t>
            </w:r>
          </w:p>
          <w:p>
            <w:pPr>
              <w:pStyle w:val="TableParagraph"/>
              <w:spacing w:before="1"/>
              <w:ind w:left="842"/>
              <w:rPr>
                <w:b/>
                <w:sz w:val="21"/>
              </w:rPr>
            </w:pPr>
            <w:r>
              <w:rPr>
                <w:sz w:val="21"/>
              </w:rPr>
              <w:t>Ryzolt (tramadol extended-release) – </w:t>
            </w:r>
            <w:r>
              <w:rPr>
                <w:b/>
                <w:sz w:val="21"/>
              </w:rPr>
              <w:t>PA</w:t>
            </w:r>
          </w:p>
          <w:p>
            <w:pPr>
              <w:pStyle w:val="TableParagraph"/>
              <w:ind w:left="1223" w:right="941" w:hanging="382"/>
              <w:rPr>
                <w:b/>
                <w:sz w:val="21"/>
              </w:rPr>
            </w:pPr>
            <w:r>
              <w:rPr>
                <w:sz w:val="21"/>
              </w:rPr>
              <w:t>Toviaz 4 mg (fesoterodine) – </w:t>
            </w:r>
            <w:r>
              <w:rPr>
                <w:b/>
                <w:sz w:val="21"/>
              </w:rPr>
              <w:t>PA &gt; 30 units/month</w:t>
            </w:r>
          </w:p>
          <w:p>
            <w:pPr>
              <w:pStyle w:val="TableParagraph"/>
              <w:ind w:left="842" w:right="1938"/>
              <w:rPr>
                <w:b/>
                <w:sz w:val="21"/>
              </w:rPr>
            </w:pPr>
            <w:r>
              <w:rPr>
                <w:sz w:val="21"/>
              </w:rPr>
              <w:t>Toviaz 8 mg (fesoterodine) Uloric (febuxostat) – </w:t>
            </w:r>
            <w:r>
              <w:rPr>
                <w:b/>
                <w:sz w:val="21"/>
              </w:rPr>
              <w:t>PA</w:t>
            </w:r>
          </w:p>
          <w:p>
            <w:pPr>
              <w:pStyle w:val="TableParagraph"/>
              <w:ind w:left="805"/>
              <w:rPr>
                <w:b/>
                <w:sz w:val="21"/>
              </w:rPr>
            </w:pPr>
            <w:r>
              <w:rPr>
                <w:sz w:val="21"/>
              </w:rPr>
              <w:t>Vectical (calcitrol ointment) – </w:t>
            </w:r>
            <w:r>
              <w:rPr>
                <w:b/>
                <w:sz w:val="21"/>
              </w:rPr>
              <w:t>PA</w:t>
            </w:r>
          </w:p>
          <w:p>
            <w:pPr>
              <w:pStyle w:val="TableParagraph"/>
              <w:ind w:left="842"/>
              <w:rPr>
                <w:sz w:val="21"/>
              </w:rPr>
            </w:pPr>
            <w:r>
              <w:rPr>
                <w:sz w:val="21"/>
              </w:rPr>
              <w:t>Vimpat injection (lacosamide)</w:t>
            </w:r>
          </w:p>
          <w:p>
            <w:pPr>
              <w:pStyle w:val="TableParagraph"/>
              <w:ind w:left="842"/>
              <w:rPr>
                <w:b/>
                <w:sz w:val="21"/>
              </w:rPr>
            </w:pPr>
            <w:r>
              <w:rPr>
                <w:sz w:val="21"/>
              </w:rPr>
              <w:t>Vimpat tablet (lacosamide) – </w:t>
            </w:r>
            <w:r>
              <w:rPr>
                <w:b/>
                <w:sz w:val="21"/>
              </w:rPr>
              <w:t>PA</w:t>
            </w:r>
          </w:p>
          <w:p>
            <w:pPr>
              <w:pStyle w:val="TableParagraph"/>
              <w:rPr>
                <w:rFonts w:ascii="Arial Narrow"/>
                <w:sz w:val="21"/>
              </w:rPr>
            </w:pPr>
          </w:p>
          <w:p>
            <w:pPr>
              <w:pStyle w:val="TableParagraph"/>
              <w:numPr>
                <w:ilvl w:val="1"/>
                <w:numId w:val="3"/>
              </w:numPr>
              <w:tabs>
                <w:tab w:pos="843" w:val="left" w:leader="none"/>
              </w:tabs>
              <w:spacing w:line="240" w:lineRule="auto" w:before="1" w:after="0"/>
              <w:ind w:left="842" w:right="658" w:hanging="360"/>
              <w:jc w:val="left"/>
              <w:rPr>
                <w:sz w:val="21"/>
              </w:rPr>
            </w:pPr>
            <w:r>
              <w:rPr>
                <w:sz w:val="21"/>
              </w:rPr>
              <w:t>The following drugs will be added to the MassHealth Drug List effective August 3, 2009.</w:t>
            </w:r>
          </w:p>
          <w:p>
            <w:pPr>
              <w:pStyle w:val="TableParagraph"/>
              <w:spacing w:before="182"/>
              <w:ind w:left="841" w:right="1399" w:hanging="37"/>
              <w:rPr>
                <w:sz w:val="21"/>
              </w:rPr>
            </w:pPr>
            <w:r>
              <w:rPr>
                <w:sz w:val="21"/>
              </w:rPr>
              <w:t>Carmol HC (hydrocortisone/urea) U-Cort (hydrocortisone/urea)</w:t>
            </w:r>
          </w:p>
          <w:p>
            <w:pPr>
              <w:pStyle w:val="TableParagraph"/>
              <w:numPr>
                <w:ilvl w:val="0"/>
                <w:numId w:val="3"/>
              </w:numPr>
              <w:tabs>
                <w:tab w:pos="463" w:val="left" w:leader="none"/>
              </w:tabs>
              <w:spacing w:line="240" w:lineRule="auto" w:before="184" w:after="0"/>
              <w:ind w:left="462" w:right="0" w:hanging="359"/>
              <w:jc w:val="left"/>
              <w:rPr>
                <w:b/>
                <w:sz w:val="21"/>
              </w:rPr>
            </w:pPr>
            <w:r>
              <w:rPr>
                <w:b/>
                <w:sz w:val="21"/>
              </w:rPr>
              <w:t>Change in Prior-Authorization</w:t>
            </w:r>
            <w:r>
              <w:rPr>
                <w:b/>
                <w:spacing w:val="-4"/>
                <w:sz w:val="21"/>
              </w:rPr>
              <w:t> </w:t>
            </w:r>
            <w:r>
              <w:rPr>
                <w:b/>
                <w:sz w:val="21"/>
              </w:rPr>
              <w:t>Status</w:t>
            </w:r>
          </w:p>
          <w:p>
            <w:pPr>
              <w:pStyle w:val="TableParagraph"/>
              <w:numPr>
                <w:ilvl w:val="1"/>
                <w:numId w:val="3"/>
              </w:numPr>
              <w:tabs>
                <w:tab w:pos="811" w:val="left" w:leader="none"/>
              </w:tabs>
              <w:spacing w:line="240" w:lineRule="auto" w:before="0" w:after="0"/>
              <w:ind w:left="840" w:right="421" w:hanging="359"/>
              <w:jc w:val="left"/>
              <w:rPr>
                <w:sz w:val="21"/>
              </w:rPr>
            </w:pPr>
            <w:r>
              <w:rPr>
                <w:sz w:val="21"/>
              </w:rPr>
              <w:t>The PA requirement for Risperdal Consta is changing. The following PA requirement is effective August 17,</w:t>
            </w:r>
            <w:r>
              <w:rPr>
                <w:spacing w:val="-2"/>
                <w:sz w:val="21"/>
              </w:rPr>
              <w:t> </w:t>
            </w:r>
            <w:r>
              <w:rPr>
                <w:sz w:val="21"/>
              </w:rPr>
              <w:t>2009.</w:t>
            </w:r>
          </w:p>
          <w:p>
            <w:pPr>
              <w:pStyle w:val="TableParagraph"/>
              <w:spacing w:before="184"/>
              <w:ind w:left="804"/>
              <w:rPr>
                <w:b/>
                <w:sz w:val="21"/>
              </w:rPr>
            </w:pPr>
            <w:r>
              <w:rPr>
                <w:sz w:val="21"/>
              </w:rPr>
              <w:t>Risperdal Consta (risperidone injection) – </w:t>
            </w:r>
            <w:r>
              <w:rPr>
                <w:b/>
                <w:sz w:val="21"/>
              </w:rPr>
              <w:t>PA</w:t>
            </w:r>
          </w:p>
          <w:p>
            <w:pPr>
              <w:pStyle w:val="TableParagraph"/>
              <w:ind w:left="1154"/>
              <w:rPr>
                <w:b/>
                <w:sz w:val="21"/>
              </w:rPr>
            </w:pPr>
            <w:r>
              <w:rPr>
                <w:b/>
                <w:sz w:val="21"/>
              </w:rPr>
              <w:t>&gt;2 units (2 syringes)/month</w:t>
            </w:r>
          </w:p>
        </w:tc>
      </w:tr>
    </w:tbl>
    <w:p>
      <w:pPr>
        <w:spacing w:after="0"/>
        <w:rPr>
          <w:sz w:val="21"/>
        </w:rPr>
        <w:sectPr>
          <w:type w:val="continuous"/>
          <w:pgSz w:w="12240" w:h="15840"/>
          <w:pgMar w:top="380" w:bottom="280" w:left="620" w:right="420"/>
        </w:sectPr>
      </w:pPr>
    </w:p>
    <w:p>
      <w:pPr>
        <w:tabs>
          <w:tab w:pos="9547" w:val="left" w:leader="none"/>
        </w:tabs>
        <w:spacing w:before="72" w:after="34"/>
        <w:ind w:left="426" w:right="0" w:firstLine="0"/>
        <w:jc w:val="left"/>
        <w:rPr>
          <w:rFonts w:ascii="Arial Black"/>
          <w:b/>
          <w:sz w:val="18"/>
        </w:rPr>
      </w:pPr>
      <w:r>
        <w:rPr>
          <w:rFonts w:ascii="Arial Black"/>
          <w:b/>
          <w:sz w:val="18"/>
        </w:rPr>
        <w:t>Pharmacy Facts,</w:t>
      </w:r>
      <w:r>
        <w:rPr>
          <w:rFonts w:ascii="Arial Black"/>
          <w:b/>
          <w:spacing w:val="-5"/>
          <w:sz w:val="18"/>
        </w:rPr>
        <w:t> </w:t>
      </w:r>
      <w:r>
        <w:rPr>
          <w:rFonts w:ascii="Arial Black"/>
          <w:b/>
          <w:sz w:val="18"/>
        </w:rPr>
        <w:t>Number</w:t>
      </w:r>
      <w:r>
        <w:rPr>
          <w:rFonts w:ascii="Arial Black"/>
          <w:b/>
          <w:spacing w:val="-3"/>
          <w:sz w:val="18"/>
        </w:rPr>
        <w:t> </w:t>
      </w:r>
      <w:r>
        <w:rPr>
          <w:rFonts w:ascii="Arial Black"/>
          <w:b/>
          <w:sz w:val="18"/>
        </w:rPr>
        <w:t>52</w:t>
        <w:tab/>
        <w:t>Page 2 of</w:t>
      </w:r>
      <w:r>
        <w:rPr>
          <w:rFonts w:ascii="Arial Black"/>
          <w:b/>
          <w:spacing w:val="-3"/>
          <w:sz w:val="18"/>
        </w:rPr>
        <w:t> </w:t>
      </w:r>
      <w:r>
        <w:rPr>
          <w:rFonts w:ascii="Arial Black"/>
          <w:b/>
          <w:sz w:val="18"/>
        </w:rPr>
        <w:t>2</w:t>
      </w: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
        <w:gridCol w:w="5392"/>
        <w:gridCol w:w="5357"/>
        <w:gridCol w:w="160"/>
      </w:tblGrid>
      <w:tr>
        <w:trPr>
          <w:trHeight w:val="13999" w:hRule="atLeast"/>
        </w:trPr>
        <w:tc>
          <w:tcPr>
            <w:tcW w:w="72" w:type="dxa"/>
            <w:tcBorders>
              <w:bottom w:val="single" w:sz="6" w:space="0" w:color="000000"/>
            </w:tcBorders>
          </w:tcPr>
          <w:p>
            <w:pPr>
              <w:pStyle w:val="TableParagraph"/>
              <w:rPr>
                <w:rFonts w:ascii="Times New Roman"/>
                <w:sz w:val="20"/>
              </w:rPr>
            </w:pPr>
          </w:p>
        </w:tc>
        <w:tc>
          <w:tcPr>
            <w:tcW w:w="5392" w:type="dxa"/>
            <w:tcBorders>
              <w:top w:val="single" w:sz="8" w:space="0" w:color="000000"/>
              <w:bottom w:val="single" w:sz="6" w:space="0" w:color="000000"/>
              <w:right w:val="single" w:sz="4" w:space="0" w:color="000000"/>
            </w:tcBorders>
          </w:tcPr>
          <w:p>
            <w:pPr>
              <w:pStyle w:val="TableParagraph"/>
              <w:spacing w:before="199"/>
              <w:ind w:left="107"/>
              <w:rPr>
                <w:sz w:val="22"/>
              </w:rPr>
            </w:pPr>
            <w:r>
              <w:rPr>
                <w:rFonts w:ascii="Arial Black"/>
                <w:b/>
                <w:sz w:val="22"/>
              </w:rPr>
              <w:t>MHDL Updates </w:t>
            </w:r>
            <w:r>
              <w:rPr>
                <w:sz w:val="22"/>
              </w:rPr>
              <w:t>(cont.)</w:t>
            </w:r>
          </w:p>
          <w:p>
            <w:pPr>
              <w:pStyle w:val="TableParagraph"/>
              <w:numPr>
                <w:ilvl w:val="0"/>
                <w:numId w:val="4"/>
              </w:numPr>
              <w:tabs>
                <w:tab w:pos="828" w:val="left" w:leader="none"/>
              </w:tabs>
              <w:spacing w:line="240" w:lineRule="auto" w:before="144" w:after="0"/>
              <w:ind w:left="827" w:right="319" w:hanging="360"/>
              <w:jc w:val="left"/>
              <w:rPr>
                <w:sz w:val="21"/>
              </w:rPr>
            </w:pPr>
            <w:r>
              <w:rPr>
                <w:sz w:val="21"/>
              </w:rPr>
              <w:t>The PA requirements for the 5-HT</w:t>
            </w:r>
            <w:r>
              <w:rPr>
                <w:sz w:val="21"/>
                <w:vertAlign w:val="subscript"/>
              </w:rPr>
              <w:t>3</w:t>
            </w:r>
            <w:r>
              <w:rPr>
                <w:sz w:val="21"/>
                <w:vertAlign w:val="baseline"/>
              </w:rPr>
              <w:t> Receptor Antagonists are changing. The following PA requirements are effective August 17, 2009. Please see Table 27 of the MassHealth Drug List for a complete list of the PA requirements for the 5-HT</w:t>
            </w:r>
            <w:r>
              <w:rPr>
                <w:sz w:val="21"/>
                <w:vertAlign w:val="subscript"/>
              </w:rPr>
              <w:t>3</w:t>
            </w:r>
            <w:r>
              <w:rPr>
                <w:sz w:val="21"/>
                <w:vertAlign w:val="baseline"/>
              </w:rPr>
              <w:t> Receptor</w:t>
            </w:r>
            <w:r>
              <w:rPr>
                <w:spacing w:val="-22"/>
                <w:sz w:val="21"/>
                <w:vertAlign w:val="baseline"/>
              </w:rPr>
              <w:t> </w:t>
            </w:r>
            <w:r>
              <w:rPr>
                <w:sz w:val="21"/>
                <w:vertAlign w:val="baseline"/>
              </w:rPr>
              <w:t>Antagonists.</w:t>
            </w:r>
          </w:p>
          <w:p>
            <w:pPr>
              <w:pStyle w:val="TableParagraph"/>
              <w:spacing w:before="1"/>
              <w:rPr>
                <w:rFonts w:ascii="Arial Black"/>
                <w:b/>
                <w:sz w:val="17"/>
              </w:rPr>
            </w:pPr>
          </w:p>
          <w:p>
            <w:pPr>
              <w:pStyle w:val="TableParagraph"/>
              <w:ind w:left="809"/>
              <w:rPr>
                <w:b/>
                <w:sz w:val="21"/>
              </w:rPr>
            </w:pPr>
            <w:r>
              <w:rPr>
                <w:sz w:val="21"/>
              </w:rPr>
              <w:t>Anzemet (dolasetron) tablet – </w:t>
            </w:r>
            <w:r>
              <w:rPr>
                <w:b/>
                <w:sz w:val="21"/>
              </w:rPr>
              <w:t>PA</w:t>
            </w:r>
          </w:p>
          <w:p>
            <w:pPr>
              <w:pStyle w:val="TableParagraph"/>
              <w:ind w:left="828"/>
              <w:rPr>
                <w:b/>
                <w:sz w:val="21"/>
              </w:rPr>
            </w:pPr>
            <w:r>
              <w:rPr>
                <w:sz w:val="21"/>
              </w:rPr>
              <w:t>granisetron tablet – </w:t>
            </w:r>
            <w:r>
              <w:rPr>
                <w:b/>
                <w:sz w:val="21"/>
              </w:rPr>
              <w:t>PA</w:t>
            </w:r>
          </w:p>
          <w:p>
            <w:pPr>
              <w:pStyle w:val="TableParagraph"/>
              <w:spacing w:before="1"/>
              <w:ind w:left="828"/>
              <w:rPr>
                <w:b/>
                <w:sz w:val="21"/>
              </w:rPr>
            </w:pPr>
            <w:r>
              <w:rPr>
                <w:sz w:val="21"/>
              </w:rPr>
              <w:t>Kytril 2 mg/10 ml (granisetron) solution – </w:t>
            </w:r>
            <w:r>
              <w:rPr>
                <w:b/>
                <w:sz w:val="21"/>
              </w:rPr>
              <w:t>PA</w:t>
            </w:r>
          </w:p>
          <w:p>
            <w:pPr>
              <w:pStyle w:val="TableParagraph"/>
              <w:spacing w:before="1"/>
              <w:rPr>
                <w:rFonts w:ascii="Arial Black"/>
                <w:b/>
                <w:sz w:val="17"/>
              </w:rPr>
            </w:pPr>
          </w:p>
          <w:p>
            <w:pPr>
              <w:pStyle w:val="TableParagraph"/>
              <w:numPr>
                <w:ilvl w:val="0"/>
                <w:numId w:val="4"/>
              </w:numPr>
              <w:tabs>
                <w:tab w:pos="829" w:val="left" w:leader="none"/>
              </w:tabs>
              <w:spacing w:line="240" w:lineRule="auto" w:before="0" w:after="0"/>
              <w:ind w:left="828" w:right="867" w:hanging="360"/>
              <w:jc w:val="left"/>
              <w:rPr>
                <w:sz w:val="21"/>
              </w:rPr>
            </w:pPr>
            <w:r>
              <w:rPr>
                <w:sz w:val="21"/>
              </w:rPr>
              <w:t>The following drugs will require prior authorization effective August 17,</w:t>
            </w:r>
            <w:r>
              <w:rPr>
                <w:spacing w:val="-28"/>
                <w:sz w:val="21"/>
              </w:rPr>
              <w:t> </w:t>
            </w:r>
            <w:r>
              <w:rPr>
                <w:sz w:val="21"/>
              </w:rPr>
              <w:t>2009.</w:t>
            </w:r>
          </w:p>
          <w:p>
            <w:pPr>
              <w:pStyle w:val="TableParagraph"/>
              <w:spacing w:before="11"/>
              <w:rPr>
                <w:rFonts w:ascii="Arial Black"/>
                <w:b/>
                <w:sz w:val="22"/>
              </w:rPr>
            </w:pPr>
          </w:p>
          <w:p>
            <w:pPr>
              <w:pStyle w:val="TableParagraph"/>
              <w:ind w:left="809"/>
              <w:rPr>
                <w:sz w:val="21"/>
              </w:rPr>
            </w:pPr>
            <w:r>
              <w:rPr>
                <w:sz w:val="21"/>
              </w:rPr>
              <w:t>Detrol LA 2 mg (tolterodine extended-release) –</w:t>
            </w:r>
          </w:p>
          <w:p>
            <w:pPr>
              <w:pStyle w:val="TableParagraph"/>
              <w:spacing w:before="1"/>
              <w:ind w:left="1188"/>
              <w:rPr>
                <w:b/>
                <w:sz w:val="21"/>
              </w:rPr>
            </w:pPr>
            <w:r>
              <w:rPr>
                <w:b/>
                <w:sz w:val="21"/>
              </w:rPr>
              <w:t>PA &gt; 30 units/month</w:t>
            </w:r>
          </w:p>
          <w:p>
            <w:pPr>
              <w:pStyle w:val="TableParagraph"/>
              <w:ind w:left="828"/>
              <w:rPr>
                <w:b/>
                <w:sz w:val="21"/>
              </w:rPr>
            </w:pPr>
            <w:r>
              <w:rPr>
                <w:sz w:val="21"/>
              </w:rPr>
              <w:t>DexPak (dexamethasone) – </w:t>
            </w:r>
            <w:r>
              <w:rPr>
                <w:b/>
                <w:sz w:val="21"/>
              </w:rPr>
              <w:t>PA</w:t>
            </w:r>
          </w:p>
          <w:p>
            <w:pPr>
              <w:pStyle w:val="TableParagraph"/>
              <w:ind w:left="1160" w:right="856" w:hanging="332"/>
              <w:rPr>
                <w:b/>
                <w:sz w:val="21"/>
              </w:rPr>
            </w:pPr>
            <w:r>
              <w:rPr>
                <w:sz w:val="21"/>
              </w:rPr>
              <w:t>Enablex 7.5 mg (darifenacin) – </w:t>
            </w:r>
            <w:r>
              <w:rPr>
                <w:b/>
                <w:sz w:val="21"/>
              </w:rPr>
              <w:t>PA &gt; 30 units/month</w:t>
            </w:r>
          </w:p>
          <w:p>
            <w:pPr>
              <w:pStyle w:val="TableParagraph"/>
              <w:ind w:left="828"/>
              <w:rPr>
                <w:b/>
                <w:sz w:val="21"/>
              </w:rPr>
            </w:pPr>
            <w:r>
              <w:rPr>
                <w:sz w:val="21"/>
              </w:rPr>
              <w:t>Nalfon 200 mg (fenoprofen) – </w:t>
            </w:r>
            <w:r>
              <w:rPr>
                <w:b/>
                <w:sz w:val="21"/>
              </w:rPr>
              <w:t>PA</w:t>
            </w:r>
          </w:p>
          <w:p>
            <w:pPr>
              <w:pStyle w:val="TableParagraph"/>
              <w:ind w:left="1160" w:right="760" w:hanging="332"/>
              <w:rPr>
                <w:b/>
                <w:sz w:val="21"/>
              </w:rPr>
            </w:pPr>
            <w:r>
              <w:rPr>
                <w:sz w:val="21"/>
              </w:rPr>
              <w:t>Naprelan CR 375 mg, 500 mg (naproxen controlled-release) – </w:t>
            </w:r>
            <w:r>
              <w:rPr>
                <w:b/>
                <w:sz w:val="21"/>
              </w:rPr>
              <w:t>PA</w:t>
            </w:r>
          </w:p>
          <w:p>
            <w:pPr>
              <w:pStyle w:val="TableParagraph"/>
              <w:spacing w:line="241" w:lineRule="exact"/>
              <w:ind w:left="828"/>
              <w:rPr>
                <w:b/>
                <w:sz w:val="21"/>
              </w:rPr>
            </w:pPr>
            <w:r>
              <w:rPr>
                <w:sz w:val="21"/>
              </w:rPr>
              <w:t>naproxen controlled-release – </w:t>
            </w:r>
            <w:r>
              <w:rPr>
                <w:b/>
                <w:sz w:val="21"/>
              </w:rPr>
              <w:t>PA</w:t>
            </w:r>
          </w:p>
          <w:p>
            <w:pPr>
              <w:pStyle w:val="TableParagraph"/>
              <w:spacing w:before="1"/>
              <w:ind w:left="1160" w:right="938" w:hanging="332"/>
              <w:rPr>
                <w:b/>
                <w:sz w:val="21"/>
              </w:rPr>
            </w:pPr>
            <w:r>
              <w:rPr>
                <w:sz w:val="21"/>
              </w:rPr>
              <w:t>VESIcare 5 mg (solifenacin) – </w:t>
            </w:r>
            <w:r>
              <w:rPr>
                <w:b/>
                <w:sz w:val="21"/>
              </w:rPr>
              <w:t>PA &gt; 30 units/month</w:t>
            </w:r>
          </w:p>
          <w:p>
            <w:pPr>
              <w:pStyle w:val="TableParagraph"/>
              <w:spacing w:before="1"/>
              <w:rPr>
                <w:rFonts w:ascii="Arial Black"/>
                <w:b/>
                <w:sz w:val="17"/>
              </w:rPr>
            </w:pPr>
          </w:p>
          <w:p>
            <w:pPr>
              <w:pStyle w:val="TableParagraph"/>
              <w:numPr>
                <w:ilvl w:val="0"/>
                <w:numId w:val="4"/>
              </w:numPr>
              <w:tabs>
                <w:tab w:pos="829" w:val="left" w:leader="none"/>
              </w:tabs>
              <w:spacing w:line="240" w:lineRule="auto" w:before="0" w:after="0"/>
              <w:ind w:left="828" w:right="866" w:hanging="360"/>
              <w:jc w:val="left"/>
              <w:rPr>
                <w:sz w:val="21"/>
              </w:rPr>
            </w:pPr>
            <w:r>
              <w:rPr>
                <w:sz w:val="21"/>
              </w:rPr>
              <w:t>The following drugs will require prior authorization effective August 17,</w:t>
            </w:r>
            <w:r>
              <w:rPr>
                <w:spacing w:val="-28"/>
                <w:sz w:val="21"/>
              </w:rPr>
              <w:t> </w:t>
            </w:r>
            <w:r>
              <w:rPr>
                <w:sz w:val="21"/>
              </w:rPr>
              <w:t>2009.</w:t>
            </w:r>
          </w:p>
          <w:p>
            <w:pPr>
              <w:pStyle w:val="TableParagraph"/>
              <w:spacing w:before="2"/>
              <w:rPr>
                <w:rFonts w:ascii="Arial Black"/>
                <w:b/>
                <w:sz w:val="17"/>
              </w:rPr>
            </w:pPr>
          </w:p>
          <w:p>
            <w:pPr>
              <w:pStyle w:val="TableParagraph"/>
              <w:ind w:left="828" w:right="1912"/>
              <w:rPr>
                <w:b/>
                <w:sz w:val="21"/>
              </w:rPr>
            </w:pPr>
            <w:r>
              <w:rPr>
                <w:sz w:val="21"/>
              </w:rPr>
              <w:t>buprenorphine powder – </w:t>
            </w:r>
            <w:r>
              <w:rPr>
                <w:b/>
                <w:sz w:val="21"/>
              </w:rPr>
              <w:t>PA </w:t>
            </w:r>
            <w:r>
              <w:rPr>
                <w:sz w:val="21"/>
              </w:rPr>
              <w:t>codeine powder – </w:t>
            </w:r>
            <w:r>
              <w:rPr>
                <w:b/>
                <w:sz w:val="21"/>
              </w:rPr>
              <w:t>PA </w:t>
            </w:r>
            <w:r>
              <w:rPr>
                <w:sz w:val="21"/>
              </w:rPr>
              <w:t>fentanyl powder – </w:t>
            </w:r>
            <w:r>
              <w:rPr>
                <w:b/>
                <w:sz w:val="21"/>
              </w:rPr>
              <w:t>PA </w:t>
            </w:r>
            <w:r>
              <w:rPr>
                <w:sz w:val="21"/>
              </w:rPr>
              <w:t>hydrocodone powder – </w:t>
            </w:r>
            <w:r>
              <w:rPr>
                <w:b/>
                <w:sz w:val="21"/>
              </w:rPr>
              <w:t>PA</w:t>
            </w:r>
          </w:p>
          <w:p>
            <w:pPr>
              <w:pStyle w:val="TableParagraph"/>
              <w:spacing w:before="1"/>
              <w:ind w:left="828" w:right="1725"/>
              <w:rPr>
                <w:b/>
                <w:sz w:val="21"/>
              </w:rPr>
            </w:pPr>
            <w:r>
              <w:rPr>
                <w:sz w:val="21"/>
              </w:rPr>
              <w:t>methylphenidate powder – </w:t>
            </w:r>
            <w:r>
              <w:rPr>
                <w:b/>
                <w:sz w:val="21"/>
              </w:rPr>
              <w:t>PA </w:t>
            </w:r>
            <w:r>
              <w:rPr>
                <w:sz w:val="21"/>
              </w:rPr>
              <w:t>propoxyphene powder – </w:t>
            </w:r>
            <w:r>
              <w:rPr>
                <w:b/>
                <w:sz w:val="21"/>
              </w:rPr>
              <w:t>PA </w:t>
            </w:r>
            <w:r>
              <w:rPr>
                <w:sz w:val="21"/>
              </w:rPr>
              <w:t>sufentanil powder – </w:t>
            </w:r>
            <w:r>
              <w:rPr>
                <w:b/>
                <w:sz w:val="21"/>
              </w:rPr>
              <w:t>PA</w:t>
            </w:r>
          </w:p>
          <w:p>
            <w:pPr>
              <w:pStyle w:val="TableParagraph"/>
              <w:spacing w:before="1"/>
              <w:rPr>
                <w:rFonts w:ascii="Arial Black"/>
                <w:b/>
                <w:sz w:val="17"/>
              </w:rPr>
            </w:pPr>
          </w:p>
          <w:p>
            <w:pPr>
              <w:pStyle w:val="TableParagraph"/>
              <w:numPr>
                <w:ilvl w:val="0"/>
                <w:numId w:val="4"/>
              </w:numPr>
              <w:tabs>
                <w:tab w:pos="831" w:val="left" w:leader="none"/>
              </w:tabs>
              <w:spacing w:line="240" w:lineRule="auto" w:before="1" w:after="0"/>
              <w:ind w:left="829" w:right="467" w:hanging="369"/>
              <w:jc w:val="left"/>
              <w:rPr>
                <w:sz w:val="21"/>
              </w:rPr>
            </w:pPr>
            <w:r>
              <w:rPr>
                <w:sz w:val="21"/>
              </w:rPr>
              <w:t>The PA requirement for Alinia suspension is changing. The following PA requirement is effective August 17,</w:t>
            </w:r>
            <w:r>
              <w:rPr>
                <w:spacing w:val="-2"/>
                <w:sz w:val="21"/>
              </w:rPr>
              <w:t> </w:t>
            </w:r>
            <w:r>
              <w:rPr>
                <w:sz w:val="21"/>
              </w:rPr>
              <w:t>2009.</w:t>
            </w:r>
          </w:p>
          <w:p>
            <w:pPr>
              <w:pStyle w:val="TableParagraph"/>
              <w:spacing w:before="1"/>
              <w:rPr>
                <w:rFonts w:ascii="Arial Black"/>
                <w:b/>
                <w:sz w:val="17"/>
              </w:rPr>
            </w:pPr>
          </w:p>
          <w:p>
            <w:pPr>
              <w:pStyle w:val="TableParagraph"/>
              <w:ind w:left="829"/>
              <w:rPr>
                <w:b/>
                <w:sz w:val="21"/>
              </w:rPr>
            </w:pPr>
            <w:r>
              <w:rPr>
                <w:sz w:val="21"/>
              </w:rPr>
              <w:t>Alinia suspension (nitazoxanide) – </w:t>
            </w:r>
            <w:r>
              <w:rPr>
                <w:b/>
                <w:sz w:val="21"/>
              </w:rPr>
              <w:t>PA</w:t>
            </w:r>
          </w:p>
        </w:tc>
        <w:tc>
          <w:tcPr>
            <w:tcW w:w="5357" w:type="dxa"/>
            <w:tcBorders>
              <w:top w:val="single" w:sz="8" w:space="0" w:color="000000"/>
              <w:left w:val="single" w:sz="4" w:space="0" w:color="000000"/>
              <w:bottom w:val="single" w:sz="6" w:space="0" w:color="000000"/>
            </w:tcBorders>
          </w:tcPr>
          <w:p>
            <w:pPr>
              <w:pStyle w:val="TableParagraph"/>
              <w:spacing w:before="4"/>
              <w:rPr>
                <w:rFonts w:ascii="Arial Black"/>
                <w:b/>
                <w:sz w:val="17"/>
              </w:rPr>
            </w:pPr>
          </w:p>
          <w:p>
            <w:pPr>
              <w:pStyle w:val="TableParagraph"/>
              <w:numPr>
                <w:ilvl w:val="0"/>
                <w:numId w:val="5"/>
              </w:numPr>
              <w:tabs>
                <w:tab w:pos="464" w:val="left" w:leader="none"/>
              </w:tabs>
              <w:spacing w:line="240" w:lineRule="auto" w:before="0" w:after="0"/>
              <w:ind w:left="463" w:right="0" w:hanging="360"/>
              <w:jc w:val="left"/>
              <w:rPr>
                <w:b/>
                <w:sz w:val="21"/>
              </w:rPr>
            </w:pPr>
            <w:r>
              <w:rPr>
                <w:b/>
                <w:sz w:val="21"/>
              </w:rPr>
              <w:t>Deletions</w:t>
            </w:r>
          </w:p>
          <w:p>
            <w:pPr>
              <w:pStyle w:val="TableParagraph"/>
              <w:numPr>
                <w:ilvl w:val="1"/>
                <w:numId w:val="5"/>
              </w:numPr>
              <w:tabs>
                <w:tab w:pos="824" w:val="left" w:leader="none"/>
              </w:tabs>
              <w:spacing w:line="240" w:lineRule="auto" w:before="1" w:after="0"/>
              <w:ind w:left="823" w:right="312" w:hanging="360"/>
              <w:jc w:val="left"/>
              <w:rPr>
                <w:sz w:val="21"/>
              </w:rPr>
            </w:pPr>
            <w:r>
              <w:rPr>
                <w:sz w:val="21"/>
              </w:rPr>
              <w:t>The following drugs have been removed from the MassHealth Drug List. There are no products containing urea as the sole active ingredient that are approved by the</w:t>
            </w:r>
            <w:r>
              <w:rPr>
                <w:spacing w:val="-12"/>
                <w:sz w:val="21"/>
              </w:rPr>
              <w:t> </w:t>
            </w:r>
            <w:r>
              <w:rPr>
                <w:sz w:val="21"/>
              </w:rPr>
              <w:t>FDA.</w:t>
            </w:r>
          </w:p>
          <w:p>
            <w:pPr>
              <w:pStyle w:val="TableParagraph"/>
              <w:spacing w:before="1"/>
              <w:rPr>
                <w:rFonts w:ascii="Arial Black"/>
                <w:b/>
                <w:sz w:val="17"/>
              </w:rPr>
            </w:pPr>
          </w:p>
          <w:p>
            <w:pPr>
              <w:pStyle w:val="TableParagraph"/>
              <w:spacing w:before="1"/>
              <w:ind w:left="823" w:right="3166"/>
              <w:rPr>
                <w:sz w:val="21"/>
              </w:rPr>
            </w:pPr>
            <w:r>
              <w:rPr>
                <w:sz w:val="21"/>
              </w:rPr>
              <w:t>Carmol (urea) Kerol (urea) Umecta (urea) urea</w:t>
            </w:r>
          </w:p>
          <w:p>
            <w:pPr>
              <w:pStyle w:val="TableParagraph"/>
              <w:spacing w:before="1"/>
              <w:rPr>
                <w:rFonts w:ascii="Arial Black"/>
                <w:b/>
                <w:sz w:val="17"/>
              </w:rPr>
            </w:pPr>
          </w:p>
          <w:p>
            <w:pPr>
              <w:pStyle w:val="TableParagraph"/>
              <w:numPr>
                <w:ilvl w:val="1"/>
                <w:numId w:val="5"/>
              </w:numPr>
              <w:tabs>
                <w:tab w:pos="838" w:val="left" w:leader="none"/>
              </w:tabs>
              <w:spacing w:line="240" w:lineRule="auto" w:before="0" w:after="0"/>
              <w:ind w:left="837" w:right="168" w:hanging="360"/>
              <w:jc w:val="left"/>
              <w:rPr>
                <w:sz w:val="21"/>
              </w:rPr>
            </w:pPr>
            <w:r>
              <w:rPr>
                <w:sz w:val="21"/>
              </w:rPr>
              <w:t>The following drug has been removed from the MassHealth Drug List because it has been withdrawn from the</w:t>
            </w:r>
            <w:r>
              <w:rPr>
                <w:spacing w:val="-2"/>
                <w:sz w:val="21"/>
              </w:rPr>
              <w:t> </w:t>
            </w:r>
            <w:r>
              <w:rPr>
                <w:sz w:val="21"/>
              </w:rPr>
              <w:t>market.</w:t>
            </w:r>
          </w:p>
          <w:p>
            <w:pPr>
              <w:pStyle w:val="TableParagraph"/>
              <w:spacing w:before="2"/>
              <w:rPr>
                <w:rFonts w:ascii="Arial Black"/>
                <w:b/>
                <w:sz w:val="17"/>
              </w:rPr>
            </w:pPr>
          </w:p>
          <w:p>
            <w:pPr>
              <w:pStyle w:val="TableParagraph"/>
              <w:ind w:left="831"/>
              <w:rPr>
                <w:sz w:val="21"/>
              </w:rPr>
            </w:pPr>
            <w:r>
              <w:rPr>
                <w:sz w:val="21"/>
              </w:rPr>
              <w:t>Raptiva (efalizumab)</w:t>
            </w:r>
          </w:p>
          <w:p>
            <w:pPr>
              <w:pStyle w:val="TableParagraph"/>
              <w:spacing w:before="2"/>
              <w:rPr>
                <w:rFonts w:ascii="Arial Black"/>
                <w:b/>
                <w:sz w:val="17"/>
              </w:rPr>
            </w:pPr>
          </w:p>
          <w:p>
            <w:pPr>
              <w:pStyle w:val="TableParagraph"/>
              <w:numPr>
                <w:ilvl w:val="1"/>
                <w:numId w:val="5"/>
              </w:numPr>
              <w:tabs>
                <w:tab w:pos="832" w:val="left" w:leader="none"/>
              </w:tabs>
              <w:spacing w:line="240" w:lineRule="auto" w:before="0" w:after="0"/>
              <w:ind w:left="831" w:right="117" w:hanging="360"/>
              <w:jc w:val="left"/>
              <w:rPr>
                <w:sz w:val="21"/>
              </w:rPr>
            </w:pPr>
            <w:r>
              <w:rPr>
                <w:sz w:val="21"/>
              </w:rPr>
              <w:t>The following drug has been removed from the MassHealth Drug List. MassHealth does not pay for drug products (including identical, similar, or related drug products) that the U.S. Food and Drug Administration has proposed, in a Notice of Opportunity for Hearing (NOOH) to withdraw from the market because they lack substantial evidence of effectiveness for all labeled</w:t>
            </w:r>
            <w:r>
              <w:rPr>
                <w:spacing w:val="-1"/>
                <w:sz w:val="21"/>
              </w:rPr>
              <w:t> </w:t>
            </w:r>
            <w:r>
              <w:rPr>
                <w:sz w:val="21"/>
              </w:rPr>
              <w:t>indications.</w:t>
            </w:r>
          </w:p>
          <w:p>
            <w:pPr>
              <w:pStyle w:val="TableParagraph"/>
              <w:spacing w:before="3"/>
              <w:rPr>
                <w:rFonts w:ascii="Arial Black"/>
                <w:b/>
                <w:sz w:val="17"/>
              </w:rPr>
            </w:pPr>
          </w:p>
          <w:p>
            <w:pPr>
              <w:pStyle w:val="TableParagraph"/>
              <w:ind w:left="1155" w:right="1865" w:hanging="292"/>
              <w:rPr>
                <w:sz w:val="21"/>
              </w:rPr>
            </w:pPr>
            <w:r>
              <w:rPr>
                <w:sz w:val="21"/>
              </w:rPr>
              <w:t>Vanoxide-HC (benzoyl peroxide/hydrocortisone)</w:t>
            </w:r>
          </w:p>
          <w:p>
            <w:pPr>
              <w:pStyle w:val="TableParagraph"/>
              <w:spacing w:before="1"/>
              <w:rPr>
                <w:rFonts w:ascii="Arial Black"/>
                <w:b/>
                <w:sz w:val="17"/>
              </w:rPr>
            </w:pPr>
          </w:p>
          <w:p>
            <w:pPr>
              <w:pStyle w:val="TableParagraph"/>
              <w:numPr>
                <w:ilvl w:val="0"/>
                <w:numId w:val="5"/>
              </w:numPr>
              <w:tabs>
                <w:tab w:pos="464" w:val="left" w:leader="none"/>
              </w:tabs>
              <w:spacing w:line="240" w:lineRule="auto" w:before="0" w:after="0"/>
              <w:ind w:left="463" w:right="0" w:hanging="360"/>
              <w:jc w:val="left"/>
              <w:rPr>
                <w:b/>
                <w:sz w:val="21"/>
              </w:rPr>
            </w:pPr>
            <w:r>
              <w:rPr>
                <w:b/>
                <w:sz w:val="21"/>
              </w:rPr>
              <w:t>Corrections</w:t>
            </w:r>
          </w:p>
          <w:p>
            <w:pPr>
              <w:pStyle w:val="TableParagraph"/>
              <w:spacing w:before="121"/>
              <w:ind w:left="103" w:right="595"/>
              <w:rPr>
                <w:sz w:val="21"/>
              </w:rPr>
            </w:pPr>
            <w:r>
              <w:rPr>
                <w:sz w:val="21"/>
              </w:rPr>
              <w:t>The following drugs have been added to the MassHealth Drug List. They were omitted in error. These additions do not reflect any changes in MassHealth policy.</w:t>
            </w:r>
          </w:p>
          <w:p>
            <w:pPr>
              <w:pStyle w:val="TableParagraph"/>
              <w:spacing w:before="1"/>
              <w:rPr>
                <w:rFonts w:ascii="Arial Black"/>
                <w:b/>
                <w:sz w:val="17"/>
              </w:rPr>
            </w:pPr>
          </w:p>
          <w:p>
            <w:pPr>
              <w:pStyle w:val="TableParagraph"/>
              <w:ind w:left="103" w:right="1316"/>
              <w:rPr>
                <w:b/>
                <w:sz w:val="21"/>
              </w:rPr>
            </w:pPr>
            <w:r>
              <w:rPr>
                <w:sz w:val="21"/>
              </w:rPr>
              <w:t>Amnesteem (isotretinoin) – </w:t>
            </w:r>
            <w:r>
              <w:rPr>
                <w:b/>
                <w:sz w:val="21"/>
              </w:rPr>
              <w:t>PA &gt; 21</w:t>
            </w:r>
            <w:r>
              <w:rPr>
                <w:b/>
                <w:spacing w:val="-27"/>
                <w:sz w:val="21"/>
              </w:rPr>
              <w:t> </w:t>
            </w:r>
            <w:r>
              <w:rPr>
                <w:b/>
                <w:sz w:val="21"/>
              </w:rPr>
              <w:t>years </w:t>
            </w:r>
            <w:r>
              <w:rPr>
                <w:sz w:val="21"/>
              </w:rPr>
              <w:t>Benzac W (benzoyl peroxide) – </w:t>
            </w:r>
            <w:r>
              <w:rPr>
                <w:b/>
                <w:sz w:val="21"/>
              </w:rPr>
              <w:t>PA </w:t>
            </w:r>
            <w:r>
              <w:rPr>
                <w:sz w:val="21"/>
              </w:rPr>
              <w:t>Claravis (isotretinoin) – </w:t>
            </w:r>
            <w:r>
              <w:rPr>
                <w:b/>
                <w:sz w:val="21"/>
              </w:rPr>
              <w:t>PA &gt; 21 years </w:t>
            </w:r>
            <w:r>
              <w:rPr>
                <w:sz w:val="21"/>
              </w:rPr>
              <w:t>Ery Pad (erythromycin) –</w:t>
            </w:r>
            <w:r>
              <w:rPr>
                <w:spacing w:val="-2"/>
                <w:sz w:val="21"/>
              </w:rPr>
              <w:t> </w:t>
            </w:r>
            <w:r>
              <w:rPr>
                <w:b/>
                <w:sz w:val="21"/>
              </w:rPr>
              <w:t>PA</w:t>
            </w:r>
          </w:p>
          <w:p>
            <w:pPr>
              <w:pStyle w:val="TableParagraph"/>
              <w:spacing w:before="1"/>
              <w:ind w:left="103"/>
              <w:rPr>
                <w:b/>
                <w:sz w:val="21"/>
              </w:rPr>
            </w:pPr>
            <w:r>
              <w:rPr>
                <w:sz w:val="21"/>
              </w:rPr>
              <w:t>Sotret (isotretinoin) – </w:t>
            </w:r>
            <w:r>
              <w:rPr>
                <w:b/>
                <w:sz w:val="21"/>
              </w:rPr>
              <w:t>PA &gt; 21 years</w:t>
            </w:r>
          </w:p>
          <w:p>
            <w:pPr>
              <w:pStyle w:val="TableParagraph"/>
              <w:ind w:left="103"/>
              <w:rPr>
                <w:sz w:val="21"/>
              </w:rPr>
            </w:pPr>
            <w:r>
              <w:rPr>
                <w:sz w:val="21"/>
              </w:rPr>
              <w:t>Testopel Pellet (testosterone)</w:t>
            </w:r>
          </w:p>
        </w:tc>
        <w:tc>
          <w:tcPr>
            <w:tcW w:w="160" w:type="dxa"/>
            <w:tcBorders>
              <w:bottom w:val="single" w:sz="6" w:space="0" w:color="000000"/>
            </w:tcBorders>
          </w:tcPr>
          <w:p>
            <w:pPr>
              <w:pStyle w:val="TableParagraph"/>
              <w:rPr>
                <w:rFonts w:ascii="Times New Roman"/>
                <w:sz w:val="20"/>
              </w:rPr>
            </w:pPr>
          </w:p>
        </w:tc>
      </w:tr>
    </w:tbl>
    <w:p>
      <w:pPr>
        <w:pStyle w:val="BodyText"/>
        <w:spacing w:line="20" w:lineRule="exact"/>
        <w:ind w:left="100"/>
        <w:rPr>
          <w:rFonts w:ascii="Arial Black"/>
          <w:sz w:val="2"/>
        </w:rPr>
      </w:pPr>
      <w:r>
        <w:rPr>
          <w:rFonts w:ascii="Arial Black"/>
          <w:sz w:val="2"/>
        </w:rPr>
        <w:pict>
          <v:group style="width:549pt;height:.7pt;mso-position-horizontal-relative:char;mso-position-vertical-relative:line" coordorigin="0,0" coordsize="10980,14">
            <v:line style="position:absolute" from="0,7" to="10980,7" stroked="true" strokeweight=".66pt" strokecolor="#000000">
              <v:stroke dashstyle="solid"/>
            </v:line>
          </v:group>
        </w:pict>
      </w:r>
      <w:r>
        <w:rPr>
          <w:rFonts w:ascii="Arial Black"/>
          <w:sz w:val="2"/>
        </w:rPr>
      </w:r>
    </w:p>
    <w:p>
      <w:pPr>
        <w:pStyle w:val="BodyText"/>
        <w:spacing w:line="241" w:lineRule="exact" w:before="118"/>
        <w:ind w:left="1864" w:right="1417"/>
        <w:jc w:val="center"/>
      </w:pPr>
      <w:r>
        <w:rPr/>
        <w:t>Please direct any questions or comments (or to be taken off of this fax distribution) to</w:t>
      </w:r>
    </w:p>
    <w:p>
      <w:pPr>
        <w:spacing w:line="296" w:lineRule="exact" w:before="0"/>
        <w:ind w:left="1862" w:right="1417" w:firstLine="0"/>
        <w:jc w:val="center"/>
        <w:rPr>
          <w:sz w:val="21"/>
        </w:rPr>
      </w:pPr>
      <w:r>
        <w:rPr>
          <w:rFonts w:ascii="Arial Black"/>
          <w:b/>
          <w:sz w:val="21"/>
        </w:rPr>
        <w:t>Victor Moquin </w:t>
      </w:r>
      <w:r>
        <w:rPr>
          <w:sz w:val="21"/>
        </w:rPr>
        <w:t>of ACS at 617-423-9830.</w:t>
      </w:r>
    </w:p>
    <w:sectPr>
      <w:pgSz w:w="12240" w:h="15840"/>
      <w:pgMar w:top="360" w:bottom="280" w:left="62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Arial Black">
    <w:altName w:val="Arial Black"/>
    <w:charset w:val="0"/>
    <w:family w:val="swiss"/>
    <w:pitch w:val="variable"/>
  </w:font>
  <w:font w:name="Tahoma">
    <w:altName w:val="Tahoma"/>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3"/>
      <w:numFmt w:val="decimal"/>
      <w:lvlText w:val="%1."/>
      <w:lvlJc w:val="left"/>
      <w:pPr>
        <w:ind w:left="463" w:hanging="360"/>
        <w:jc w:val="left"/>
      </w:pPr>
      <w:rPr>
        <w:rFonts w:hint="default" w:ascii="Arial" w:hAnsi="Arial" w:eastAsia="Arial" w:cs="Arial"/>
        <w:b/>
        <w:bCs/>
        <w:spacing w:val="-1"/>
        <w:w w:val="100"/>
        <w:sz w:val="21"/>
        <w:szCs w:val="21"/>
      </w:rPr>
    </w:lvl>
    <w:lvl w:ilvl="1">
      <w:start w:val="1"/>
      <w:numFmt w:val="lowerLetter"/>
      <w:lvlText w:val="%2."/>
      <w:lvlJc w:val="left"/>
      <w:pPr>
        <w:ind w:left="823" w:hanging="360"/>
        <w:jc w:val="left"/>
      </w:pPr>
      <w:rPr>
        <w:rFonts w:hint="default" w:ascii="Arial" w:hAnsi="Arial" w:eastAsia="Arial" w:cs="Arial"/>
        <w:spacing w:val="-2"/>
        <w:w w:val="99"/>
        <w:sz w:val="21"/>
        <w:szCs w:val="21"/>
      </w:rPr>
    </w:lvl>
    <w:lvl w:ilvl="2">
      <w:start w:val="0"/>
      <w:numFmt w:val="bullet"/>
      <w:lvlText w:val="•"/>
      <w:lvlJc w:val="left"/>
      <w:pPr>
        <w:ind w:left="1323" w:hanging="360"/>
      </w:pPr>
      <w:rPr>
        <w:rFonts w:hint="default"/>
      </w:rPr>
    </w:lvl>
    <w:lvl w:ilvl="3">
      <w:start w:val="0"/>
      <w:numFmt w:val="bullet"/>
      <w:lvlText w:val="•"/>
      <w:lvlJc w:val="left"/>
      <w:pPr>
        <w:ind w:left="1827" w:hanging="360"/>
      </w:pPr>
      <w:rPr>
        <w:rFonts w:hint="default"/>
      </w:rPr>
    </w:lvl>
    <w:lvl w:ilvl="4">
      <w:start w:val="0"/>
      <w:numFmt w:val="bullet"/>
      <w:lvlText w:val="•"/>
      <w:lvlJc w:val="left"/>
      <w:pPr>
        <w:ind w:left="2330" w:hanging="360"/>
      </w:pPr>
      <w:rPr>
        <w:rFonts w:hint="default"/>
      </w:rPr>
    </w:lvl>
    <w:lvl w:ilvl="5">
      <w:start w:val="0"/>
      <w:numFmt w:val="bullet"/>
      <w:lvlText w:val="•"/>
      <w:lvlJc w:val="left"/>
      <w:pPr>
        <w:ind w:left="2834" w:hanging="360"/>
      </w:pPr>
      <w:rPr>
        <w:rFonts w:hint="default"/>
      </w:rPr>
    </w:lvl>
    <w:lvl w:ilvl="6">
      <w:start w:val="0"/>
      <w:numFmt w:val="bullet"/>
      <w:lvlText w:val="•"/>
      <w:lvlJc w:val="left"/>
      <w:pPr>
        <w:ind w:left="3337" w:hanging="360"/>
      </w:pPr>
      <w:rPr>
        <w:rFonts w:hint="default"/>
      </w:rPr>
    </w:lvl>
    <w:lvl w:ilvl="7">
      <w:start w:val="0"/>
      <w:numFmt w:val="bullet"/>
      <w:lvlText w:val="•"/>
      <w:lvlJc w:val="left"/>
      <w:pPr>
        <w:ind w:left="3841" w:hanging="360"/>
      </w:pPr>
      <w:rPr>
        <w:rFonts w:hint="default"/>
      </w:rPr>
    </w:lvl>
    <w:lvl w:ilvl="8">
      <w:start w:val="0"/>
      <w:numFmt w:val="bullet"/>
      <w:lvlText w:val="•"/>
      <w:lvlJc w:val="left"/>
      <w:pPr>
        <w:ind w:left="4344" w:hanging="360"/>
      </w:pPr>
      <w:rPr>
        <w:rFonts w:hint="default"/>
      </w:rPr>
    </w:lvl>
  </w:abstractNum>
  <w:abstractNum w:abstractNumId="3">
    <w:multiLevelType w:val="hybridMultilevel"/>
    <w:lvl w:ilvl="0">
      <w:start w:val="2"/>
      <w:numFmt w:val="lowerLetter"/>
      <w:lvlText w:val="%1."/>
      <w:lvlJc w:val="left"/>
      <w:pPr>
        <w:ind w:left="827" w:hanging="360"/>
        <w:jc w:val="left"/>
      </w:pPr>
      <w:rPr>
        <w:rFonts w:hint="default" w:ascii="Arial" w:hAnsi="Arial" w:eastAsia="Arial" w:cs="Arial"/>
        <w:spacing w:val="-20"/>
        <w:w w:val="97"/>
        <w:sz w:val="21"/>
        <w:szCs w:val="21"/>
      </w:rPr>
    </w:lvl>
    <w:lvl w:ilvl="1">
      <w:start w:val="0"/>
      <w:numFmt w:val="bullet"/>
      <w:lvlText w:val="•"/>
      <w:lvlJc w:val="left"/>
      <w:pPr>
        <w:ind w:left="1276" w:hanging="360"/>
      </w:pPr>
      <w:rPr>
        <w:rFonts w:hint="default"/>
      </w:rPr>
    </w:lvl>
    <w:lvl w:ilvl="2">
      <w:start w:val="0"/>
      <w:numFmt w:val="bullet"/>
      <w:lvlText w:val="•"/>
      <w:lvlJc w:val="left"/>
      <w:pPr>
        <w:ind w:left="1733" w:hanging="360"/>
      </w:pPr>
      <w:rPr>
        <w:rFonts w:hint="default"/>
      </w:rPr>
    </w:lvl>
    <w:lvl w:ilvl="3">
      <w:start w:val="0"/>
      <w:numFmt w:val="bullet"/>
      <w:lvlText w:val="•"/>
      <w:lvlJc w:val="left"/>
      <w:pPr>
        <w:ind w:left="2190" w:hanging="360"/>
      </w:pPr>
      <w:rPr>
        <w:rFonts w:hint="default"/>
      </w:rPr>
    </w:lvl>
    <w:lvl w:ilvl="4">
      <w:start w:val="0"/>
      <w:numFmt w:val="bullet"/>
      <w:lvlText w:val="•"/>
      <w:lvlJc w:val="left"/>
      <w:pPr>
        <w:ind w:left="2646" w:hanging="360"/>
      </w:pPr>
      <w:rPr>
        <w:rFonts w:hint="default"/>
      </w:rPr>
    </w:lvl>
    <w:lvl w:ilvl="5">
      <w:start w:val="0"/>
      <w:numFmt w:val="bullet"/>
      <w:lvlText w:val="•"/>
      <w:lvlJc w:val="left"/>
      <w:pPr>
        <w:ind w:left="3103" w:hanging="360"/>
      </w:pPr>
      <w:rPr>
        <w:rFonts w:hint="default"/>
      </w:rPr>
    </w:lvl>
    <w:lvl w:ilvl="6">
      <w:start w:val="0"/>
      <w:numFmt w:val="bullet"/>
      <w:lvlText w:val="•"/>
      <w:lvlJc w:val="left"/>
      <w:pPr>
        <w:ind w:left="3560" w:hanging="360"/>
      </w:pPr>
      <w:rPr>
        <w:rFonts w:hint="default"/>
      </w:rPr>
    </w:lvl>
    <w:lvl w:ilvl="7">
      <w:start w:val="0"/>
      <w:numFmt w:val="bullet"/>
      <w:lvlText w:val="•"/>
      <w:lvlJc w:val="left"/>
      <w:pPr>
        <w:ind w:left="4016" w:hanging="360"/>
      </w:pPr>
      <w:rPr>
        <w:rFonts w:hint="default"/>
      </w:rPr>
    </w:lvl>
    <w:lvl w:ilvl="8">
      <w:start w:val="0"/>
      <w:numFmt w:val="bullet"/>
      <w:lvlText w:val="•"/>
      <w:lvlJc w:val="left"/>
      <w:pPr>
        <w:ind w:left="4473" w:hanging="360"/>
      </w:pPr>
      <w:rPr>
        <w:rFonts w:hint="default"/>
      </w:rPr>
    </w:lvl>
  </w:abstractNum>
  <w:abstractNum w:abstractNumId="2">
    <w:multiLevelType w:val="hybridMultilevel"/>
    <w:lvl w:ilvl="0">
      <w:start w:val="1"/>
      <w:numFmt w:val="decimal"/>
      <w:lvlText w:val="%1."/>
      <w:lvlJc w:val="left"/>
      <w:pPr>
        <w:ind w:left="463" w:hanging="361"/>
        <w:jc w:val="left"/>
      </w:pPr>
      <w:rPr>
        <w:rFonts w:hint="default" w:ascii="Arial" w:hAnsi="Arial" w:eastAsia="Arial" w:cs="Arial"/>
        <w:b/>
        <w:bCs/>
        <w:w w:val="100"/>
        <w:sz w:val="21"/>
        <w:szCs w:val="21"/>
      </w:rPr>
    </w:lvl>
    <w:lvl w:ilvl="1">
      <w:start w:val="1"/>
      <w:numFmt w:val="lowerLetter"/>
      <w:lvlText w:val="%2."/>
      <w:lvlJc w:val="left"/>
      <w:pPr>
        <w:ind w:left="840" w:hanging="372"/>
        <w:jc w:val="left"/>
      </w:pPr>
      <w:rPr>
        <w:rFonts w:hint="default" w:ascii="Arial" w:hAnsi="Arial" w:eastAsia="Arial" w:cs="Arial"/>
        <w:spacing w:val="-1"/>
        <w:w w:val="99"/>
        <w:sz w:val="21"/>
        <w:szCs w:val="21"/>
      </w:rPr>
    </w:lvl>
    <w:lvl w:ilvl="2">
      <w:start w:val="0"/>
      <w:numFmt w:val="bullet"/>
      <w:lvlText w:val="•"/>
      <w:lvlJc w:val="left"/>
      <w:pPr>
        <w:ind w:left="1380" w:hanging="372"/>
      </w:pPr>
      <w:rPr>
        <w:rFonts w:hint="default"/>
      </w:rPr>
    </w:lvl>
    <w:lvl w:ilvl="3">
      <w:start w:val="0"/>
      <w:numFmt w:val="bullet"/>
      <w:lvlText w:val="•"/>
      <w:lvlJc w:val="left"/>
      <w:pPr>
        <w:ind w:left="1869" w:hanging="372"/>
      </w:pPr>
      <w:rPr>
        <w:rFonts w:hint="default"/>
      </w:rPr>
    </w:lvl>
    <w:lvl w:ilvl="4">
      <w:start w:val="0"/>
      <w:numFmt w:val="bullet"/>
      <w:lvlText w:val="•"/>
      <w:lvlJc w:val="left"/>
      <w:pPr>
        <w:ind w:left="2359" w:hanging="372"/>
      </w:pPr>
      <w:rPr>
        <w:rFonts w:hint="default"/>
      </w:rPr>
    </w:lvl>
    <w:lvl w:ilvl="5">
      <w:start w:val="0"/>
      <w:numFmt w:val="bullet"/>
      <w:lvlText w:val="•"/>
      <w:lvlJc w:val="left"/>
      <w:pPr>
        <w:ind w:left="2849" w:hanging="372"/>
      </w:pPr>
      <w:rPr>
        <w:rFonts w:hint="default"/>
      </w:rPr>
    </w:lvl>
    <w:lvl w:ilvl="6">
      <w:start w:val="0"/>
      <w:numFmt w:val="bullet"/>
      <w:lvlText w:val="•"/>
      <w:lvlJc w:val="left"/>
      <w:pPr>
        <w:ind w:left="3339" w:hanging="372"/>
      </w:pPr>
      <w:rPr>
        <w:rFonts w:hint="default"/>
      </w:rPr>
    </w:lvl>
    <w:lvl w:ilvl="7">
      <w:start w:val="0"/>
      <w:numFmt w:val="bullet"/>
      <w:lvlText w:val="•"/>
      <w:lvlJc w:val="left"/>
      <w:pPr>
        <w:ind w:left="3828" w:hanging="372"/>
      </w:pPr>
      <w:rPr>
        <w:rFonts w:hint="default"/>
      </w:rPr>
    </w:lvl>
    <w:lvl w:ilvl="8">
      <w:start w:val="0"/>
      <w:numFmt w:val="bullet"/>
      <w:lvlText w:val="•"/>
      <w:lvlJc w:val="left"/>
      <w:pPr>
        <w:ind w:left="4318" w:hanging="372"/>
      </w:pPr>
      <w:rPr>
        <w:rFonts w:hint="default"/>
      </w:rPr>
    </w:lvl>
  </w:abstractNum>
  <w:abstractNum w:abstractNumId="1">
    <w:multiLevelType w:val="hybridMultilevel"/>
    <w:lvl w:ilvl="0">
      <w:start w:val="1"/>
      <w:numFmt w:val="lowerLetter"/>
      <w:lvlText w:val="(%1)"/>
      <w:lvlJc w:val="left"/>
      <w:pPr>
        <w:ind w:left="458" w:hanging="316"/>
        <w:jc w:val="left"/>
      </w:pPr>
      <w:rPr>
        <w:rFonts w:hint="default" w:ascii="Arial" w:hAnsi="Arial" w:eastAsia="Arial" w:cs="Arial"/>
        <w:spacing w:val="-1"/>
        <w:w w:val="99"/>
        <w:sz w:val="21"/>
        <w:szCs w:val="21"/>
      </w:rPr>
    </w:lvl>
    <w:lvl w:ilvl="1">
      <w:start w:val="0"/>
      <w:numFmt w:val="bullet"/>
      <w:lvlText w:val="•"/>
      <w:lvlJc w:val="left"/>
      <w:pPr>
        <w:ind w:left="944" w:hanging="316"/>
      </w:pPr>
      <w:rPr>
        <w:rFonts w:hint="default"/>
      </w:rPr>
    </w:lvl>
    <w:lvl w:ilvl="2">
      <w:start w:val="0"/>
      <w:numFmt w:val="bullet"/>
      <w:lvlText w:val="•"/>
      <w:lvlJc w:val="left"/>
      <w:pPr>
        <w:ind w:left="1429" w:hanging="316"/>
      </w:pPr>
      <w:rPr>
        <w:rFonts w:hint="default"/>
      </w:rPr>
    </w:lvl>
    <w:lvl w:ilvl="3">
      <w:start w:val="0"/>
      <w:numFmt w:val="bullet"/>
      <w:lvlText w:val="•"/>
      <w:lvlJc w:val="left"/>
      <w:pPr>
        <w:ind w:left="1913" w:hanging="316"/>
      </w:pPr>
      <w:rPr>
        <w:rFonts w:hint="default"/>
      </w:rPr>
    </w:lvl>
    <w:lvl w:ilvl="4">
      <w:start w:val="0"/>
      <w:numFmt w:val="bullet"/>
      <w:lvlText w:val="•"/>
      <w:lvlJc w:val="left"/>
      <w:pPr>
        <w:ind w:left="2398" w:hanging="316"/>
      </w:pPr>
      <w:rPr>
        <w:rFonts w:hint="default"/>
      </w:rPr>
    </w:lvl>
    <w:lvl w:ilvl="5">
      <w:start w:val="0"/>
      <w:numFmt w:val="bullet"/>
      <w:lvlText w:val="•"/>
      <w:lvlJc w:val="left"/>
      <w:pPr>
        <w:ind w:left="2882" w:hanging="316"/>
      </w:pPr>
      <w:rPr>
        <w:rFonts w:hint="default"/>
      </w:rPr>
    </w:lvl>
    <w:lvl w:ilvl="6">
      <w:start w:val="0"/>
      <w:numFmt w:val="bullet"/>
      <w:lvlText w:val="•"/>
      <w:lvlJc w:val="left"/>
      <w:pPr>
        <w:ind w:left="3367" w:hanging="316"/>
      </w:pPr>
      <w:rPr>
        <w:rFonts w:hint="default"/>
      </w:rPr>
    </w:lvl>
    <w:lvl w:ilvl="7">
      <w:start w:val="0"/>
      <w:numFmt w:val="bullet"/>
      <w:lvlText w:val="•"/>
      <w:lvlJc w:val="left"/>
      <w:pPr>
        <w:ind w:left="3851" w:hanging="316"/>
      </w:pPr>
      <w:rPr>
        <w:rFonts w:hint="default"/>
      </w:rPr>
    </w:lvl>
    <w:lvl w:ilvl="8">
      <w:start w:val="0"/>
      <w:numFmt w:val="bullet"/>
      <w:lvlText w:val="•"/>
      <w:lvlJc w:val="left"/>
      <w:pPr>
        <w:ind w:left="4336" w:hanging="316"/>
      </w:pPr>
      <w:rPr>
        <w:rFonts w:hint="default"/>
      </w:rPr>
    </w:lvl>
  </w:abstractNum>
  <w:abstractNum w:abstractNumId="0">
    <w:multiLevelType w:val="hybridMultilevel"/>
    <w:lvl w:ilvl="0">
      <w:start w:val="0"/>
      <w:numFmt w:val="bullet"/>
      <w:lvlText w:val="•"/>
      <w:lvlJc w:val="left"/>
      <w:pPr>
        <w:ind w:left="1835" w:hanging="150"/>
      </w:pPr>
      <w:rPr>
        <w:rFonts w:hint="default" w:ascii="Arial Black" w:hAnsi="Arial Black" w:eastAsia="Arial Black" w:cs="Arial Black"/>
        <w:b/>
        <w:bCs/>
        <w:w w:val="100"/>
        <w:sz w:val="18"/>
        <w:szCs w:val="18"/>
      </w:rPr>
    </w:lvl>
    <w:lvl w:ilvl="1">
      <w:start w:val="0"/>
      <w:numFmt w:val="bullet"/>
      <w:lvlText w:val="•"/>
      <w:lvlJc w:val="left"/>
      <w:pPr>
        <w:ind w:left="2717" w:hanging="150"/>
      </w:pPr>
      <w:rPr>
        <w:rFonts w:hint="default"/>
      </w:rPr>
    </w:lvl>
    <w:lvl w:ilvl="2">
      <w:start w:val="0"/>
      <w:numFmt w:val="bullet"/>
      <w:lvlText w:val="•"/>
      <w:lvlJc w:val="left"/>
      <w:pPr>
        <w:ind w:left="3594" w:hanging="150"/>
      </w:pPr>
      <w:rPr>
        <w:rFonts w:hint="default"/>
      </w:rPr>
    </w:lvl>
    <w:lvl w:ilvl="3">
      <w:start w:val="0"/>
      <w:numFmt w:val="bullet"/>
      <w:lvlText w:val="•"/>
      <w:lvlJc w:val="left"/>
      <w:pPr>
        <w:ind w:left="4471" w:hanging="150"/>
      </w:pPr>
      <w:rPr>
        <w:rFonts w:hint="default"/>
      </w:rPr>
    </w:lvl>
    <w:lvl w:ilvl="4">
      <w:start w:val="0"/>
      <w:numFmt w:val="bullet"/>
      <w:lvlText w:val="•"/>
      <w:lvlJc w:val="left"/>
      <w:pPr>
        <w:ind w:left="5349" w:hanging="150"/>
      </w:pPr>
      <w:rPr>
        <w:rFonts w:hint="default"/>
      </w:rPr>
    </w:lvl>
    <w:lvl w:ilvl="5">
      <w:start w:val="0"/>
      <w:numFmt w:val="bullet"/>
      <w:lvlText w:val="•"/>
      <w:lvlJc w:val="left"/>
      <w:pPr>
        <w:ind w:left="6226" w:hanging="150"/>
      </w:pPr>
      <w:rPr>
        <w:rFonts w:hint="default"/>
      </w:rPr>
    </w:lvl>
    <w:lvl w:ilvl="6">
      <w:start w:val="0"/>
      <w:numFmt w:val="bullet"/>
      <w:lvlText w:val="•"/>
      <w:lvlJc w:val="left"/>
      <w:pPr>
        <w:ind w:left="7103" w:hanging="150"/>
      </w:pPr>
      <w:rPr>
        <w:rFonts w:hint="default"/>
      </w:rPr>
    </w:lvl>
    <w:lvl w:ilvl="7">
      <w:start w:val="0"/>
      <w:numFmt w:val="bullet"/>
      <w:lvlText w:val="•"/>
      <w:lvlJc w:val="left"/>
      <w:pPr>
        <w:ind w:left="7981" w:hanging="150"/>
      </w:pPr>
      <w:rPr>
        <w:rFonts w:hint="default"/>
      </w:rPr>
    </w:lvl>
    <w:lvl w:ilvl="8">
      <w:start w:val="0"/>
      <w:numFmt w:val="bullet"/>
      <w:lvlText w:val="•"/>
      <w:lvlJc w:val="left"/>
      <w:pPr>
        <w:ind w:left="8858" w:hanging="150"/>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masshealth/pharmacy"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dcterms:created xsi:type="dcterms:W3CDTF">2017-11-24T15:36:36Z</dcterms:created>
  <dcterms:modified xsi:type="dcterms:W3CDTF">2017-11-24T15:36:36Z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2009-07-21T00:00:00Z</vt:filetime>
  </property>
  <property fmtid="{D5CDD505-2E9C-101B-9397-08002B2CF9AE}" pid="3" name="Creator">
    <vt:lpwstr>Acrobat PDFMaker 8.1 for Word</vt:lpwstr>
  </property>
  <property fmtid="{D5CDD505-2E9C-101B-9397-08002B2CF9AE}" pid="4" name="LastSaved">
    <vt:filetime>2017-11-24T00:00:00Z</vt:filetime>
  </property>
</Properties>
</file>