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pict>
          <v:group style="position:absolute;margin-left:59.400002pt;margin-top:610.619995pt;width:237.85pt;height:141.4pt;mso-position-horizontal-relative:page;mso-position-vertical-relative:page;z-index:-5728" coordorigin="1188,12212" coordsize="4757,2828">
            <v:shape style="position:absolute;left:1188;top:12217;width:4757;height:1094" coordorigin="1188,12217" coordsize="4757,1094" path="m1188,12217l5945,12217m4860,12222l4860,12716m1188,12721l5945,12721m4860,12726l4860,13014m1188,13019l5945,13019m4860,13024l4860,13310e" filled="false" stroked="true" strokeweight=".48pt" strokecolor="#000000">
              <v:path arrowok="t"/>
              <v:stroke dashstyle="solid"/>
            </v:shape>
            <v:line style="position:absolute" from="1188,13315" to="5945,13315" stroked="true" strokeweight=".48pt" strokecolor="#000000">
              <v:stroke dashstyle="solid"/>
            </v:line>
            <v:line style="position:absolute" from="4860,13320" to="4860,13814" stroked="true" strokeweight=".48pt" strokecolor="#000000">
              <v:stroke dashstyle="solid"/>
            </v:line>
            <v:line style="position:absolute" from="1188,13819" to="5945,13819" stroked="true" strokeweight=".48pt" strokecolor="#000000">
              <v:stroke dashstyle="solid"/>
            </v:line>
            <v:line style="position:absolute" from="4860,13824" to="4860,14318" stroked="true" strokeweight=".48pt" strokecolor="#000000">
              <v:stroke dashstyle="solid"/>
            </v:line>
            <v:line style="position:absolute" from="1188,14323" to="5945,14323" stroked="true" strokeweight=".48pt" strokecolor="#000000">
              <v:stroke dashstyle="solid"/>
            </v:line>
            <v:line style="position:absolute" from="1193,12212" to="1193,15040" stroked="true" strokeweight=".48pt" strokecolor="#000000">
              <v:stroke dashstyle="solid"/>
            </v:line>
            <v:line style="position:absolute" from="1188,15035" to="4855,15035" stroked="true" strokeweight=".48pt" strokecolor="#000000">
              <v:stroke dashstyle="solid"/>
            </v:line>
            <v:line style="position:absolute" from="4860,14328" to="4860,15040" stroked="true" strokeweight=".48pt" strokecolor="#000000">
              <v:stroke dashstyle="solid"/>
            </v:line>
            <v:line style="position:absolute" from="4865,15035" to="5935,15035" stroked="true" strokeweight=".48pt" strokecolor="#000000">
              <v:stroke dashstyle="solid"/>
            </v:line>
            <v:line style="position:absolute" from="5940,12212" to="5940,15040" stroked="true" strokeweight=".48pt" strokecolor="#000000">
              <v:stroke dashstyle="solid"/>
            </v:line>
            <w10:wrap type="none"/>
          </v:group>
        </w:pic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7"/>
        <w:rPr>
          <w:rFonts w:ascii="Times New Roman"/>
          <w:sz w:val="23"/>
        </w:rPr>
      </w:pPr>
    </w:p>
    <w:p>
      <w:pPr>
        <w:spacing w:before="0" w:after="2"/>
        <w:ind w:left="1040" w:right="1417" w:firstLine="0"/>
        <w:jc w:val="center"/>
        <w:rPr>
          <w:rFonts w:ascii="Arial Narrow"/>
          <w:sz w:val="18"/>
        </w:rPr>
      </w:pPr>
      <w:r>
        <w:rPr/>
        <w:pict>
          <v:group style="position:absolute;margin-left:50.279999pt;margin-top:-105.210442pt;width:542.4pt;height:107.85pt;mso-position-horizontal-relative:page;mso-position-vertical-relative:paragraph;z-index:-5752" coordorigin="1006,-2104" coordsize="10848,2157">
            <v:shape style="position:absolute;left:1005;top:-2105;width:10848;height:2157" type="#_x0000_t75" stroked="false">
              <v:imagedata r:id="rId5" o:title=""/>
            </v:shape>
            <v:shapetype id="_x0000_t202" o:spt="202" coordsize="21600,21600" path="m,l,21600r21600,l21600,xe">
              <v:stroke joinstyle="miter"/>
              <v:path gradientshapeok="t" o:connecttype="rect"/>
            </v:shapetype>
            <v:shape style="position:absolute;left:1764;top:-1160;width:1333;height:503" type="#_x0000_t202" filled="false" stroked="false">
              <v:textbox inset="0,0,0,0">
                <w:txbxContent>
                  <w:p>
                    <w:pPr>
                      <w:spacing w:line="229" w:lineRule="exact" w:before="0"/>
                      <w:ind w:left="0" w:right="0" w:firstLine="0"/>
                      <w:jc w:val="left"/>
                      <w:rPr>
                        <w:rFonts w:ascii="Arial Narrow"/>
                        <w:b/>
                        <w:sz w:val="20"/>
                      </w:rPr>
                    </w:pPr>
                    <w:r>
                      <w:rPr>
                        <w:rFonts w:ascii="Arial Narrow"/>
                        <w:b/>
                        <w:sz w:val="20"/>
                      </w:rPr>
                      <w:t>Number 54</w:t>
                    </w:r>
                  </w:p>
                  <w:p>
                    <w:pPr>
                      <w:spacing w:before="44"/>
                      <w:ind w:left="0" w:right="0" w:firstLine="0"/>
                      <w:jc w:val="left"/>
                      <w:rPr>
                        <w:rFonts w:ascii="Arial Narrow"/>
                        <w:b/>
                        <w:sz w:val="20"/>
                      </w:rPr>
                    </w:pPr>
                    <w:r>
                      <w:rPr>
                        <w:rFonts w:ascii="Arial Narrow"/>
                        <w:b/>
                        <w:sz w:val="20"/>
                      </w:rPr>
                      <w:t>October 30, 2009</w:t>
                    </w:r>
                  </w:p>
                </w:txbxContent>
              </v:textbox>
              <w10:wrap type="none"/>
            </v:shape>
            <v:shape style="position:absolute;left:10340;top:-262;width:1120;height:254" type="#_x0000_t202" filled="false" stroked="false">
              <v:textbox inset="0,0,0,0">
                <w:txbxContent>
                  <w:p>
                    <w:pPr>
                      <w:spacing w:before="0"/>
                      <w:ind w:left="0" w:right="0" w:firstLine="0"/>
                      <w:jc w:val="left"/>
                      <w:rPr>
                        <w:rFonts w:ascii="Arial Black"/>
                        <w:b/>
                        <w:sz w:val="18"/>
                      </w:rPr>
                    </w:pPr>
                    <w:r>
                      <w:rPr>
                        <w:rFonts w:ascii="Arial Black"/>
                        <w:b/>
                        <w:sz w:val="18"/>
                      </w:rPr>
                      <w:t>Page 1 of 2</w:t>
                    </w:r>
                  </w:p>
                </w:txbxContent>
              </v:textbox>
              <w10:wrap type="none"/>
            </v:shape>
            <w10:wrap type="none"/>
          </v:group>
        </w:pict>
      </w:r>
      <w:hyperlink r:id="rId6">
        <w:r>
          <w:rPr>
            <w:rFonts w:ascii="Arial Narrow"/>
            <w:sz w:val="18"/>
          </w:rPr>
          <w:t>www.mass.gov/masshealth/pharmacy</w:t>
        </w:r>
      </w:hyperlink>
    </w:p>
    <w:tbl>
      <w:tblPr>
        <w:tblW w:w="0" w:type="auto"/>
        <w:jc w:val="left"/>
        <w:tblInd w:w="2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3"/>
        <w:gridCol w:w="5094"/>
        <w:gridCol w:w="5303"/>
        <w:gridCol w:w="51"/>
      </w:tblGrid>
      <w:tr>
        <w:trPr>
          <w:trHeight w:val="313" w:hRule="atLeast"/>
        </w:trPr>
        <w:tc>
          <w:tcPr>
            <w:tcW w:w="10621" w:type="dxa"/>
            <w:gridSpan w:val="4"/>
          </w:tcPr>
          <w:p>
            <w:pPr>
              <w:pStyle w:val="TableParagraph"/>
              <w:numPr>
                <w:ilvl w:val="0"/>
                <w:numId w:val="1"/>
              </w:numPr>
              <w:tabs>
                <w:tab w:pos="1901" w:val="left" w:leader="none"/>
              </w:tabs>
              <w:spacing w:line="240" w:lineRule="auto" w:before="10" w:after="0"/>
              <w:ind w:left="1900" w:right="0" w:hanging="150"/>
              <w:jc w:val="left"/>
              <w:rPr>
                <w:rFonts w:ascii="Arial Black" w:hAnsi="Arial Black"/>
                <w:b/>
                <w:sz w:val="18"/>
              </w:rPr>
            </w:pPr>
            <w:r>
              <w:rPr>
                <w:rFonts w:ascii="Arial Narrow" w:hAnsi="Arial Narrow"/>
                <w:sz w:val="18"/>
              </w:rPr>
              <w:t>Editor: Vic Vangel </w:t>
            </w:r>
            <w:r>
              <w:rPr>
                <w:rFonts w:ascii="Arial Black" w:hAnsi="Arial Black"/>
                <w:b/>
                <w:sz w:val="18"/>
              </w:rPr>
              <w:t>• </w:t>
            </w:r>
            <w:r>
              <w:rPr>
                <w:rFonts w:ascii="Arial Narrow" w:hAnsi="Arial Narrow"/>
                <w:sz w:val="18"/>
              </w:rPr>
              <w:t>Contributors: Chris Burke, Gary Gilmore, Paul Jeffrey, James Monahan, Nancy Schiff</w:t>
            </w:r>
            <w:r>
              <w:rPr>
                <w:rFonts w:ascii="Arial Narrow" w:hAnsi="Arial Narrow"/>
                <w:spacing w:val="13"/>
                <w:sz w:val="18"/>
              </w:rPr>
              <w:t> </w:t>
            </w:r>
            <w:r>
              <w:rPr>
                <w:rFonts w:ascii="Arial Black" w:hAnsi="Arial Black"/>
                <w:b/>
                <w:sz w:val="18"/>
              </w:rPr>
              <w:t>•</w:t>
            </w:r>
          </w:p>
        </w:tc>
      </w:tr>
      <w:tr>
        <w:trPr>
          <w:trHeight w:val="12248" w:hRule="atLeast"/>
        </w:trPr>
        <w:tc>
          <w:tcPr>
            <w:tcW w:w="173" w:type="dxa"/>
            <w:tcBorders>
              <w:bottom w:val="single" w:sz="6" w:space="0" w:color="000000"/>
            </w:tcBorders>
          </w:tcPr>
          <w:p>
            <w:pPr>
              <w:pStyle w:val="TableParagraph"/>
              <w:rPr>
                <w:rFonts w:ascii="Times New Roman"/>
                <w:sz w:val="18"/>
              </w:rPr>
            </w:pPr>
          </w:p>
        </w:tc>
        <w:tc>
          <w:tcPr>
            <w:tcW w:w="5094" w:type="dxa"/>
            <w:tcBorders>
              <w:top w:val="single" w:sz="8" w:space="0" w:color="000000"/>
              <w:bottom w:val="single" w:sz="6" w:space="0" w:color="000000"/>
              <w:right w:val="single" w:sz="4" w:space="0" w:color="000000"/>
            </w:tcBorders>
          </w:tcPr>
          <w:p>
            <w:pPr>
              <w:pStyle w:val="TableParagraph"/>
              <w:spacing w:before="199"/>
              <w:ind w:left="107"/>
              <w:rPr>
                <w:rFonts w:ascii="Arial Black"/>
                <w:b/>
                <w:sz w:val="22"/>
              </w:rPr>
            </w:pPr>
            <w:r>
              <w:rPr>
                <w:rFonts w:ascii="Arial Black"/>
                <w:b/>
                <w:sz w:val="22"/>
              </w:rPr>
              <w:t>Flu Vaccine Update</w:t>
            </w:r>
          </w:p>
          <w:p>
            <w:pPr>
              <w:pStyle w:val="TableParagraph"/>
              <w:spacing w:before="121"/>
              <w:ind w:left="107" w:right="293"/>
              <w:rPr>
                <w:sz w:val="20"/>
              </w:rPr>
            </w:pPr>
            <w:r>
              <w:rPr>
                <w:sz w:val="20"/>
              </w:rPr>
              <w:t>Effective November 1, 2009, MassHealth will pay pharmacies for the administration of the H1N1 and seasonal flu vaccines to MassHealth-eligible members. Vaccinations must be administered by properly trained and certified pharmacists and other health care professionals in accordance with Massachusetts Department of Public Health regulations at 105 CMR 700.000. When MassHealth pays for these vaccines, pharmacies may not charge MassHealth members a copayment for the vaccine administration or flu vaccine serum.</w:t>
            </w:r>
          </w:p>
          <w:p>
            <w:pPr>
              <w:pStyle w:val="TableParagraph"/>
              <w:spacing w:before="82"/>
              <w:ind w:left="107" w:right="359"/>
              <w:rPr>
                <w:sz w:val="20"/>
              </w:rPr>
            </w:pPr>
            <w:r>
              <w:rPr>
                <w:sz w:val="20"/>
              </w:rPr>
              <w:t>For the 2009-2010 flu season, MassHealth will pay pharmacies for seasonal flu vaccine serum without prior authorization if the vaccine is not available free of cost.</w:t>
            </w:r>
          </w:p>
          <w:p>
            <w:pPr>
              <w:pStyle w:val="TableParagraph"/>
              <w:spacing w:before="39"/>
              <w:ind w:left="107" w:right="326"/>
              <w:rPr>
                <w:sz w:val="20"/>
              </w:rPr>
            </w:pPr>
            <w:r>
              <w:rPr>
                <w:sz w:val="20"/>
              </w:rPr>
              <w:t>Pharmacies should bill for H1N1 and seasonal flu vaccine administration through the Pharmacy Online Processing System (POPS) as follows.</w:t>
            </w:r>
          </w:p>
          <w:p>
            <w:pPr>
              <w:pStyle w:val="TableParagraph"/>
              <w:numPr>
                <w:ilvl w:val="0"/>
                <w:numId w:val="2"/>
              </w:numPr>
              <w:tabs>
                <w:tab w:pos="360" w:val="left" w:leader="none"/>
              </w:tabs>
              <w:spacing w:line="219" w:lineRule="exact" w:before="80" w:after="0"/>
              <w:ind w:left="359" w:right="0" w:hanging="252"/>
              <w:jc w:val="left"/>
              <w:rPr>
                <w:sz w:val="18"/>
              </w:rPr>
            </w:pPr>
            <w:bookmarkStart w:name=" Bill with separate claims for each vac" w:id="1"/>
            <w:bookmarkEnd w:id="1"/>
            <w:r>
              <w:rPr/>
            </w:r>
            <w:bookmarkStart w:name=" Bill with separate claims for each vac" w:id="2"/>
            <w:bookmarkEnd w:id="2"/>
            <w:r>
              <w:rPr>
                <w:sz w:val="18"/>
              </w:rPr>
              <w:t>Bil</w:t>
            </w:r>
            <w:r>
              <w:rPr>
                <w:sz w:val="18"/>
              </w:rPr>
              <w:t>l with separate claims for each vaccine</w:t>
            </w:r>
            <w:r>
              <w:rPr>
                <w:spacing w:val="-16"/>
                <w:sz w:val="18"/>
              </w:rPr>
              <w:t> </w:t>
            </w:r>
            <w:r>
              <w:rPr>
                <w:sz w:val="18"/>
              </w:rPr>
              <w:t>administered.</w:t>
            </w:r>
          </w:p>
          <w:p>
            <w:pPr>
              <w:pStyle w:val="TableParagraph"/>
              <w:numPr>
                <w:ilvl w:val="0"/>
                <w:numId w:val="2"/>
              </w:numPr>
              <w:tabs>
                <w:tab w:pos="360" w:val="left" w:leader="none"/>
              </w:tabs>
              <w:spacing w:line="240" w:lineRule="auto" w:before="0" w:after="0"/>
              <w:ind w:left="359" w:right="205" w:hanging="252"/>
              <w:jc w:val="both"/>
              <w:rPr>
                <w:sz w:val="18"/>
              </w:rPr>
            </w:pPr>
            <w:bookmarkStart w:name=" When billing for both H1N1 and seasona" w:id="3"/>
            <w:bookmarkEnd w:id="3"/>
            <w:r>
              <w:rPr/>
            </w:r>
            <w:bookmarkStart w:name=" When billing for both H1N1 and seasona" w:id="4"/>
            <w:bookmarkEnd w:id="4"/>
            <w:r>
              <w:rPr>
                <w:sz w:val="18"/>
              </w:rPr>
              <w:t>W</w:t>
            </w:r>
            <w:r>
              <w:rPr>
                <w:sz w:val="18"/>
              </w:rPr>
              <w:t>hen billing for both H1N1 and seasonal flu vaccines for a member at the same time, bill for the H1N1 vaccine as the first</w:t>
            </w:r>
            <w:r>
              <w:rPr>
                <w:spacing w:val="-1"/>
                <w:sz w:val="18"/>
              </w:rPr>
              <w:t> </w:t>
            </w:r>
            <w:r>
              <w:rPr>
                <w:sz w:val="18"/>
              </w:rPr>
              <w:t>claim.</w:t>
            </w:r>
          </w:p>
          <w:p>
            <w:pPr>
              <w:pStyle w:val="TableParagraph"/>
              <w:numPr>
                <w:ilvl w:val="0"/>
                <w:numId w:val="2"/>
              </w:numPr>
              <w:tabs>
                <w:tab w:pos="360" w:val="left" w:leader="none"/>
              </w:tabs>
              <w:spacing w:line="219" w:lineRule="exact" w:before="0" w:after="0"/>
              <w:ind w:left="359" w:right="0" w:hanging="252"/>
              <w:jc w:val="left"/>
              <w:rPr>
                <w:sz w:val="18"/>
              </w:rPr>
            </w:pPr>
            <w:bookmarkStart w:name=" Include the NDC of the vaccine serum." w:id="5"/>
            <w:bookmarkEnd w:id="5"/>
            <w:r>
              <w:rPr/>
            </w:r>
            <w:bookmarkStart w:name=" Include the NDC of the vaccine serum." w:id="6"/>
            <w:bookmarkEnd w:id="6"/>
            <w:r>
              <w:rPr>
                <w:sz w:val="18"/>
              </w:rPr>
              <w:t>Inclu</w:t>
            </w:r>
            <w:r>
              <w:rPr>
                <w:sz w:val="18"/>
              </w:rPr>
              <w:t>de the NDC of the vaccine</w:t>
            </w:r>
            <w:r>
              <w:rPr>
                <w:spacing w:val="-5"/>
                <w:sz w:val="18"/>
              </w:rPr>
              <w:t> </w:t>
            </w:r>
            <w:r>
              <w:rPr>
                <w:sz w:val="18"/>
              </w:rPr>
              <w:t>serum.</w:t>
            </w:r>
          </w:p>
          <w:p>
            <w:pPr>
              <w:pStyle w:val="TableParagraph"/>
              <w:numPr>
                <w:ilvl w:val="0"/>
                <w:numId w:val="2"/>
              </w:numPr>
              <w:tabs>
                <w:tab w:pos="360" w:val="left" w:leader="none"/>
              </w:tabs>
              <w:spacing w:line="240" w:lineRule="auto" w:before="0" w:after="0"/>
              <w:ind w:left="359" w:right="335" w:hanging="252"/>
              <w:jc w:val="left"/>
              <w:rPr>
                <w:sz w:val="18"/>
              </w:rPr>
            </w:pPr>
            <w:bookmarkStart w:name=" If the vaccine was obtained at no cost" w:id="7"/>
            <w:bookmarkEnd w:id="7"/>
            <w:r>
              <w:rPr/>
            </w:r>
            <w:bookmarkStart w:name=" If the vaccine was obtained at no cost" w:id="8"/>
            <w:bookmarkEnd w:id="8"/>
            <w:r>
              <w:rPr>
                <w:sz w:val="18"/>
              </w:rPr>
              <w:t>I</w:t>
            </w:r>
            <w:r>
              <w:rPr>
                <w:sz w:val="18"/>
              </w:rPr>
              <w:t>f the vaccine was obtained at no cost to the pharmacy, enter a zero amount as the submitted ingredient</w:t>
            </w:r>
            <w:r>
              <w:rPr>
                <w:spacing w:val="-22"/>
                <w:sz w:val="18"/>
              </w:rPr>
              <w:t> </w:t>
            </w:r>
            <w:r>
              <w:rPr>
                <w:sz w:val="18"/>
              </w:rPr>
              <w:t>cost.</w:t>
            </w:r>
          </w:p>
          <w:p>
            <w:pPr>
              <w:pStyle w:val="TableParagraph"/>
              <w:numPr>
                <w:ilvl w:val="0"/>
                <w:numId w:val="2"/>
              </w:numPr>
              <w:tabs>
                <w:tab w:pos="360" w:val="left" w:leader="none"/>
              </w:tabs>
              <w:spacing w:line="240" w:lineRule="auto" w:before="0" w:after="0"/>
              <w:ind w:left="359" w:right="379" w:hanging="252"/>
              <w:jc w:val="left"/>
              <w:rPr>
                <w:sz w:val="18"/>
              </w:rPr>
            </w:pPr>
            <w:bookmarkStart w:name=" Enter a zero amount in the dispensing " w:id="9"/>
            <w:bookmarkEnd w:id="9"/>
            <w:r>
              <w:rPr/>
            </w:r>
            <w:bookmarkStart w:name=" Enter a zero amount in the dispensing " w:id="10"/>
            <w:bookmarkEnd w:id="10"/>
            <w:r>
              <w:rPr>
                <w:sz w:val="18"/>
              </w:rPr>
              <w:t>Ente</w:t>
            </w:r>
            <w:r>
              <w:rPr>
                <w:sz w:val="18"/>
              </w:rPr>
              <w:t>r a zero amount in the dispensing fee field. (MassHealth will pay pharmacies an administration</w:t>
            </w:r>
            <w:r>
              <w:rPr>
                <w:spacing w:val="-29"/>
                <w:sz w:val="18"/>
              </w:rPr>
              <w:t> </w:t>
            </w:r>
            <w:r>
              <w:rPr>
                <w:sz w:val="18"/>
              </w:rPr>
              <w:t>fee instead of a dispensing</w:t>
            </w:r>
            <w:r>
              <w:rPr>
                <w:spacing w:val="-2"/>
                <w:sz w:val="18"/>
              </w:rPr>
              <w:t> </w:t>
            </w:r>
            <w:r>
              <w:rPr>
                <w:sz w:val="18"/>
              </w:rPr>
              <w:t>fee.).</w:t>
            </w:r>
          </w:p>
          <w:p>
            <w:pPr>
              <w:pStyle w:val="TableParagraph"/>
              <w:numPr>
                <w:ilvl w:val="0"/>
                <w:numId w:val="2"/>
              </w:numPr>
              <w:tabs>
                <w:tab w:pos="360" w:val="left" w:leader="none"/>
              </w:tabs>
              <w:spacing w:line="240" w:lineRule="auto" w:before="0" w:after="0"/>
              <w:ind w:left="359" w:right="386" w:hanging="252"/>
              <w:jc w:val="left"/>
              <w:rPr>
                <w:sz w:val="18"/>
              </w:rPr>
            </w:pPr>
            <w:bookmarkStart w:name=" Enter the value of “MA” in the field c" w:id="11"/>
            <w:bookmarkEnd w:id="11"/>
            <w:r>
              <w:rPr/>
            </w:r>
            <w:bookmarkStart w:name=" Enter the value of “MA” in the field c" w:id="12"/>
            <w:bookmarkEnd w:id="12"/>
            <w:r>
              <w:rPr>
                <w:sz w:val="18"/>
              </w:rPr>
              <w:t>Ente</w:t>
            </w:r>
            <w:r>
              <w:rPr>
                <w:sz w:val="18"/>
              </w:rPr>
              <w:t>r the value of “MA” in the field called</w:t>
            </w:r>
            <w:r>
              <w:rPr>
                <w:spacing w:val="-32"/>
                <w:sz w:val="18"/>
              </w:rPr>
              <w:t> </w:t>
            </w:r>
            <w:r>
              <w:rPr>
                <w:sz w:val="18"/>
              </w:rPr>
              <w:t>“Professional Service”</w:t>
            </w:r>
            <w:r>
              <w:rPr>
                <w:spacing w:val="-1"/>
                <w:sz w:val="18"/>
              </w:rPr>
              <w:t> </w:t>
            </w:r>
            <w:r>
              <w:rPr>
                <w:sz w:val="18"/>
              </w:rPr>
              <w:t>(440-E5).</w:t>
            </w:r>
          </w:p>
          <w:p>
            <w:pPr>
              <w:pStyle w:val="TableParagraph"/>
              <w:numPr>
                <w:ilvl w:val="0"/>
                <w:numId w:val="2"/>
              </w:numPr>
              <w:tabs>
                <w:tab w:pos="360" w:val="left" w:leader="none"/>
              </w:tabs>
              <w:spacing w:line="240" w:lineRule="auto" w:before="0" w:after="0"/>
              <w:ind w:left="359" w:right="135" w:hanging="252"/>
              <w:jc w:val="left"/>
              <w:rPr>
                <w:sz w:val="18"/>
              </w:rPr>
            </w:pPr>
            <w:bookmarkStart w:name=" Enter the appropriate administration f" w:id="13"/>
            <w:bookmarkEnd w:id="13"/>
            <w:r>
              <w:rPr/>
            </w:r>
            <w:bookmarkStart w:name=" Enter the appropriate administration f" w:id="14"/>
            <w:bookmarkEnd w:id="14"/>
            <w:r>
              <w:rPr>
                <w:sz w:val="18"/>
              </w:rPr>
              <w:t>Ente</w:t>
            </w:r>
            <w:r>
              <w:rPr>
                <w:sz w:val="18"/>
              </w:rPr>
              <w:t>r the appropriate administration fee (see chart below) in the field called “Incentive Amount Submitted”</w:t>
            </w:r>
            <w:r>
              <w:rPr>
                <w:spacing w:val="-29"/>
                <w:sz w:val="18"/>
              </w:rPr>
              <w:t> </w:t>
            </w:r>
            <w:r>
              <w:rPr>
                <w:sz w:val="18"/>
              </w:rPr>
              <w:t>(438-E8).</w:t>
            </w:r>
          </w:p>
          <w:p>
            <w:pPr>
              <w:pStyle w:val="TableParagraph"/>
              <w:numPr>
                <w:ilvl w:val="0"/>
                <w:numId w:val="2"/>
              </w:numPr>
              <w:tabs>
                <w:tab w:pos="360" w:val="left" w:leader="none"/>
              </w:tabs>
              <w:spacing w:line="240" w:lineRule="auto" w:before="0" w:after="0"/>
              <w:ind w:left="367" w:right="504" w:hanging="260"/>
              <w:jc w:val="left"/>
              <w:rPr>
                <w:sz w:val="18"/>
              </w:rPr>
            </w:pPr>
            <w:bookmarkStart w:name=" If the pharmacy incurred a cost to obt" w:id="15"/>
            <w:bookmarkEnd w:id="15"/>
            <w:r>
              <w:rPr/>
            </w:r>
            <w:bookmarkStart w:name=" If the pharmacy incurred a cost to obt" w:id="16"/>
            <w:bookmarkEnd w:id="16"/>
            <w:r>
              <w:rPr>
                <w:sz w:val="18"/>
              </w:rPr>
              <w:t>I</w:t>
            </w:r>
            <w:r>
              <w:rPr>
                <w:sz w:val="18"/>
              </w:rPr>
              <w:t>f the pharmacy incurred a cost to obtain the vaccine, include the cost of the vaccine serum plus the administration fee as the Gross Amount</w:t>
            </w:r>
            <w:r>
              <w:rPr>
                <w:spacing w:val="-9"/>
                <w:sz w:val="18"/>
              </w:rPr>
              <w:t> </w:t>
            </w:r>
            <w:r>
              <w:rPr>
                <w:sz w:val="18"/>
              </w:rPr>
              <w:t>Due.</w:t>
            </w:r>
          </w:p>
          <w:p>
            <w:pPr>
              <w:pStyle w:val="TableParagraph"/>
              <w:spacing w:before="70"/>
              <w:ind w:left="107" w:right="626"/>
              <w:rPr>
                <w:sz w:val="20"/>
              </w:rPr>
            </w:pPr>
            <w:r>
              <w:rPr>
                <w:sz w:val="20"/>
              </w:rPr>
              <w:t>MassHealth will pay pharmacies according to the following table.</w:t>
            </w:r>
          </w:p>
          <w:p>
            <w:pPr>
              <w:pStyle w:val="TableParagraph"/>
              <w:tabs>
                <w:tab w:pos="3944" w:val="left" w:leader="none"/>
              </w:tabs>
              <w:spacing w:before="130"/>
              <w:ind w:left="4093" w:right="533" w:hanging="3425"/>
              <w:rPr>
                <w:b/>
                <w:sz w:val="18"/>
              </w:rPr>
            </w:pPr>
            <w:r>
              <w:rPr>
                <w:b/>
                <w:sz w:val="18"/>
              </w:rPr>
              <w:t>Vaccine</w:t>
            </w:r>
            <w:r>
              <w:rPr>
                <w:b/>
                <w:spacing w:val="-5"/>
                <w:sz w:val="18"/>
              </w:rPr>
              <w:t> </w:t>
            </w:r>
            <w:r>
              <w:rPr>
                <w:b/>
                <w:sz w:val="18"/>
              </w:rPr>
              <w:t>Service</w:t>
            </w:r>
            <w:r>
              <w:rPr>
                <w:b/>
                <w:spacing w:val="-4"/>
                <w:sz w:val="18"/>
              </w:rPr>
              <w:t> </w:t>
            </w:r>
            <w:r>
              <w:rPr>
                <w:b/>
                <w:sz w:val="18"/>
              </w:rPr>
              <w:t>Description</w:t>
              <w:tab/>
            </w:r>
            <w:r>
              <w:rPr>
                <w:b/>
                <w:spacing w:val="-1"/>
                <w:sz w:val="18"/>
              </w:rPr>
              <w:t>Admin. </w:t>
            </w:r>
            <w:r>
              <w:rPr>
                <w:b/>
                <w:sz w:val="18"/>
              </w:rPr>
              <w:t>Fee</w:t>
            </w:r>
          </w:p>
          <w:p>
            <w:pPr>
              <w:pStyle w:val="TableParagraph"/>
              <w:tabs>
                <w:tab w:pos="3973" w:val="left" w:leader="none"/>
              </w:tabs>
              <w:spacing w:before="92"/>
              <w:ind w:left="220"/>
              <w:rPr>
                <w:sz w:val="18"/>
              </w:rPr>
            </w:pPr>
            <w:r>
              <w:rPr>
                <w:sz w:val="18"/>
              </w:rPr>
              <w:t>H1N1 vaccine, by injection</w:t>
            </w:r>
            <w:r>
              <w:rPr>
                <w:spacing w:val="-14"/>
                <w:sz w:val="18"/>
              </w:rPr>
              <w:t> </w:t>
            </w:r>
            <w:r>
              <w:rPr>
                <w:sz w:val="18"/>
              </w:rPr>
              <w:t>or</w:t>
            </w:r>
            <w:r>
              <w:rPr>
                <w:spacing w:val="-4"/>
                <w:sz w:val="18"/>
              </w:rPr>
              <w:t> </w:t>
            </w:r>
            <w:r>
              <w:rPr>
                <w:sz w:val="18"/>
              </w:rPr>
              <w:t>intranasal</w:t>
              <w:tab/>
              <w:t>$13.76</w:t>
            </w:r>
          </w:p>
          <w:p>
            <w:pPr>
              <w:pStyle w:val="TableParagraph"/>
              <w:tabs>
                <w:tab w:pos="3974" w:val="left" w:leader="none"/>
              </w:tabs>
              <w:spacing w:before="90"/>
              <w:ind w:left="220"/>
              <w:rPr>
                <w:sz w:val="18"/>
              </w:rPr>
            </w:pPr>
            <w:r>
              <w:rPr>
                <w:sz w:val="18"/>
              </w:rPr>
              <w:t>Seasonal flu vaccine only,</w:t>
            </w:r>
            <w:r>
              <w:rPr>
                <w:spacing w:val="-14"/>
                <w:sz w:val="18"/>
              </w:rPr>
              <w:t> </w:t>
            </w:r>
            <w:r>
              <w:rPr>
                <w:sz w:val="18"/>
              </w:rPr>
              <w:t>by</w:t>
            </w:r>
            <w:r>
              <w:rPr>
                <w:spacing w:val="-4"/>
                <w:sz w:val="18"/>
              </w:rPr>
              <w:t> </w:t>
            </w:r>
            <w:r>
              <w:rPr>
                <w:sz w:val="18"/>
              </w:rPr>
              <w:t>injection</w:t>
              <w:tab/>
              <w:t>$13.76</w:t>
            </w:r>
          </w:p>
          <w:p>
            <w:pPr>
              <w:pStyle w:val="TableParagraph"/>
              <w:tabs>
                <w:tab w:pos="4023" w:val="left" w:leader="none"/>
              </w:tabs>
              <w:spacing w:before="90"/>
              <w:ind w:left="220" w:right="614"/>
              <w:rPr>
                <w:sz w:val="18"/>
              </w:rPr>
            </w:pPr>
            <w:r>
              <w:rPr>
                <w:sz w:val="18"/>
              </w:rPr>
              <w:t>Seasonal flu vaccine only,</w:t>
            </w:r>
            <w:r>
              <w:rPr>
                <w:spacing w:val="-14"/>
                <w:sz w:val="18"/>
              </w:rPr>
              <w:t> </w:t>
            </w:r>
            <w:r>
              <w:rPr>
                <w:sz w:val="18"/>
              </w:rPr>
              <w:t>by</w:t>
            </w:r>
            <w:r>
              <w:rPr>
                <w:spacing w:val="-4"/>
                <w:sz w:val="18"/>
              </w:rPr>
              <w:t> </w:t>
            </w:r>
            <w:r>
              <w:rPr>
                <w:sz w:val="18"/>
              </w:rPr>
              <w:t>intranasal</w:t>
              <w:tab/>
            </w:r>
            <w:r>
              <w:rPr>
                <w:spacing w:val="-1"/>
                <w:sz w:val="18"/>
              </w:rPr>
              <w:t>$9.06 </w:t>
            </w:r>
            <w:r>
              <w:rPr>
                <w:sz w:val="18"/>
              </w:rPr>
              <w:t>route</w:t>
            </w:r>
          </w:p>
          <w:p>
            <w:pPr>
              <w:pStyle w:val="TableParagraph"/>
              <w:tabs>
                <w:tab w:pos="4023" w:val="left" w:leader="none"/>
              </w:tabs>
              <w:spacing w:before="90"/>
              <w:ind w:left="220" w:right="614"/>
              <w:rPr>
                <w:sz w:val="18"/>
              </w:rPr>
            </w:pPr>
            <w:r>
              <w:rPr>
                <w:sz w:val="18"/>
              </w:rPr>
              <w:t>Seasonal flu vaccine, by</w:t>
            </w:r>
            <w:r>
              <w:rPr>
                <w:spacing w:val="-17"/>
                <w:sz w:val="18"/>
              </w:rPr>
              <w:t> </w:t>
            </w:r>
            <w:r>
              <w:rPr>
                <w:sz w:val="18"/>
              </w:rPr>
              <w:t>injection,</w:t>
            </w:r>
            <w:r>
              <w:rPr>
                <w:spacing w:val="-4"/>
                <w:sz w:val="18"/>
              </w:rPr>
              <w:t> </w:t>
            </w:r>
            <w:r>
              <w:rPr>
                <w:sz w:val="18"/>
              </w:rPr>
              <w:t>given</w:t>
              <w:tab/>
            </w:r>
            <w:r>
              <w:rPr>
                <w:spacing w:val="-1"/>
                <w:sz w:val="18"/>
              </w:rPr>
              <w:t>$7.23 </w:t>
            </w:r>
            <w:r>
              <w:rPr>
                <w:sz w:val="18"/>
              </w:rPr>
              <w:t>at the same time as H1N1</w:t>
            </w:r>
            <w:r>
              <w:rPr>
                <w:spacing w:val="-5"/>
                <w:sz w:val="18"/>
              </w:rPr>
              <w:t> </w:t>
            </w:r>
            <w:r>
              <w:rPr>
                <w:sz w:val="18"/>
              </w:rPr>
              <w:t>vaccine</w:t>
            </w:r>
          </w:p>
          <w:p>
            <w:pPr>
              <w:pStyle w:val="TableParagraph"/>
              <w:spacing w:line="192" w:lineRule="exact" w:before="90"/>
              <w:ind w:left="220"/>
              <w:rPr>
                <w:sz w:val="18"/>
              </w:rPr>
            </w:pPr>
            <w:r>
              <w:rPr>
                <w:sz w:val="18"/>
              </w:rPr>
              <w:t>Seasonal flu vaccine, by intranasal route,</w:t>
            </w:r>
          </w:p>
          <w:p>
            <w:pPr>
              <w:pStyle w:val="TableParagraph"/>
              <w:tabs>
                <w:tab w:pos="4023" w:val="left" w:leader="none"/>
              </w:tabs>
              <w:spacing w:line="208" w:lineRule="exact" w:before="17"/>
              <w:ind w:left="220" w:right="615"/>
              <w:rPr>
                <w:sz w:val="18"/>
              </w:rPr>
            </w:pPr>
            <w:r>
              <w:rPr>
                <w:sz w:val="18"/>
              </w:rPr>
              <w:t>given at the same time as</w:t>
            </w:r>
            <w:r>
              <w:rPr>
                <w:spacing w:val="-13"/>
                <w:sz w:val="18"/>
              </w:rPr>
              <w:t> </w:t>
            </w:r>
            <w:r>
              <w:rPr>
                <w:sz w:val="18"/>
              </w:rPr>
              <w:t>H1N1</w:t>
            </w:r>
            <w:r>
              <w:rPr>
                <w:spacing w:val="-3"/>
                <w:sz w:val="18"/>
              </w:rPr>
              <w:t> </w:t>
            </w:r>
            <w:r>
              <w:rPr>
                <w:sz w:val="18"/>
              </w:rPr>
              <w:t>vaccine</w:t>
              <w:tab/>
            </w:r>
            <w:r>
              <w:rPr>
                <w:spacing w:val="-1"/>
                <w:position w:val="3"/>
                <w:sz w:val="18"/>
              </w:rPr>
              <w:t>$6.13 </w:t>
            </w:r>
            <w:r>
              <w:rPr>
                <w:sz w:val="18"/>
              </w:rPr>
              <w:t>by</w:t>
            </w:r>
            <w:r>
              <w:rPr>
                <w:spacing w:val="-4"/>
                <w:sz w:val="18"/>
              </w:rPr>
              <w:t> </w:t>
            </w:r>
            <w:r>
              <w:rPr>
                <w:sz w:val="18"/>
              </w:rPr>
              <w:t>injection</w:t>
            </w:r>
          </w:p>
        </w:tc>
        <w:tc>
          <w:tcPr>
            <w:tcW w:w="5303" w:type="dxa"/>
            <w:tcBorders>
              <w:top w:val="single" w:sz="8" w:space="0" w:color="000000"/>
              <w:left w:val="single" w:sz="4" w:space="0" w:color="000000"/>
              <w:bottom w:val="single" w:sz="6" w:space="0" w:color="000000"/>
            </w:tcBorders>
          </w:tcPr>
          <w:p>
            <w:pPr>
              <w:pStyle w:val="TableParagraph"/>
              <w:spacing w:before="199"/>
              <w:ind w:left="102"/>
              <w:rPr>
                <w:rFonts w:ascii="Arial Black"/>
                <w:b/>
                <w:sz w:val="22"/>
              </w:rPr>
            </w:pPr>
            <w:r>
              <w:rPr>
                <w:rFonts w:ascii="Arial Black"/>
                <w:b/>
                <w:sz w:val="22"/>
              </w:rPr>
              <w:t>MHDL Updates</w:t>
            </w:r>
          </w:p>
          <w:p>
            <w:pPr>
              <w:pStyle w:val="TableParagraph"/>
              <w:numPr>
                <w:ilvl w:val="0"/>
                <w:numId w:val="3"/>
              </w:numPr>
              <w:tabs>
                <w:tab w:pos="464" w:val="left" w:leader="none"/>
              </w:tabs>
              <w:spacing w:line="240" w:lineRule="auto" w:before="122" w:after="0"/>
              <w:ind w:left="463" w:right="0" w:hanging="361"/>
              <w:jc w:val="left"/>
              <w:rPr>
                <w:b/>
                <w:sz w:val="20"/>
              </w:rPr>
            </w:pPr>
            <w:r>
              <w:rPr>
                <w:b/>
                <w:sz w:val="20"/>
              </w:rPr>
              <w:t>Additions</w:t>
            </w:r>
          </w:p>
          <w:p>
            <w:pPr>
              <w:pStyle w:val="TableParagraph"/>
              <w:numPr>
                <w:ilvl w:val="1"/>
                <w:numId w:val="3"/>
              </w:numPr>
              <w:tabs>
                <w:tab w:pos="810" w:val="left" w:leader="none"/>
              </w:tabs>
              <w:spacing w:line="240" w:lineRule="auto" w:before="80" w:after="0"/>
              <w:ind w:left="837" w:right="306" w:hanging="360"/>
              <w:jc w:val="left"/>
              <w:rPr>
                <w:sz w:val="20"/>
              </w:rPr>
            </w:pPr>
            <w:r>
              <w:rPr>
                <w:sz w:val="20"/>
              </w:rPr>
              <w:t>The following newly marketed drugs have</w:t>
            </w:r>
            <w:r>
              <w:rPr>
                <w:spacing w:val="-30"/>
                <w:sz w:val="20"/>
              </w:rPr>
              <w:t> </w:t>
            </w:r>
            <w:r>
              <w:rPr>
                <w:sz w:val="20"/>
              </w:rPr>
              <w:t>been added to the MassHealth Drug List, effective November 9,</w:t>
            </w:r>
            <w:r>
              <w:rPr>
                <w:spacing w:val="-4"/>
                <w:sz w:val="20"/>
              </w:rPr>
              <w:t> </w:t>
            </w:r>
            <w:r>
              <w:rPr>
                <w:sz w:val="20"/>
              </w:rPr>
              <w:t>2009.</w:t>
            </w:r>
          </w:p>
          <w:p>
            <w:pPr>
              <w:pStyle w:val="TableParagraph"/>
              <w:spacing w:before="79"/>
              <w:ind w:left="1196"/>
              <w:rPr>
                <w:b/>
                <w:sz w:val="20"/>
              </w:rPr>
            </w:pPr>
            <w:r>
              <w:rPr>
                <w:sz w:val="20"/>
              </w:rPr>
              <w:t>Adcirca (tadalafil) – </w:t>
            </w:r>
            <w:r>
              <w:rPr>
                <w:b/>
                <w:sz w:val="20"/>
              </w:rPr>
              <w:t>PA</w:t>
            </w:r>
          </w:p>
          <w:p>
            <w:pPr>
              <w:pStyle w:val="TableParagraph"/>
              <w:spacing w:line="230" w:lineRule="exact" w:before="21"/>
              <w:ind w:left="1200"/>
              <w:rPr>
                <w:sz w:val="20"/>
              </w:rPr>
            </w:pPr>
            <w:r>
              <w:rPr>
                <w:sz w:val="20"/>
              </w:rPr>
              <w:t>Afinitor 5 mg (everolimus)</w:t>
            </w:r>
          </w:p>
          <w:p>
            <w:pPr>
              <w:pStyle w:val="TableParagraph"/>
              <w:spacing w:line="230" w:lineRule="exact"/>
              <w:ind w:left="1560"/>
              <w:rPr>
                <w:b/>
                <w:sz w:val="20"/>
              </w:rPr>
            </w:pPr>
            <w:r>
              <w:rPr>
                <w:sz w:val="20"/>
              </w:rPr>
              <w:t>– </w:t>
            </w:r>
            <w:r>
              <w:rPr>
                <w:b/>
                <w:sz w:val="20"/>
              </w:rPr>
              <w:t>PA&gt; 30 units/month</w:t>
            </w:r>
          </w:p>
          <w:p>
            <w:pPr>
              <w:pStyle w:val="TableParagraph"/>
              <w:ind w:left="1218"/>
              <w:rPr>
                <w:sz w:val="20"/>
              </w:rPr>
            </w:pPr>
            <w:r>
              <w:rPr>
                <w:sz w:val="20"/>
              </w:rPr>
              <w:t>Afinitor 10 mg (everolimus)</w:t>
            </w:r>
          </w:p>
          <w:p>
            <w:pPr>
              <w:pStyle w:val="TableParagraph"/>
              <w:spacing w:before="1"/>
              <w:ind w:left="1560" w:right="398" w:hanging="360"/>
              <w:rPr>
                <w:b/>
                <w:sz w:val="20"/>
              </w:rPr>
            </w:pPr>
            <w:r>
              <w:rPr>
                <w:sz w:val="20"/>
              </w:rPr>
              <w:t>Asacol HD (mesalamine, delayed-release tablet) Besivance (besifloxacin) – </w:t>
            </w:r>
            <w:r>
              <w:rPr>
                <w:b/>
                <w:sz w:val="20"/>
              </w:rPr>
              <w:t>PA</w:t>
            </w:r>
          </w:p>
          <w:p>
            <w:pPr>
              <w:pStyle w:val="TableParagraph"/>
              <w:spacing w:line="230" w:lineRule="exact"/>
              <w:ind w:left="1218"/>
              <w:rPr>
                <w:sz w:val="20"/>
              </w:rPr>
            </w:pPr>
            <w:r>
              <w:rPr>
                <w:sz w:val="20"/>
              </w:rPr>
              <w:t>Caldolor (ibuprofen injection)</w:t>
            </w:r>
          </w:p>
          <w:p>
            <w:pPr>
              <w:pStyle w:val="TableParagraph"/>
              <w:spacing w:line="230" w:lineRule="exact"/>
              <w:ind w:left="1218"/>
              <w:rPr>
                <w:b/>
                <w:sz w:val="20"/>
              </w:rPr>
            </w:pPr>
            <w:r>
              <w:rPr>
                <w:sz w:val="20"/>
              </w:rPr>
              <w:t>Cetraxal (ciprofloxacin OTIC solution) – </w:t>
            </w:r>
            <w:r>
              <w:rPr>
                <w:b/>
                <w:sz w:val="20"/>
              </w:rPr>
              <w:t>PA</w:t>
            </w:r>
          </w:p>
          <w:p>
            <w:pPr>
              <w:pStyle w:val="TableParagraph"/>
              <w:spacing w:line="230" w:lineRule="exact"/>
              <w:ind w:left="1200"/>
              <w:rPr>
                <w:sz w:val="20"/>
              </w:rPr>
            </w:pPr>
            <w:r>
              <w:rPr>
                <w:sz w:val="20"/>
              </w:rPr>
              <w:t>Coartem (artemether/lumefantrine)</w:t>
            </w:r>
          </w:p>
          <w:p>
            <w:pPr>
              <w:pStyle w:val="TableParagraph"/>
              <w:spacing w:line="230" w:lineRule="exact"/>
              <w:ind w:left="1560"/>
              <w:rPr>
                <w:b/>
                <w:sz w:val="20"/>
              </w:rPr>
            </w:pPr>
            <w:r>
              <w:rPr>
                <w:sz w:val="20"/>
              </w:rPr>
              <w:t>– </w:t>
            </w:r>
            <w:r>
              <w:rPr>
                <w:b/>
                <w:sz w:val="20"/>
              </w:rPr>
              <w:t>PA &gt; 24 units/year</w:t>
            </w:r>
          </w:p>
          <w:p>
            <w:pPr>
              <w:pStyle w:val="TableParagraph"/>
              <w:spacing w:line="230" w:lineRule="exact"/>
              <w:ind w:left="1218"/>
              <w:rPr>
                <w:b/>
                <w:sz w:val="20"/>
              </w:rPr>
            </w:pPr>
            <w:r>
              <w:rPr>
                <w:sz w:val="20"/>
              </w:rPr>
              <w:t>Edluar (zolpidem sublingual) – </w:t>
            </w:r>
            <w:r>
              <w:rPr>
                <w:b/>
                <w:sz w:val="20"/>
              </w:rPr>
              <w:t>PA</w:t>
            </w:r>
          </w:p>
          <w:p>
            <w:pPr>
              <w:pStyle w:val="TableParagraph"/>
              <w:spacing w:before="1"/>
              <w:ind w:left="1218" w:right="1926"/>
              <w:rPr>
                <w:sz w:val="20"/>
              </w:rPr>
            </w:pPr>
            <w:r>
              <w:rPr>
                <w:sz w:val="20"/>
              </w:rPr>
              <w:t>Effient (prasugrel) Feraheme (ferumoxytol)</w:t>
            </w:r>
          </w:p>
          <w:p>
            <w:pPr>
              <w:pStyle w:val="TableParagraph"/>
              <w:ind w:left="1560" w:right="531" w:hanging="360"/>
              <w:rPr>
                <w:sz w:val="20"/>
              </w:rPr>
            </w:pPr>
            <w:r>
              <w:rPr>
                <w:sz w:val="20"/>
              </w:rPr>
              <w:t>Influenza H1N1 Vaccine (influenza virus vaccine, H1N1)</w:t>
            </w:r>
          </w:p>
          <w:p>
            <w:pPr>
              <w:pStyle w:val="TableParagraph"/>
              <w:spacing w:before="1"/>
              <w:ind w:left="1200" w:right="231" w:firstLine="18"/>
              <w:rPr>
                <w:sz w:val="20"/>
              </w:rPr>
            </w:pPr>
            <w:r>
              <w:rPr>
                <w:sz w:val="20"/>
              </w:rPr>
              <w:t>Ixiaro (Japanese encephalitis vaccine) Lamictal XR (lamotrigine extended-release)</w:t>
            </w:r>
          </w:p>
          <w:p>
            <w:pPr>
              <w:pStyle w:val="TableParagraph"/>
              <w:spacing w:line="230" w:lineRule="exact"/>
              <w:ind w:left="1560"/>
              <w:rPr>
                <w:b/>
                <w:sz w:val="20"/>
              </w:rPr>
            </w:pPr>
            <w:r>
              <w:rPr>
                <w:sz w:val="20"/>
              </w:rPr>
              <w:t>– </w:t>
            </w:r>
            <w:r>
              <w:rPr>
                <w:b/>
                <w:sz w:val="20"/>
              </w:rPr>
              <w:t>PA</w:t>
            </w:r>
          </w:p>
          <w:p>
            <w:pPr>
              <w:pStyle w:val="TableParagraph"/>
              <w:ind w:left="1560" w:right="187" w:hanging="360"/>
              <w:rPr>
                <w:b/>
                <w:sz w:val="20"/>
              </w:rPr>
            </w:pPr>
            <w:r>
              <w:rPr>
                <w:sz w:val="20"/>
              </w:rPr>
              <w:t>Lamictal XR Start Kit (lamotrigine extended- release) – </w:t>
            </w:r>
            <w:r>
              <w:rPr>
                <w:b/>
                <w:sz w:val="20"/>
              </w:rPr>
              <w:t>PA</w:t>
            </w:r>
          </w:p>
          <w:p>
            <w:pPr>
              <w:pStyle w:val="TableParagraph"/>
              <w:ind w:left="1218" w:right="1692"/>
              <w:rPr>
                <w:b/>
                <w:sz w:val="20"/>
              </w:rPr>
            </w:pPr>
            <w:r>
              <w:rPr>
                <w:sz w:val="20"/>
              </w:rPr>
              <w:t>Multaq (dronedarone) Nucynta (tapentadol) – </w:t>
            </w:r>
            <w:r>
              <w:rPr>
                <w:b/>
                <w:sz w:val="20"/>
              </w:rPr>
              <w:t>PA </w:t>
            </w:r>
            <w:r>
              <w:rPr>
                <w:sz w:val="20"/>
              </w:rPr>
              <w:t>Nuvigil (armodafanil) – </w:t>
            </w:r>
            <w:r>
              <w:rPr>
                <w:b/>
                <w:sz w:val="20"/>
              </w:rPr>
              <w:t>PA </w:t>
            </w:r>
            <w:r>
              <w:rPr>
                <w:sz w:val="20"/>
              </w:rPr>
              <w:t>Onglyza (saxagliptin) – </w:t>
            </w:r>
            <w:r>
              <w:rPr>
                <w:b/>
                <w:sz w:val="20"/>
              </w:rPr>
              <w:t>PA</w:t>
            </w:r>
          </w:p>
          <w:p>
            <w:pPr>
              <w:pStyle w:val="TableParagraph"/>
              <w:spacing w:before="1"/>
              <w:ind w:left="1200" w:right="1028" w:hanging="96"/>
              <w:jc w:val="center"/>
              <w:rPr>
                <w:sz w:val="20"/>
              </w:rPr>
            </w:pPr>
            <w:r>
              <w:rPr>
                <w:sz w:val="20"/>
              </w:rPr>
              <w:t>Plan B One Step (levonorgestrel) Quinzyme ODT (ubiquinone, orally disintegrating tablet) – </w:t>
            </w:r>
            <w:r>
              <w:rPr>
                <w:b/>
                <w:sz w:val="20"/>
              </w:rPr>
              <w:t>PA </w:t>
            </w:r>
            <w:r>
              <w:rPr>
                <w:sz w:val="20"/>
              </w:rPr>
              <w:t>RiaSTAP (fibrinogen concentrate)</w:t>
            </w:r>
          </w:p>
          <w:p>
            <w:pPr>
              <w:pStyle w:val="TableParagraph"/>
              <w:ind w:left="1214" w:right="1462" w:firstLine="3"/>
              <w:rPr>
                <w:sz w:val="20"/>
              </w:rPr>
            </w:pPr>
            <w:r>
              <w:rPr>
                <w:sz w:val="20"/>
              </w:rPr>
              <w:t>Samsca (tolvaptan) – </w:t>
            </w:r>
            <w:r>
              <w:rPr>
                <w:b/>
                <w:sz w:val="20"/>
              </w:rPr>
              <w:t>PA </w:t>
            </w:r>
            <w:r>
              <w:rPr>
                <w:sz w:val="20"/>
              </w:rPr>
              <w:t>Savella (milnacipran) – </w:t>
            </w:r>
            <w:r>
              <w:rPr>
                <w:b/>
                <w:sz w:val="20"/>
              </w:rPr>
              <w:t>PA </w:t>
            </w:r>
            <w:r>
              <w:rPr>
                <w:sz w:val="20"/>
              </w:rPr>
              <w:t>Simponi (golimumab) – </w:t>
            </w:r>
            <w:r>
              <w:rPr>
                <w:b/>
                <w:sz w:val="20"/>
              </w:rPr>
              <w:t>PA </w:t>
            </w:r>
            <w:r>
              <w:rPr>
                <w:sz w:val="20"/>
              </w:rPr>
              <w:t>Ulesfia (benzyl alcohol lotion)</w:t>
            </w:r>
          </w:p>
          <w:p>
            <w:pPr>
              <w:pStyle w:val="TableParagraph"/>
              <w:spacing w:before="79"/>
              <w:ind w:left="836" w:hanging="360"/>
              <w:rPr>
                <w:sz w:val="20"/>
              </w:rPr>
            </w:pPr>
            <w:r>
              <w:rPr>
                <w:sz w:val="20"/>
              </w:rPr>
              <w:t>b. The following drugs have been added to the MassHealth Drug List.</w:t>
            </w:r>
          </w:p>
          <w:p>
            <w:pPr>
              <w:pStyle w:val="TableParagraph"/>
              <w:spacing w:before="80"/>
              <w:ind w:left="1217"/>
              <w:rPr>
                <w:b/>
                <w:sz w:val="20"/>
              </w:rPr>
            </w:pPr>
            <w:r>
              <w:rPr>
                <w:sz w:val="20"/>
              </w:rPr>
              <w:t>Firmagon (degarelix) </w:t>
            </w:r>
            <w:r>
              <w:rPr>
                <w:b/>
                <w:sz w:val="20"/>
              </w:rPr>
              <w:t>– PA</w:t>
            </w:r>
          </w:p>
          <w:p>
            <w:pPr>
              <w:pStyle w:val="TableParagraph"/>
              <w:spacing w:before="1"/>
              <w:ind w:left="1217"/>
              <w:rPr>
                <w:b/>
                <w:sz w:val="20"/>
              </w:rPr>
            </w:pPr>
            <w:r>
              <w:rPr>
                <w:sz w:val="20"/>
              </w:rPr>
              <w:t>Xyrem (sodium oxybate) </w:t>
            </w:r>
            <w:r>
              <w:rPr>
                <w:b/>
                <w:sz w:val="20"/>
              </w:rPr>
              <w:t>– PA</w:t>
            </w:r>
          </w:p>
        </w:tc>
        <w:tc>
          <w:tcPr>
            <w:tcW w:w="51" w:type="dxa"/>
            <w:tcBorders>
              <w:bottom w:val="single" w:sz="6" w:space="0" w:color="000000"/>
            </w:tcBorders>
          </w:tcPr>
          <w:p>
            <w:pPr>
              <w:pStyle w:val="TableParagraph"/>
              <w:rPr>
                <w:rFonts w:ascii="Times New Roman"/>
                <w:sz w:val="18"/>
              </w:rPr>
            </w:pPr>
          </w:p>
        </w:tc>
      </w:tr>
    </w:tbl>
    <w:p>
      <w:pPr>
        <w:spacing w:after="0"/>
        <w:rPr>
          <w:rFonts w:ascii="Times New Roman"/>
          <w:sz w:val="18"/>
        </w:rPr>
        <w:sectPr>
          <w:type w:val="continuous"/>
          <w:pgSz w:w="12240" w:h="15840"/>
          <w:pgMar w:top="380" w:bottom="280" w:left="620" w:right="420"/>
        </w:sectPr>
      </w:pPr>
    </w:p>
    <w:p>
      <w:pPr>
        <w:tabs>
          <w:tab w:pos="9817" w:val="left" w:leader="none"/>
        </w:tabs>
        <w:spacing w:before="72" w:after="34"/>
        <w:ind w:left="251" w:right="0" w:firstLine="0"/>
        <w:jc w:val="left"/>
        <w:rPr>
          <w:rFonts w:ascii="Arial Black"/>
          <w:b/>
          <w:sz w:val="18"/>
        </w:rPr>
      </w:pPr>
      <w:r>
        <w:rPr>
          <w:rFonts w:ascii="Arial Black"/>
          <w:b/>
          <w:sz w:val="18"/>
        </w:rPr>
        <w:t>Pharmacy Facts,</w:t>
      </w:r>
      <w:r>
        <w:rPr>
          <w:rFonts w:ascii="Arial Black"/>
          <w:b/>
          <w:spacing w:val="-5"/>
          <w:sz w:val="18"/>
        </w:rPr>
        <w:t> </w:t>
      </w:r>
      <w:r>
        <w:rPr>
          <w:rFonts w:ascii="Arial Black"/>
          <w:b/>
          <w:sz w:val="18"/>
        </w:rPr>
        <w:t>Number</w:t>
      </w:r>
      <w:r>
        <w:rPr>
          <w:rFonts w:ascii="Arial Black"/>
          <w:b/>
          <w:spacing w:val="-3"/>
          <w:sz w:val="18"/>
        </w:rPr>
        <w:t> </w:t>
      </w:r>
      <w:r>
        <w:rPr>
          <w:rFonts w:ascii="Arial Black"/>
          <w:b/>
          <w:sz w:val="18"/>
        </w:rPr>
        <w:t>54</w:t>
        <w:tab/>
        <w:t>Page 2 of</w:t>
      </w:r>
      <w:r>
        <w:rPr>
          <w:rFonts w:ascii="Arial Black"/>
          <w:b/>
          <w:spacing w:val="-4"/>
          <w:sz w:val="18"/>
        </w:rPr>
        <w:t> </w:t>
      </w:r>
      <w:r>
        <w:rPr>
          <w:rFonts w:ascii="Arial Black"/>
          <w:b/>
          <w:sz w:val="18"/>
        </w:rPr>
        <w:t>2</w:t>
      </w:r>
    </w:p>
    <w:tbl>
      <w:tblPr>
        <w:tblW w:w="0" w:type="auto"/>
        <w:jc w:val="left"/>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2"/>
        <w:gridCol w:w="5392"/>
        <w:gridCol w:w="5357"/>
        <w:gridCol w:w="160"/>
      </w:tblGrid>
      <w:tr>
        <w:trPr>
          <w:trHeight w:val="13999" w:hRule="atLeast"/>
        </w:trPr>
        <w:tc>
          <w:tcPr>
            <w:tcW w:w="72" w:type="dxa"/>
            <w:tcBorders>
              <w:bottom w:val="single" w:sz="6" w:space="0" w:color="000000"/>
            </w:tcBorders>
          </w:tcPr>
          <w:p>
            <w:pPr>
              <w:pStyle w:val="TableParagraph"/>
              <w:rPr>
                <w:rFonts w:ascii="Times New Roman"/>
                <w:sz w:val="18"/>
              </w:rPr>
            </w:pPr>
          </w:p>
        </w:tc>
        <w:tc>
          <w:tcPr>
            <w:tcW w:w="5392" w:type="dxa"/>
            <w:tcBorders>
              <w:top w:val="single" w:sz="8" w:space="0" w:color="000000"/>
              <w:bottom w:val="single" w:sz="6" w:space="0" w:color="000000"/>
              <w:right w:val="single" w:sz="4" w:space="0" w:color="000000"/>
            </w:tcBorders>
          </w:tcPr>
          <w:p>
            <w:pPr>
              <w:pStyle w:val="TableParagraph"/>
              <w:spacing w:before="11"/>
              <w:rPr>
                <w:rFonts w:ascii="Arial Black"/>
                <w:b/>
                <w:sz w:val="24"/>
              </w:rPr>
            </w:pPr>
          </w:p>
          <w:p>
            <w:pPr>
              <w:pStyle w:val="TableParagraph"/>
              <w:numPr>
                <w:ilvl w:val="0"/>
                <w:numId w:val="4"/>
              </w:numPr>
              <w:tabs>
                <w:tab w:pos="469" w:val="left" w:leader="none"/>
              </w:tabs>
              <w:spacing w:line="240" w:lineRule="auto" w:before="0" w:after="0"/>
              <w:ind w:left="468" w:right="0" w:hanging="361"/>
              <w:jc w:val="left"/>
              <w:rPr>
                <w:b/>
                <w:sz w:val="20"/>
              </w:rPr>
            </w:pPr>
            <w:r>
              <w:rPr>
                <w:b/>
                <w:sz w:val="20"/>
              </w:rPr>
              <w:t>New FDA “A”-Rated Generics</w:t>
            </w:r>
          </w:p>
          <w:p>
            <w:pPr>
              <w:pStyle w:val="TableParagraph"/>
              <w:spacing w:before="78"/>
              <w:ind w:left="125" w:right="116" w:hanging="19"/>
              <w:rPr>
                <w:sz w:val="20"/>
              </w:rPr>
            </w:pPr>
            <w:r>
              <w:rPr>
                <w:sz w:val="20"/>
              </w:rPr>
              <w:t>The following FDA “A”-rated generic drugs (listed on the next page) have been added to the MassHealth Drug List. The brand name is listed with a # symbol, to indicate that PA is required for the brand.</w:t>
            </w:r>
          </w:p>
          <w:p>
            <w:pPr>
              <w:pStyle w:val="TableParagraph"/>
              <w:spacing w:before="3"/>
              <w:rPr>
                <w:rFonts w:ascii="Arial Black"/>
                <w:b/>
                <w:sz w:val="14"/>
              </w:rPr>
            </w:pPr>
          </w:p>
          <w:p>
            <w:pPr>
              <w:pStyle w:val="TableParagraph"/>
              <w:spacing w:line="207" w:lineRule="exact"/>
              <w:ind w:left="468"/>
              <w:rPr>
                <w:b/>
                <w:sz w:val="18"/>
              </w:rPr>
            </w:pPr>
            <w:r>
              <w:rPr>
                <w:b/>
                <w:sz w:val="18"/>
              </w:rPr>
              <w:t>New FDA “A”-Rated</w:t>
            </w:r>
          </w:p>
          <w:p>
            <w:pPr>
              <w:pStyle w:val="TableParagraph"/>
              <w:tabs>
                <w:tab w:pos="2708" w:val="left" w:leader="none"/>
              </w:tabs>
              <w:spacing w:line="207" w:lineRule="exact"/>
              <w:ind w:left="468"/>
              <w:rPr>
                <w:b/>
                <w:sz w:val="18"/>
              </w:rPr>
            </w:pPr>
            <w:r>
              <w:rPr>
                <w:b/>
                <w:sz w:val="18"/>
                <w:u w:val="single"/>
              </w:rPr>
              <w:t>Generic</w:t>
            </w:r>
            <w:r>
              <w:rPr>
                <w:b/>
                <w:spacing w:val="-2"/>
                <w:sz w:val="18"/>
                <w:u w:val="single"/>
              </w:rPr>
              <w:t> </w:t>
            </w:r>
            <w:r>
              <w:rPr>
                <w:b/>
                <w:sz w:val="18"/>
                <w:u w:val="single"/>
              </w:rPr>
              <w:t>Drug</w:t>
            </w:r>
            <w:r>
              <w:rPr>
                <w:b/>
                <w:sz w:val="18"/>
              </w:rPr>
              <w:tab/>
            </w:r>
            <w:r>
              <w:rPr>
                <w:b/>
                <w:sz w:val="18"/>
                <w:u w:val="single"/>
              </w:rPr>
              <w:t>Generic</w:t>
            </w:r>
            <w:r>
              <w:rPr>
                <w:b/>
                <w:spacing w:val="-2"/>
                <w:sz w:val="18"/>
                <w:u w:val="single"/>
              </w:rPr>
              <w:t> </w:t>
            </w:r>
            <w:r>
              <w:rPr>
                <w:b/>
                <w:sz w:val="18"/>
                <w:u w:val="single"/>
              </w:rPr>
              <w:t>Equivalent</w:t>
            </w:r>
          </w:p>
          <w:p>
            <w:pPr>
              <w:pStyle w:val="TableParagraph"/>
              <w:tabs>
                <w:tab w:pos="2721" w:val="left" w:leader="none"/>
              </w:tabs>
              <w:spacing w:line="207" w:lineRule="exact" w:before="42"/>
              <w:ind w:left="467"/>
              <w:rPr>
                <w:sz w:val="18"/>
              </w:rPr>
            </w:pPr>
            <w:r>
              <w:rPr>
                <w:sz w:val="18"/>
              </w:rPr>
              <w:t>bicalutamide</w:t>
              <w:tab/>
              <w:t>Casodex</w:t>
            </w:r>
            <w:r>
              <w:rPr>
                <w:spacing w:val="50"/>
                <w:sz w:val="18"/>
              </w:rPr>
              <w:t> </w:t>
            </w:r>
            <w:r>
              <w:rPr>
                <w:sz w:val="18"/>
              </w:rPr>
              <w:t>#</w:t>
            </w:r>
          </w:p>
          <w:p>
            <w:pPr>
              <w:pStyle w:val="TableParagraph"/>
              <w:tabs>
                <w:tab w:pos="2702" w:val="left" w:leader="none"/>
              </w:tabs>
              <w:spacing w:line="207" w:lineRule="exact"/>
              <w:ind w:left="467"/>
              <w:rPr>
                <w:sz w:val="18"/>
              </w:rPr>
            </w:pPr>
            <w:r>
              <w:rPr>
                <w:sz w:val="18"/>
              </w:rPr>
              <w:t>levonorgestrel</w:t>
              <w:tab/>
              <w:t>Plan B</w:t>
            </w:r>
            <w:r>
              <w:rPr>
                <w:spacing w:val="50"/>
                <w:sz w:val="18"/>
              </w:rPr>
              <w:t> </w:t>
            </w:r>
            <w:r>
              <w:rPr>
                <w:sz w:val="18"/>
              </w:rPr>
              <w:t>#</w:t>
            </w:r>
          </w:p>
          <w:p>
            <w:pPr>
              <w:pStyle w:val="TableParagraph"/>
              <w:tabs>
                <w:tab w:pos="2692" w:val="left" w:leader="none"/>
              </w:tabs>
              <w:ind w:left="467"/>
              <w:rPr>
                <w:sz w:val="18"/>
              </w:rPr>
            </w:pPr>
            <w:r>
              <w:rPr>
                <w:sz w:val="18"/>
              </w:rPr>
              <w:t>tacrolimus</w:t>
              <w:tab/>
              <w:t>Prograf</w:t>
            </w:r>
            <w:r>
              <w:rPr>
                <w:spacing w:val="48"/>
                <w:sz w:val="18"/>
              </w:rPr>
              <w:t> </w:t>
            </w:r>
            <w:r>
              <w:rPr>
                <w:sz w:val="18"/>
              </w:rPr>
              <w:t>#</w:t>
            </w:r>
          </w:p>
          <w:p>
            <w:pPr>
              <w:pStyle w:val="TableParagraph"/>
              <w:spacing w:before="2"/>
              <w:rPr>
                <w:rFonts w:ascii="Arial Black"/>
                <w:b/>
                <w:sz w:val="14"/>
              </w:rPr>
            </w:pPr>
          </w:p>
          <w:p>
            <w:pPr>
              <w:pStyle w:val="TableParagraph"/>
              <w:numPr>
                <w:ilvl w:val="0"/>
                <w:numId w:val="4"/>
              </w:numPr>
              <w:tabs>
                <w:tab w:pos="469" w:val="left" w:leader="none"/>
              </w:tabs>
              <w:spacing w:line="240" w:lineRule="auto" w:before="0" w:after="0"/>
              <w:ind w:left="468" w:right="0" w:hanging="360"/>
              <w:jc w:val="left"/>
              <w:rPr>
                <w:b/>
                <w:sz w:val="20"/>
              </w:rPr>
            </w:pPr>
            <w:r>
              <w:rPr>
                <w:b/>
                <w:sz w:val="20"/>
              </w:rPr>
              <w:t>Change in Prior-Authorization (PA)</w:t>
            </w:r>
            <w:r>
              <w:rPr>
                <w:b/>
                <w:spacing w:val="-9"/>
                <w:sz w:val="20"/>
              </w:rPr>
              <w:t> </w:t>
            </w:r>
            <w:r>
              <w:rPr>
                <w:b/>
                <w:sz w:val="20"/>
              </w:rPr>
              <w:t>Status</w:t>
            </w:r>
          </w:p>
          <w:p>
            <w:pPr>
              <w:pStyle w:val="TableParagraph"/>
              <w:numPr>
                <w:ilvl w:val="1"/>
                <w:numId w:val="4"/>
              </w:numPr>
              <w:tabs>
                <w:tab w:pos="828" w:val="left" w:leader="none"/>
              </w:tabs>
              <w:spacing w:line="240" w:lineRule="auto" w:before="79" w:after="0"/>
              <w:ind w:left="828" w:right="291" w:hanging="361"/>
              <w:jc w:val="left"/>
              <w:rPr>
                <w:sz w:val="20"/>
              </w:rPr>
            </w:pPr>
            <w:r>
              <w:rPr>
                <w:sz w:val="20"/>
              </w:rPr>
              <w:t>The PA requirement for Suboxone is changing. Maintenance doses less than or equal to 16 mg/day will no longer require prior</w:t>
            </w:r>
            <w:r>
              <w:rPr>
                <w:spacing w:val="-15"/>
                <w:sz w:val="20"/>
              </w:rPr>
              <w:t> </w:t>
            </w:r>
            <w:r>
              <w:rPr>
                <w:sz w:val="20"/>
              </w:rPr>
              <w:t>authorization, effective November 2,</w:t>
            </w:r>
            <w:r>
              <w:rPr>
                <w:spacing w:val="-4"/>
                <w:sz w:val="20"/>
              </w:rPr>
              <w:t> </w:t>
            </w:r>
            <w:r>
              <w:rPr>
                <w:sz w:val="20"/>
              </w:rPr>
              <w:t>2009.</w:t>
            </w:r>
          </w:p>
          <w:p>
            <w:pPr>
              <w:pStyle w:val="TableParagraph"/>
              <w:numPr>
                <w:ilvl w:val="1"/>
                <w:numId w:val="4"/>
              </w:numPr>
              <w:tabs>
                <w:tab w:pos="829" w:val="left" w:leader="none"/>
              </w:tabs>
              <w:spacing w:line="240" w:lineRule="auto" w:before="80" w:after="0"/>
              <w:ind w:left="827" w:right="898" w:hanging="359"/>
              <w:jc w:val="left"/>
              <w:rPr>
                <w:sz w:val="20"/>
              </w:rPr>
            </w:pPr>
            <w:r>
              <w:rPr>
                <w:sz w:val="20"/>
              </w:rPr>
              <w:t>The PA requirement for Flumist has been changed to the</w:t>
            </w:r>
            <w:r>
              <w:rPr>
                <w:spacing w:val="-5"/>
                <w:sz w:val="20"/>
              </w:rPr>
              <w:t> </w:t>
            </w:r>
            <w:r>
              <w:rPr>
                <w:sz w:val="20"/>
              </w:rPr>
              <w:t>following.</w:t>
            </w:r>
          </w:p>
          <w:p>
            <w:pPr>
              <w:pStyle w:val="TableParagraph"/>
              <w:spacing w:before="1"/>
              <w:ind w:left="1547" w:right="478" w:hanging="360"/>
              <w:rPr>
                <w:b/>
                <w:sz w:val="20"/>
              </w:rPr>
            </w:pPr>
            <w:r>
              <w:rPr>
                <w:sz w:val="20"/>
              </w:rPr>
              <w:t>Flumist (influenza virus vaccine live, intra- nasal) – </w:t>
            </w:r>
            <w:r>
              <w:rPr>
                <w:b/>
                <w:sz w:val="20"/>
              </w:rPr>
              <w:t>PA &gt; 1 dose/season</w:t>
            </w:r>
          </w:p>
          <w:p>
            <w:pPr>
              <w:pStyle w:val="TableParagraph"/>
              <w:numPr>
                <w:ilvl w:val="1"/>
                <w:numId w:val="4"/>
              </w:numPr>
              <w:tabs>
                <w:tab w:pos="827" w:val="left" w:leader="none"/>
                <w:tab w:pos="828" w:val="left" w:leader="none"/>
              </w:tabs>
              <w:spacing w:line="240" w:lineRule="auto" w:before="80" w:after="0"/>
              <w:ind w:left="827" w:right="233" w:hanging="360"/>
              <w:jc w:val="left"/>
              <w:rPr>
                <w:sz w:val="20"/>
              </w:rPr>
            </w:pPr>
            <w:r>
              <w:rPr>
                <w:sz w:val="20"/>
              </w:rPr>
              <w:t>The PA requirement for Adderall XR is changing. The following PA requirement is effective November 23,</w:t>
            </w:r>
            <w:r>
              <w:rPr>
                <w:spacing w:val="-3"/>
                <w:sz w:val="20"/>
              </w:rPr>
              <w:t> </w:t>
            </w:r>
            <w:r>
              <w:rPr>
                <w:sz w:val="20"/>
              </w:rPr>
              <w:t>2009.</w:t>
            </w:r>
          </w:p>
          <w:p>
            <w:pPr>
              <w:pStyle w:val="TableParagraph"/>
              <w:ind w:left="1547" w:right="366" w:hanging="360"/>
              <w:rPr>
                <w:b/>
                <w:sz w:val="20"/>
              </w:rPr>
            </w:pPr>
            <w:r>
              <w:rPr>
                <w:sz w:val="20"/>
              </w:rPr>
              <w:t>Adderall XR (amphetamine salts extended- release) – </w:t>
            </w:r>
            <w:r>
              <w:rPr>
                <w:b/>
                <w:sz w:val="20"/>
              </w:rPr>
              <w:t>PA</w:t>
            </w:r>
          </w:p>
          <w:p>
            <w:pPr>
              <w:pStyle w:val="TableParagraph"/>
              <w:ind w:left="827" w:right="745"/>
              <w:rPr>
                <w:sz w:val="20"/>
              </w:rPr>
            </w:pPr>
            <w:r>
              <w:rPr>
                <w:sz w:val="20"/>
              </w:rPr>
              <w:t>The PA requirement for amphetamine salts extended-release will remain:</w:t>
            </w:r>
          </w:p>
          <w:p>
            <w:pPr>
              <w:pStyle w:val="TableParagraph"/>
              <w:spacing w:line="230" w:lineRule="exact"/>
              <w:ind w:left="1187"/>
              <w:rPr>
                <w:sz w:val="20"/>
              </w:rPr>
            </w:pPr>
            <w:r>
              <w:rPr>
                <w:sz w:val="20"/>
              </w:rPr>
              <w:t>amphetamine salts extended-release</w:t>
            </w:r>
          </w:p>
          <w:p>
            <w:pPr>
              <w:pStyle w:val="TableParagraph"/>
              <w:spacing w:before="1"/>
              <w:ind w:left="1547"/>
              <w:rPr>
                <w:b/>
                <w:sz w:val="20"/>
              </w:rPr>
            </w:pPr>
            <w:r>
              <w:rPr>
                <w:sz w:val="20"/>
              </w:rPr>
              <w:t>– </w:t>
            </w:r>
            <w:r>
              <w:rPr>
                <w:b/>
                <w:sz w:val="20"/>
              </w:rPr>
              <w:t>PA &gt; 60 units/month</w:t>
            </w:r>
          </w:p>
          <w:p>
            <w:pPr>
              <w:pStyle w:val="TableParagraph"/>
              <w:spacing w:before="79"/>
              <w:ind w:left="827" w:right="116" w:hanging="360"/>
              <w:rPr>
                <w:sz w:val="20"/>
              </w:rPr>
            </w:pPr>
            <w:r>
              <w:rPr>
                <w:sz w:val="20"/>
              </w:rPr>
              <w:t>d. The following drugs will require prior authorization effective November 23, 2009.</w:t>
            </w:r>
          </w:p>
          <w:p>
            <w:pPr>
              <w:pStyle w:val="TableParagraph"/>
              <w:ind w:left="1188" w:right="271"/>
              <w:rPr>
                <w:b/>
                <w:sz w:val="20"/>
              </w:rPr>
            </w:pPr>
            <w:r>
              <w:rPr>
                <w:sz w:val="19"/>
              </w:rPr>
              <w:t>Acetasol HC (acetic acid/hydrocortisone) – </w:t>
            </w:r>
            <w:r>
              <w:rPr>
                <w:b/>
                <w:sz w:val="19"/>
              </w:rPr>
              <w:t>PA </w:t>
            </w:r>
            <w:r>
              <w:rPr>
                <w:sz w:val="20"/>
              </w:rPr>
              <w:t>CiproDex Otic suspension (ciprofloxacin/dexamethasone) – </w:t>
            </w:r>
            <w:r>
              <w:rPr>
                <w:b/>
                <w:sz w:val="20"/>
              </w:rPr>
              <w:t>PA</w:t>
            </w:r>
          </w:p>
          <w:p>
            <w:pPr>
              <w:pStyle w:val="TableParagraph"/>
              <w:ind w:left="1187" w:right="1045"/>
              <w:rPr>
                <w:b/>
                <w:sz w:val="20"/>
              </w:rPr>
            </w:pPr>
            <w:r>
              <w:rPr>
                <w:sz w:val="20"/>
              </w:rPr>
              <w:t>Cipro HC Otic suspension (ciprofloxacin/hydrocortisone) – </w:t>
            </w:r>
            <w:r>
              <w:rPr>
                <w:b/>
                <w:sz w:val="20"/>
              </w:rPr>
              <w:t>PA </w:t>
            </w:r>
            <w:r>
              <w:rPr>
                <w:sz w:val="20"/>
              </w:rPr>
              <w:t>Floxin Otic Singles (ofloxacin) – </w:t>
            </w:r>
            <w:r>
              <w:rPr>
                <w:b/>
                <w:sz w:val="20"/>
              </w:rPr>
              <w:t>PA</w:t>
            </w:r>
          </w:p>
          <w:p>
            <w:pPr>
              <w:pStyle w:val="TableParagraph"/>
              <w:spacing w:before="3"/>
              <w:rPr>
                <w:rFonts w:ascii="Arial Black"/>
                <w:b/>
                <w:sz w:val="14"/>
              </w:rPr>
            </w:pPr>
          </w:p>
          <w:p>
            <w:pPr>
              <w:pStyle w:val="TableParagraph"/>
              <w:numPr>
                <w:ilvl w:val="0"/>
                <w:numId w:val="5"/>
              </w:numPr>
              <w:tabs>
                <w:tab w:pos="469" w:val="left" w:leader="none"/>
              </w:tabs>
              <w:spacing w:line="240" w:lineRule="auto" w:before="0" w:after="0"/>
              <w:ind w:left="468" w:right="0" w:hanging="361"/>
              <w:jc w:val="left"/>
              <w:rPr>
                <w:b/>
                <w:sz w:val="20"/>
              </w:rPr>
            </w:pPr>
            <w:r>
              <w:rPr>
                <w:b/>
                <w:sz w:val="20"/>
              </w:rPr>
              <w:t>Updated MassHealth Over-the-Counter Drug</w:t>
            </w:r>
            <w:r>
              <w:rPr>
                <w:b/>
                <w:spacing w:val="-18"/>
                <w:sz w:val="20"/>
              </w:rPr>
              <w:t> </w:t>
            </w:r>
            <w:r>
              <w:rPr>
                <w:b/>
                <w:sz w:val="20"/>
              </w:rPr>
              <w:t>List</w:t>
            </w:r>
          </w:p>
          <w:p>
            <w:pPr>
              <w:pStyle w:val="TableParagraph"/>
              <w:spacing w:before="80"/>
              <w:ind w:left="107" w:right="123"/>
              <w:rPr>
                <w:sz w:val="20"/>
              </w:rPr>
            </w:pPr>
            <w:r>
              <w:rPr>
                <w:sz w:val="20"/>
              </w:rPr>
              <w:t>The following newly marketed drug has been added to the MassHealth Drug List.</w:t>
            </w:r>
          </w:p>
          <w:p>
            <w:pPr>
              <w:pStyle w:val="TableParagraph"/>
              <w:spacing w:before="80"/>
              <w:ind w:left="467"/>
              <w:rPr>
                <w:sz w:val="20"/>
              </w:rPr>
            </w:pPr>
            <w:r>
              <w:rPr>
                <w:sz w:val="20"/>
              </w:rPr>
              <w:t>Plan B One Step (levonorgestrel)</w:t>
            </w:r>
          </w:p>
          <w:p>
            <w:pPr>
              <w:pStyle w:val="TableParagraph"/>
              <w:spacing w:before="2"/>
              <w:rPr>
                <w:rFonts w:ascii="Arial Black"/>
                <w:b/>
                <w:sz w:val="14"/>
              </w:rPr>
            </w:pPr>
          </w:p>
          <w:p>
            <w:pPr>
              <w:pStyle w:val="TableParagraph"/>
              <w:numPr>
                <w:ilvl w:val="0"/>
                <w:numId w:val="5"/>
              </w:numPr>
              <w:tabs>
                <w:tab w:pos="469" w:val="left" w:leader="none"/>
              </w:tabs>
              <w:spacing w:line="240" w:lineRule="auto" w:before="0" w:after="0"/>
              <w:ind w:left="468" w:right="0" w:hanging="361"/>
              <w:jc w:val="left"/>
              <w:rPr>
                <w:b/>
                <w:sz w:val="20"/>
              </w:rPr>
            </w:pPr>
            <w:r>
              <w:rPr>
                <w:b/>
                <w:sz w:val="20"/>
              </w:rPr>
              <w:t>Deletions</w:t>
            </w:r>
          </w:p>
          <w:p>
            <w:pPr>
              <w:pStyle w:val="TableParagraph"/>
              <w:numPr>
                <w:ilvl w:val="1"/>
                <w:numId w:val="5"/>
              </w:numPr>
              <w:tabs>
                <w:tab w:pos="829" w:val="left" w:leader="none"/>
              </w:tabs>
              <w:spacing w:line="240" w:lineRule="auto" w:before="80" w:after="0"/>
              <w:ind w:left="827" w:right="276" w:hanging="360"/>
              <w:jc w:val="left"/>
              <w:rPr>
                <w:sz w:val="20"/>
              </w:rPr>
            </w:pPr>
            <w:r>
              <w:rPr>
                <w:sz w:val="20"/>
              </w:rPr>
              <w:t>The following drug has been deleted from the MassHealth Drug List. MassHealth does not pay for drugs that are manufactured by companies that have not signed rebate agreements with</w:t>
            </w:r>
            <w:r>
              <w:rPr>
                <w:spacing w:val="-9"/>
                <w:sz w:val="20"/>
              </w:rPr>
              <w:t> </w:t>
            </w:r>
            <w:r>
              <w:rPr>
                <w:sz w:val="20"/>
              </w:rPr>
              <w:t>the</w:t>
            </w:r>
          </w:p>
          <w:p>
            <w:pPr>
              <w:pStyle w:val="TableParagraph"/>
              <w:spacing w:line="324" w:lineRule="auto" w:before="1"/>
              <w:ind w:left="1187" w:right="415" w:hanging="360"/>
              <w:rPr>
                <w:sz w:val="20"/>
              </w:rPr>
            </w:pPr>
            <w:r>
              <w:rPr>
                <w:sz w:val="20"/>
              </w:rPr>
              <w:t>U.S. Secretary of Health and Human Services. EstroGel (estradiol)</w:t>
            </w:r>
          </w:p>
        </w:tc>
        <w:tc>
          <w:tcPr>
            <w:tcW w:w="5357" w:type="dxa"/>
            <w:tcBorders>
              <w:top w:val="single" w:sz="8" w:space="0" w:color="000000"/>
              <w:left w:val="single" w:sz="4" w:space="0" w:color="000000"/>
              <w:bottom w:val="single" w:sz="6" w:space="0" w:color="000000"/>
            </w:tcBorders>
          </w:tcPr>
          <w:p>
            <w:pPr>
              <w:pStyle w:val="TableParagraph"/>
              <w:spacing w:before="3"/>
              <w:rPr>
                <w:rFonts w:ascii="Arial Black"/>
                <w:b/>
                <w:sz w:val="29"/>
              </w:rPr>
            </w:pPr>
          </w:p>
          <w:p>
            <w:pPr>
              <w:pStyle w:val="TableParagraph"/>
              <w:ind w:left="822" w:hanging="360"/>
              <w:rPr>
                <w:sz w:val="20"/>
              </w:rPr>
            </w:pPr>
            <w:r>
              <w:rPr>
                <w:sz w:val="20"/>
              </w:rPr>
              <w:t>b. The following drugs have been removed from the MassHealth Drug List because they are not approved by the FDA.</w:t>
            </w:r>
          </w:p>
          <w:p>
            <w:pPr>
              <w:pStyle w:val="TableParagraph"/>
              <w:spacing w:before="80"/>
              <w:ind w:left="1200" w:right="704" w:firstLine="4"/>
              <w:rPr>
                <w:sz w:val="20"/>
              </w:rPr>
            </w:pPr>
            <w:r>
              <w:rPr>
                <w:sz w:val="20"/>
              </w:rPr>
              <w:t>A/B Otic drops (antipyrine/benzocaine) Allergen (antipyrine/benzocaine) antipyrine/benzocaine</w:t>
            </w:r>
          </w:p>
          <w:p>
            <w:pPr>
              <w:pStyle w:val="TableParagraph"/>
              <w:spacing w:before="1"/>
              <w:ind w:left="1200" w:right="1241"/>
              <w:rPr>
                <w:sz w:val="20"/>
              </w:rPr>
            </w:pPr>
            <w:r>
              <w:rPr>
                <w:sz w:val="20"/>
              </w:rPr>
              <w:t>Aurodex (antipyrine/benzocaine) Auroto # (antipyrine/benzocaine)</w:t>
            </w:r>
          </w:p>
        </w:tc>
        <w:tc>
          <w:tcPr>
            <w:tcW w:w="160" w:type="dxa"/>
            <w:tcBorders>
              <w:bottom w:val="single" w:sz="6" w:space="0" w:color="000000"/>
            </w:tcBorders>
          </w:tcPr>
          <w:p>
            <w:pPr>
              <w:pStyle w:val="TableParagraph"/>
              <w:rPr>
                <w:rFonts w:ascii="Times New Roman"/>
                <w:sz w:val="18"/>
              </w:rPr>
            </w:pPr>
          </w:p>
        </w:tc>
      </w:tr>
    </w:tbl>
    <w:p>
      <w:pPr>
        <w:pStyle w:val="BodyText"/>
        <w:spacing w:line="20" w:lineRule="exact"/>
        <w:ind w:left="100"/>
        <w:rPr>
          <w:rFonts w:ascii="Arial Black"/>
          <w:sz w:val="2"/>
        </w:rPr>
      </w:pPr>
      <w:r>
        <w:rPr>
          <w:rFonts w:ascii="Arial Black"/>
          <w:sz w:val="2"/>
        </w:rPr>
        <w:pict>
          <v:group style="width:549pt;height:.7pt;mso-position-horizontal-relative:char;mso-position-vertical-relative:line" coordorigin="0,0" coordsize="10980,14">
            <v:line style="position:absolute" from="0,7" to="10980,7" stroked="true" strokeweight=".66pt" strokecolor="#000000">
              <v:stroke dashstyle="solid"/>
            </v:line>
          </v:group>
        </w:pict>
      </w:r>
      <w:r>
        <w:rPr>
          <w:rFonts w:ascii="Arial Black"/>
          <w:sz w:val="2"/>
        </w:rPr>
      </w:r>
    </w:p>
    <w:p>
      <w:pPr>
        <w:pStyle w:val="BodyText"/>
        <w:spacing w:line="241" w:lineRule="exact" w:before="118"/>
        <w:ind w:left="1864" w:right="1417"/>
        <w:jc w:val="center"/>
      </w:pPr>
      <w:r>
        <w:rPr/>
        <w:t>Please direct any questions or comments (or to be taken off of this fax distribution) to</w:t>
      </w:r>
    </w:p>
    <w:p>
      <w:pPr>
        <w:spacing w:line="296" w:lineRule="exact" w:before="0"/>
        <w:ind w:left="1862" w:right="1417" w:firstLine="0"/>
        <w:jc w:val="center"/>
        <w:rPr>
          <w:sz w:val="21"/>
        </w:rPr>
      </w:pPr>
      <w:r>
        <w:rPr>
          <w:rFonts w:ascii="Arial Black"/>
          <w:b/>
          <w:sz w:val="21"/>
        </w:rPr>
        <w:t>Victor Moquin </w:t>
      </w:r>
      <w:r>
        <w:rPr>
          <w:sz w:val="21"/>
        </w:rPr>
        <w:t>of ACS at 617-423-9830.</w:t>
      </w:r>
    </w:p>
    <w:sectPr>
      <w:pgSz w:w="12240" w:h="15840"/>
      <w:pgMar w:top="360" w:bottom="280" w:left="620" w:right="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Narrow">
    <w:altName w:val="Arial Narrow"/>
    <w:charset w:val="0"/>
    <w:family w:val="swiss"/>
    <w:pitch w:val="variable"/>
  </w:font>
  <w:font w:name="Arial Black">
    <w:altName w:val="Arial Black"/>
    <w:charset w:val="0"/>
    <w:family w:val="swiss"/>
    <w:pitch w:val="variable"/>
  </w:font>
  <w:font w:name="Tahoma">
    <w:altName w:val="Tahoma"/>
    <w:charset w:val="0"/>
    <w:family w:val="swiss"/>
    <w:pitch w:val="variable"/>
  </w:font>
  <w:font w:name="Arial">
    <w:altName w:val="Arial"/>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4"/>
      <w:numFmt w:val="decimal"/>
      <w:lvlText w:val="%1."/>
      <w:lvlJc w:val="left"/>
      <w:pPr>
        <w:ind w:left="468" w:hanging="361"/>
        <w:jc w:val="left"/>
      </w:pPr>
      <w:rPr>
        <w:rFonts w:hint="default" w:ascii="Arial" w:hAnsi="Arial" w:eastAsia="Arial" w:cs="Arial"/>
        <w:b/>
        <w:bCs/>
        <w:spacing w:val="-1"/>
        <w:w w:val="100"/>
        <w:sz w:val="20"/>
        <w:szCs w:val="20"/>
      </w:rPr>
    </w:lvl>
    <w:lvl w:ilvl="1">
      <w:start w:val="1"/>
      <w:numFmt w:val="lowerLetter"/>
      <w:lvlText w:val="%2."/>
      <w:lvlJc w:val="left"/>
      <w:pPr>
        <w:ind w:left="827" w:hanging="361"/>
        <w:jc w:val="left"/>
      </w:pPr>
      <w:rPr>
        <w:rFonts w:hint="default" w:ascii="Arial" w:hAnsi="Arial" w:eastAsia="Arial" w:cs="Arial"/>
        <w:w w:val="100"/>
        <w:sz w:val="20"/>
        <w:szCs w:val="20"/>
      </w:rPr>
    </w:lvl>
    <w:lvl w:ilvl="2">
      <w:start w:val="0"/>
      <w:numFmt w:val="bullet"/>
      <w:lvlText w:val="•"/>
      <w:lvlJc w:val="left"/>
      <w:pPr>
        <w:ind w:left="1327" w:hanging="361"/>
      </w:pPr>
      <w:rPr>
        <w:rFonts w:hint="default"/>
      </w:rPr>
    </w:lvl>
    <w:lvl w:ilvl="3">
      <w:start w:val="0"/>
      <w:numFmt w:val="bullet"/>
      <w:lvlText w:val="•"/>
      <w:lvlJc w:val="left"/>
      <w:pPr>
        <w:ind w:left="1834" w:hanging="361"/>
      </w:pPr>
      <w:rPr>
        <w:rFonts w:hint="default"/>
      </w:rPr>
    </w:lvl>
    <w:lvl w:ilvl="4">
      <w:start w:val="0"/>
      <w:numFmt w:val="bullet"/>
      <w:lvlText w:val="•"/>
      <w:lvlJc w:val="left"/>
      <w:pPr>
        <w:ind w:left="2342" w:hanging="361"/>
      </w:pPr>
      <w:rPr>
        <w:rFonts w:hint="default"/>
      </w:rPr>
    </w:lvl>
    <w:lvl w:ilvl="5">
      <w:start w:val="0"/>
      <w:numFmt w:val="bullet"/>
      <w:lvlText w:val="•"/>
      <w:lvlJc w:val="left"/>
      <w:pPr>
        <w:ind w:left="2849" w:hanging="361"/>
      </w:pPr>
      <w:rPr>
        <w:rFonts w:hint="default"/>
      </w:rPr>
    </w:lvl>
    <w:lvl w:ilvl="6">
      <w:start w:val="0"/>
      <w:numFmt w:val="bullet"/>
      <w:lvlText w:val="•"/>
      <w:lvlJc w:val="left"/>
      <w:pPr>
        <w:ind w:left="3357" w:hanging="361"/>
      </w:pPr>
      <w:rPr>
        <w:rFonts w:hint="default"/>
      </w:rPr>
    </w:lvl>
    <w:lvl w:ilvl="7">
      <w:start w:val="0"/>
      <w:numFmt w:val="bullet"/>
      <w:lvlText w:val="•"/>
      <w:lvlJc w:val="left"/>
      <w:pPr>
        <w:ind w:left="3864" w:hanging="361"/>
      </w:pPr>
      <w:rPr>
        <w:rFonts w:hint="default"/>
      </w:rPr>
    </w:lvl>
    <w:lvl w:ilvl="8">
      <w:start w:val="0"/>
      <w:numFmt w:val="bullet"/>
      <w:lvlText w:val="•"/>
      <w:lvlJc w:val="left"/>
      <w:pPr>
        <w:ind w:left="4372" w:hanging="361"/>
      </w:pPr>
      <w:rPr>
        <w:rFonts w:hint="default"/>
      </w:rPr>
    </w:lvl>
  </w:abstractNum>
  <w:abstractNum w:abstractNumId="3">
    <w:multiLevelType w:val="hybridMultilevel"/>
    <w:lvl w:ilvl="0">
      <w:start w:val="2"/>
      <w:numFmt w:val="decimal"/>
      <w:lvlText w:val="%1."/>
      <w:lvlJc w:val="left"/>
      <w:pPr>
        <w:ind w:left="468" w:hanging="361"/>
        <w:jc w:val="left"/>
      </w:pPr>
      <w:rPr>
        <w:rFonts w:hint="default" w:ascii="Arial" w:hAnsi="Arial" w:eastAsia="Arial" w:cs="Arial"/>
        <w:b/>
        <w:bCs/>
        <w:w w:val="100"/>
        <w:sz w:val="20"/>
        <w:szCs w:val="20"/>
      </w:rPr>
    </w:lvl>
    <w:lvl w:ilvl="1">
      <w:start w:val="1"/>
      <w:numFmt w:val="lowerLetter"/>
      <w:lvlText w:val="%2."/>
      <w:lvlJc w:val="left"/>
      <w:pPr>
        <w:ind w:left="828" w:hanging="361"/>
        <w:jc w:val="left"/>
      </w:pPr>
      <w:rPr>
        <w:rFonts w:hint="default" w:ascii="Arial" w:hAnsi="Arial" w:eastAsia="Arial" w:cs="Arial"/>
        <w:w w:val="100"/>
        <w:sz w:val="20"/>
        <w:szCs w:val="20"/>
      </w:rPr>
    </w:lvl>
    <w:lvl w:ilvl="2">
      <w:start w:val="0"/>
      <w:numFmt w:val="bullet"/>
      <w:lvlText w:val="•"/>
      <w:lvlJc w:val="left"/>
      <w:pPr>
        <w:ind w:left="1327" w:hanging="361"/>
      </w:pPr>
      <w:rPr>
        <w:rFonts w:hint="default"/>
      </w:rPr>
    </w:lvl>
    <w:lvl w:ilvl="3">
      <w:start w:val="0"/>
      <w:numFmt w:val="bullet"/>
      <w:lvlText w:val="•"/>
      <w:lvlJc w:val="left"/>
      <w:pPr>
        <w:ind w:left="1834" w:hanging="361"/>
      </w:pPr>
      <w:rPr>
        <w:rFonts w:hint="default"/>
      </w:rPr>
    </w:lvl>
    <w:lvl w:ilvl="4">
      <w:start w:val="0"/>
      <w:numFmt w:val="bullet"/>
      <w:lvlText w:val="•"/>
      <w:lvlJc w:val="left"/>
      <w:pPr>
        <w:ind w:left="2342" w:hanging="361"/>
      </w:pPr>
      <w:rPr>
        <w:rFonts w:hint="default"/>
      </w:rPr>
    </w:lvl>
    <w:lvl w:ilvl="5">
      <w:start w:val="0"/>
      <w:numFmt w:val="bullet"/>
      <w:lvlText w:val="•"/>
      <w:lvlJc w:val="left"/>
      <w:pPr>
        <w:ind w:left="2849" w:hanging="361"/>
      </w:pPr>
      <w:rPr>
        <w:rFonts w:hint="default"/>
      </w:rPr>
    </w:lvl>
    <w:lvl w:ilvl="6">
      <w:start w:val="0"/>
      <w:numFmt w:val="bullet"/>
      <w:lvlText w:val="•"/>
      <w:lvlJc w:val="left"/>
      <w:pPr>
        <w:ind w:left="3357" w:hanging="361"/>
      </w:pPr>
      <w:rPr>
        <w:rFonts w:hint="default"/>
      </w:rPr>
    </w:lvl>
    <w:lvl w:ilvl="7">
      <w:start w:val="0"/>
      <w:numFmt w:val="bullet"/>
      <w:lvlText w:val="•"/>
      <w:lvlJc w:val="left"/>
      <w:pPr>
        <w:ind w:left="3864" w:hanging="361"/>
      </w:pPr>
      <w:rPr>
        <w:rFonts w:hint="default"/>
      </w:rPr>
    </w:lvl>
    <w:lvl w:ilvl="8">
      <w:start w:val="0"/>
      <w:numFmt w:val="bullet"/>
      <w:lvlText w:val="•"/>
      <w:lvlJc w:val="left"/>
      <w:pPr>
        <w:ind w:left="4372" w:hanging="361"/>
      </w:pPr>
      <w:rPr>
        <w:rFonts w:hint="default"/>
      </w:rPr>
    </w:lvl>
  </w:abstractNum>
  <w:abstractNum w:abstractNumId="2">
    <w:multiLevelType w:val="hybridMultilevel"/>
    <w:lvl w:ilvl="0">
      <w:start w:val="1"/>
      <w:numFmt w:val="decimal"/>
      <w:lvlText w:val="%1."/>
      <w:lvlJc w:val="left"/>
      <w:pPr>
        <w:ind w:left="463" w:hanging="361"/>
        <w:jc w:val="left"/>
      </w:pPr>
      <w:rPr>
        <w:rFonts w:hint="default" w:ascii="Arial" w:hAnsi="Arial" w:eastAsia="Arial" w:cs="Arial"/>
        <w:b/>
        <w:bCs/>
        <w:spacing w:val="-1"/>
        <w:w w:val="100"/>
        <w:sz w:val="20"/>
        <w:szCs w:val="20"/>
      </w:rPr>
    </w:lvl>
    <w:lvl w:ilvl="1">
      <w:start w:val="1"/>
      <w:numFmt w:val="lowerLetter"/>
      <w:lvlText w:val="%2."/>
      <w:lvlJc w:val="left"/>
      <w:pPr>
        <w:ind w:left="837" w:hanging="333"/>
        <w:jc w:val="left"/>
      </w:pPr>
      <w:rPr>
        <w:rFonts w:hint="default" w:ascii="Arial" w:hAnsi="Arial" w:eastAsia="Arial" w:cs="Arial"/>
        <w:spacing w:val="-1"/>
        <w:w w:val="100"/>
        <w:sz w:val="20"/>
        <w:szCs w:val="20"/>
      </w:rPr>
    </w:lvl>
    <w:lvl w:ilvl="2">
      <w:start w:val="0"/>
      <w:numFmt w:val="bullet"/>
      <w:lvlText w:val="•"/>
      <w:lvlJc w:val="left"/>
      <w:pPr>
        <w:ind w:left="1720" w:hanging="333"/>
      </w:pPr>
      <w:rPr>
        <w:rFonts w:hint="default"/>
      </w:rPr>
    </w:lvl>
    <w:lvl w:ilvl="3">
      <w:start w:val="0"/>
      <w:numFmt w:val="bullet"/>
      <w:lvlText w:val="•"/>
      <w:lvlJc w:val="left"/>
      <w:pPr>
        <w:ind w:left="2167" w:hanging="333"/>
      </w:pPr>
      <w:rPr>
        <w:rFonts w:hint="default"/>
      </w:rPr>
    </w:lvl>
    <w:lvl w:ilvl="4">
      <w:start w:val="0"/>
      <w:numFmt w:val="bullet"/>
      <w:lvlText w:val="•"/>
      <w:lvlJc w:val="left"/>
      <w:pPr>
        <w:ind w:left="2614" w:hanging="333"/>
      </w:pPr>
      <w:rPr>
        <w:rFonts w:hint="default"/>
      </w:rPr>
    </w:lvl>
    <w:lvl w:ilvl="5">
      <w:start w:val="0"/>
      <w:numFmt w:val="bullet"/>
      <w:lvlText w:val="•"/>
      <w:lvlJc w:val="left"/>
      <w:pPr>
        <w:ind w:left="3061" w:hanging="333"/>
      </w:pPr>
      <w:rPr>
        <w:rFonts w:hint="default"/>
      </w:rPr>
    </w:lvl>
    <w:lvl w:ilvl="6">
      <w:start w:val="0"/>
      <w:numFmt w:val="bullet"/>
      <w:lvlText w:val="•"/>
      <w:lvlJc w:val="left"/>
      <w:pPr>
        <w:ind w:left="3509" w:hanging="333"/>
      </w:pPr>
      <w:rPr>
        <w:rFonts w:hint="default"/>
      </w:rPr>
    </w:lvl>
    <w:lvl w:ilvl="7">
      <w:start w:val="0"/>
      <w:numFmt w:val="bullet"/>
      <w:lvlText w:val="•"/>
      <w:lvlJc w:val="left"/>
      <w:pPr>
        <w:ind w:left="3956" w:hanging="333"/>
      </w:pPr>
      <w:rPr>
        <w:rFonts w:hint="default"/>
      </w:rPr>
    </w:lvl>
    <w:lvl w:ilvl="8">
      <w:start w:val="0"/>
      <w:numFmt w:val="bullet"/>
      <w:lvlText w:val="•"/>
      <w:lvlJc w:val="left"/>
      <w:pPr>
        <w:ind w:left="4403" w:hanging="333"/>
      </w:pPr>
      <w:rPr>
        <w:rFonts w:hint="default"/>
      </w:rPr>
    </w:lvl>
  </w:abstractNum>
  <w:abstractNum w:abstractNumId="1">
    <w:multiLevelType w:val="hybridMultilevel"/>
    <w:lvl w:ilvl="0">
      <w:start w:val="0"/>
      <w:numFmt w:val="bullet"/>
      <w:lvlText w:val=""/>
      <w:lvlJc w:val="left"/>
      <w:pPr>
        <w:ind w:left="359" w:hanging="252"/>
      </w:pPr>
      <w:rPr>
        <w:rFonts w:hint="default" w:ascii="Symbol" w:hAnsi="Symbol" w:eastAsia="Symbol" w:cs="Symbol"/>
        <w:w w:val="100"/>
        <w:sz w:val="18"/>
        <w:szCs w:val="18"/>
      </w:rPr>
    </w:lvl>
    <w:lvl w:ilvl="1">
      <w:start w:val="0"/>
      <w:numFmt w:val="bullet"/>
      <w:lvlText w:val="•"/>
      <w:lvlJc w:val="left"/>
      <w:pPr>
        <w:ind w:left="832" w:hanging="252"/>
      </w:pPr>
      <w:rPr>
        <w:rFonts w:hint="default"/>
      </w:rPr>
    </w:lvl>
    <w:lvl w:ilvl="2">
      <w:start w:val="0"/>
      <w:numFmt w:val="bullet"/>
      <w:lvlText w:val="•"/>
      <w:lvlJc w:val="left"/>
      <w:pPr>
        <w:ind w:left="1305" w:hanging="252"/>
      </w:pPr>
      <w:rPr>
        <w:rFonts w:hint="default"/>
      </w:rPr>
    </w:lvl>
    <w:lvl w:ilvl="3">
      <w:start w:val="0"/>
      <w:numFmt w:val="bullet"/>
      <w:lvlText w:val="•"/>
      <w:lvlJc w:val="left"/>
      <w:pPr>
        <w:ind w:left="1778" w:hanging="252"/>
      </w:pPr>
      <w:rPr>
        <w:rFonts w:hint="default"/>
      </w:rPr>
    </w:lvl>
    <w:lvl w:ilvl="4">
      <w:start w:val="0"/>
      <w:numFmt w:val="bullet"/>
      <w:lvlText w:val="•"/>
      <w:lvlJc w:val="left"/>
      <w:pPr>
        <w:ind w:left="2251" w:hanging="252"/>
      </w:pPr>
      <w:rPr>
        <w:rFonts w:hint="default"/>
      </w:rPr>
    </w:lvl>
    <w:lvl w:ilvl="5">
      <w:start w:val="0"/>
      <w:numFmt w:val="bullet"/>
      <w:lvlText w:val="•"/>
      <w:lvlJc w:val="left"/>
      <w:pPr>
        <w:ind w:left="2724" w:hanging="252"/>
      </w:pPr>
      <w:rPr>
        <w:rFonts w:hint="default"/>
      </w:rPr>
    </w:lvl>
    <w:lvl w:ilvl="6">
      <w:start w:val="0"/>
      <w:numFmt w:val="bullet"/>
      <w:lvlText w:val="•"/>
      <w:lvlJc w:val="left"/>
      <w:pPr>
        <w:ind w:left="3197" w:hanging="252"/>
      </w:pPr>
      <w:rPr>
        <w:rFonts w:hint="default"/>
      </w:rPr>
    </w:lvl>
    <w:lvl w:ilvl="7">
      <w:start w:val="0"/>
      <w:numFmt w:val="bullet"/>
      <w:lvlText w:val="•"/>
      <w:lvlJc w:val="left"/>
      <w:pPr>
        <w:ind w:left="3670" w:hanging="252"/>
      </w:pPr>
      <w:rPr>
        <w:rFonts w:hint="default"/>
      </w:rPr>
    </w:lvl>
    <w:lvl w:ilvl="8">
      <w:start w:val="0"/>
      <w:numFmt w:val="bullet"/>
      <w:lvlText w:val="•"/>
      <w:lvlJc w:val="left"/>
      <w:pPr>
        <w:ind w:left="4143" w:hanging="252"/>
      </w:pPr>
      <w:rPr>
        <w:rFonts w:hint="default"/>
      </w:rPr>
    </w:lvl>
  </w:abstractNum>
  <w:abstractNum w:abstractNumId="0">
    <w:multiLevelType w:val="hybridMultilevel"/>
    <w:lvl w:ilvl="0">
      <w:start w:val="0"/>
      <w:numFmt w:val="bullet"/>
      <w:lvlText w:val="•"/>
      <w:lvlJc w:val="left"/>
      <w:pPr>
        <w:ind w:left="1900" w:hanging="150"/>
      </w:pPr>
      <w:rPr>
        <w:rFonts w:hint="default" w:ascii="Arial Black" w:hAnsi="Arial Black" w:eastAsia="Arial Black" w:cs="Arial Black"/>
        <w:b/>
        <w:bCs/>
        <w:w w:val="100"/>
        <w:sz w:val="18"/>
        <w:szCs w:val="18"/>
      </w:rPr>
    </w:lvl>
    <w:lvl w:ilvl="1">
      <w:start w:val="0"/>
      <w:numFmt w:val="bullet"/>
      <w:lvlText w:val="•"/>
      <w:lvlJc w:val="left"/>
      <w:pPr>
        <w:ind w:left="2772" w:hanging="150"/>
      </w:pPr>
      <w:rPr>
        <w:rFonts w:hint="default"/>
      </w:rPr>
    </w:lvl>
    <w:lvl w:ilvl="2">
      <w:start w:val="0"/>
      <w:numFmt w:val="bullet"/>
      <w:lvlText w:val="•"/>
      <w:lvlJc w:val="left"/>
      <w:pPr>
        <w:ind w:left="3644" w:hanging="150"/>
      </w:pPr>
      <w:rPr>
        <w:rFonts w:hint="default"/>
      </w:rPr>
    </w:lvl>
    <w:lvl w:ilvl="3">
      <w:start w:val="0"/>
      <w:numFmt w:val="bullet"/>
      <w:lvlText w:val="•"/>
      <w:lvlJc w:val="left"/>
      <w:pPr>
        <w:ind w:left="4516" w:hanging="150"/>
      </w:pPr>
      <w:rPr>
        <w:rFonts w:hint="default"/>
      </w:rPr>
    </w:lvl>
    <w:lvl w:ilvl="4">
      <w:start w:val="0"/>
      <w:numFmt w:val="bullet"/>
      <w:lvlText w:val="•"/>
      <w:lvlJc w:val="left"/>
      <w:pPr>
        <w:ind w:left="5388" w:hanging="150"/>
      </w:pPr>
      <w:rPr>
        <w:rFonts w:hint="default"/>
      </w:rPr>
    </w:lvl>
    <w:lvl w:ilvl="5">
      <w:start w:val="0"/>
      <w:numFmt w:val="bullet"/>
      <w:lvlText w:val="•"/>
      <w:lvlJc w:val="left"/>
      <w:pPr>
        <w:ind w:left="6260" w:hanging="150"/>
      </w:pPr>
      <w:rPr>
        <w:rFonts w:hint="default"/>
      </w:rPr>
    </w:lvl>
    <w:lvl w:ilvl="6">
      <w:start w:val="0"/>
      <w:numFmt w:val="bullet"/>
      <w:lvlText w:val="•"/>
      <w:lvlJc w:val="left"/>
      <w:pPr>
        <w:ind w:left="7132" w:hanging="150"/>
      </w:pPr>
      <w:rPr>
        <w:rFonts w:hint="default"/>
      </w:rPr>
    </w:lvl>
    <w:lvl w:ilvl="7">
      <w:start w:val="0"/>
      <w:numFmt w:val="bullet"/>
      <w:lvlText w:val="•"/>
      <w:lvlJc w:val="left"/>
      <w:pPr>
        <w:ind w:left="8004" w:hanging="150"/>
      </w:pPr>
      <w:rPr>
        <w:rFonts w:hint="default"/>
      </w:rPr>
    </w:lvl>
    <w:lvl w:ilvl="8">
      <w:start w:val="0"/>
      <w:numFmt w:val="bullet"/>
      <w:lvlText w:val="•"/>
      <w:lvlJc w:val="left"/>
      <w:pPr>
        <w:ind w:left="8876" w:hanging="150"/>
      </w:pPr>
      <w:rPr>
        <w:rFonts w:hint="default"/>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1"/>
      <w:szCs w:val="21"/>
    </w:rPr>
  </w:style>
  <w:style w:styleId="ListParagraph" w:type="paragraph">
    <w:name w:val="List Paragraph"/>
    <w:basedOn w:val="Normal"/>
    <w:uiPriority w:val="1"/>
    <w:qFormat/>
    <w:pPr/>
    <w:rPr/>
  </w:style>
  <w:style w:styleId="TableParagraph" w:type="paragraph">
    <w:name w:val="Table Paragraph"/>
    <w:basedOn w:val="Normal"/>
    <w:uiPriority w:val="1"/>
    <w:qFormat/>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mass.gov/masshealth/pharmacy"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EHS</dc:creator>
  <dcterms:created xsi:type="dcterms:W3CDTF">2017-11-24T18:35:25Z</dcterms:created>
  <dcterms:modified xsi:type="dcterms:W3CDTF">2017-11-24T18:35:25Z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2009-10-30T00:00:00Z</vt:filetime>
  </property>
  <property fmtid="{D5CDD505-2E9C-101B-9397-08002B2CF9AE}" pid="3" name="Creator">
    <vt:lpwstr>Acrobat PDFMaker 8.1 for Word</vt:lpwstr>
  </property>
  <property fmtid="{D5CDD505-2E9C-101B-9397-08002B2CF9AE}" pid="4" name="LastSaved">
    <vt:filetime>2017-11-24T00:00:00Z</vt:filetime>
  </property>
</Properties>
</file>