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864" w:right="1621" w:firstLine="0"/>
        <w:jc w:val="center"/>
        <w:rPr>
          <w:rFonts w:ascii="Arial Narrow"/>
          <w:sz w:val="18"/>
        </w:rPr>
      </w:pPr>
      <w:r>
        <w:rPr/>
        <w:pict>
          <v:group style="position:absolute;margin-left:41.279999pt;margin-top:-105.210442pt;width:542.4pt;height:107.85pt;mso-position-horizontal-relative:page;mso-position-vertical-relative:paragraph;z-index:-3208"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497;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55</w:t>
                    </w:r>
                  </w:p>
                  <w:p>
                    <w:pPr>
                      <w:spacing w:before="44"/>
                      <w:ind w:left="0" w:right="0" w:firstLine="0"/>
                      <w:jc w:val="left"/>
                      <w:rPr>
                        <w:rFonts w:ascii="Arial Narrow"/>
                        <w:b/>
                        <w:sz w:val="20"/>
                      </w:rPr>
                    </w:pPr>
                    <w:r>
                      <w:rPr>
                        <w:rFonts w:ascii="Arial Narrow"/>
                        <w:b/>
                        <w:sz w:val="20"/>
                      </w:rPr>
                      <w:t>December 28, 2009</w:t>
                    </w:r>
                  </w:p>
                </w:txbxContent>
              </v:textbox>
              <w10:wrap type="none"/>
            </v:shape>
            <w10:wrap type="none"/>
          </v:group>
        </w:pict>
      </w:r>
      <w:hyperlink r:id="rId6">
        <w:r>
          <w:rPr>
            <w:rFonts w:ascii="Arial Narrow"/>
            <w:sz w:val="18"/>
          </w:rPr>
          <w:t>www.mass.gov/masshealth/pharmacy</w:t>
        </w:r>
      </w:hyperlink>
    </w:p>
    <w:tbl>
      <w:tblPr>
        <w:tblW w:w="0" w:type="auto"/>
        <w:jc w:val="lef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
        <w:gridCol w:w="5202"/>
        <w:gridCol w:w="5303"/>
        <w:gridCol w:w="475"/>
      </w:tblGrid>
      <w:tr>
        <w:trPr>
          <w:trHeight w:val="303" w:hRule="atLeast"/>
        </w:trPr>
        <w:tc>
          <w:tcPr>
            <w:tcW w:w="10613" w:type="dxa"/>
            <w:gridSpan w:val="3"/>
            <w:tcBorders>
              <w:top w:val="single" w:sz="8" w:space="0" w:color="000000"/>
              <w:bottom w:val="single" w:sz="8" w:space="0" w:color="000000"/>
            </w:tcBorders>
          </w:tcPr>
          <w:p>
            <w:pPr>
              <w:pStyle w:val="TableParagraph"/>
              <w:numPr>
                <w:ilvl w:val="0"/>
                <w:numId w:val="1"/>
              </w:numPr>
              <w:tabs>
                <w:tab w:pos="1816" w:val="left" w:leader="none"/>
              </w:tabs>
              <w:spacing w:line="240" w:lineRule="auto" w:before="0" w:after="0"/>
              <w:ind w:left="1815"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tc>
        <w:tc>
          <w:tcPr>
            <w:tcW w:w="475" w:type="dxa"/>
          </w:tcPr>
          <w:p>
            <w:pPr>
              <w:pStyle w:val="TableParagraph"/>
              <w:rPr>
                <w:rFonts w:ascii="Times New Roman"/>
                <w:sz w:val="20"/>
              </w:rPr>
            </w:pPr>
          </w:p>
        </w:tc>
      </w:tr>
      <w:tr>
        <w:trPr>
          <w:trHeight w:val="11899" w:hRule="atLeast"/>
        </w:trPr>
        <w:tc>
          <w:tcPr>
            <w:tcW w:w="108" w:type="dxa"/>
            <w:tcBorders>
              <w:top w:val="single" w:sz="8" w:space="0" w:color="000000"/>
            </w:tcBorders>
          </w:tcPr>
          <w:p>
            <w:pPr>
              <w:pStyle w:val="TableParagraph"/>
              <w:rPr>
                <w:rFonts w:ascii="Times New Roman"/>
                <w:sz w:val="20"/>
              </w:rPr>
            </w:pPr>
          </w:p>
        </w:tc>
        <w:tc>
          <w:tcPr>
            <w:tcW w:w="5202" w:type="dxa"/>
            <w:tcBorders>
              <w:top w:val="single" w:sz="8" w:space="0" w:color="000000"/>
              <w:bottom w:val="single" w:sz="6" w:space="0" w:color="000000"/>
              <w:right w:val="single" w:sz="4" w:space="0" w:color="000000"/>
            </w:tcBorders>
          </w:tcPr>
          <w:p>
            <w:pPr>
              <w:pStyle w:val="TableParagraph"/>
              <w:spacing w:line="288" w:lineRule="auto" w:before="199"/>
              <w:ind w:right="1070"/>
              <w:rPr>
                <w:rFonts w:ascii="Arial Black"/>
                <w:b/>
                <w:sz w:val="22"/>
              </w:rPr>
            </w:pPr>
            <w:r>
              <w:rPr>
                <w:rFonts w:ascii="Arial Black"/>
                <w:b/>
                <w:sz w:val="22"/>
              </w:rPr>
              <w:t>Medicare Part D Prescription Drug Coverage Update</w:t>
            </w:r>
          </w:p>
          <w:p>
            <w:pPr>
              <w:pStyle w:val="TableParagraph"/>
              <w:spacing w:line="290" w:lineRule="auto" w:before="132"/>
              <w:ind w:left="-1" w:right="299"/>
              <w:rPr>
                <w:sz w:val="21"/>
              </w:rPr>
            </w:pPr>
            <w:r>
              <w:rPr>
                <w:sz w:val="21"/>
              </w:rPr>
              <w:t>MassHealth continues to provide assistance with Medicare Part D prescription drug plan copayments. Member copayments must not be greater than the standard MassHealth copayment. The maximum amount that a Part D plan is currently permitted to charge a dually eligible member is $6.00. Effective January 1, 2010, this maximum amount will increase to $6.30.</w:t>
            </w:r>
          </w:p>
          <w:p>
            <w:pPr>
              <w:pStyle w:val="TableParagraph"/>
              <w:spacing w:line="285" w:lineRule="auto" w:before="148"/>
              <w:ind w:right="923"/>
              <w:rPr>
                <w:rFonts w:ascii="Arial Black"/>
                <w:b/>
                <w:sz w:val="22"/>
              </w:rPr>
            </w:pPr>
            <w:r>
              <w:rPr>
                <w:rFonts w:ascii="Arial Black"/>
                <w:b/>
                <w:sz w:val="22"/>
              </w:rPr>
              <w:t>Wellpoint Point-of-Sale Facilitated Enrollment Process to Be Replaced</w:t>
            </w:r>
          </w:p>
          <w:p>
            <w:pPr>
              <w:pStyle w:val="TableParagraph"/>
              <w:spacing w:line="290" w:lineRule="auto" w:before="137"/>
              <w:ind w:left="-1" w:right="197"/>
              <w:rPr>
                <w:sz w:val="21"/>
              </w:rPr>
            </w:pPr>
            <w:r>
              <w:rPr>
                <w:sz w:val="21"/>
              </w:rPr>
              <w:t>Effective January 1, 2010, the Centers for Medicare &amp; Medicaid Services (CMS) will replace the Wellpoint Point-of-Sale Facilitated Enrollment process with a new Medicare Limited Income Newly Eligible Transition (LI NET) program. LI NET will be administered by Humana.</w:t>
            </w:r>
          </w:p>
          <w:p>
            <w:pPr>
              <w:pStyle w:val="TableParagraph"/>
              <w:spacing w:line="290" w:lineRule="auto" w:before="121"/>
              <w:ind w:left="-1" w:right="139"/>
              <w:rPr>
                <w:sz w:val="21"/>
              </w:rPr>
            </w:pPr>
            <w:r>
              <w:rPr>
                <w:sz w:val="21"/>
              </w:rPr>
              <w:t>According to Humana’s Web site, this program allows MassHealth members with Medicare (dual-eligibles) to receive immediate need coverage at the point-of-sale if they are not already enrolled in a Part D</w:t>
            </w:r>
            <w:r>
              <w:rPr>
                <w:spacing w:val="-13"/>
                <w:sz w:val="21"/>
              </w:rPr>
              <w:t> </w:t>
            </w:r>
            <w:r>
              <w:rPr>
                <w:sz w:val="21"/>
              </w:rPr>
              <w:t>plan.</w:t>
            </w:r>
          </w:p>
          <w:p>
            <w:pPr>
              <w:pStyle w:val="TableParagraph"/>
              <w:spacing w:line="290" w:lineRule="auto"/>
              <w:ind w:left="-1" w:right="234"/>
              <w:rPr>
                <w:sz w:val="21"/>
              </w:rPr>
            </w:pPr>
            <w:r>
              <w:rPr>
                <w:sz w:val="21"/>
              </w:rPr>
              <w:t>Additionally, CMS will temporarily enroll all newly identified dual-eligibles into LI NET (contract number X0001). This allows for a smoother transition as CMS auto-enrolls them into standard Medicare prescription drug plans. Pharmacists will find a detailed payer sheet, FAQs, and a tip sheet at </w:t>
            </w:r>
            <w:hyperlink r:id="rId7">
              <w:r>
                <w:rPr>
                  <w:color w:val="0000FF"/>
                  <w:sz w:val="21"/>
                  <w:u w:val="single" w:color="0000FF"/>
                </w:rPr>
                <w:t>www.humana.com/pharmacists/resources/li_net.asp</w:t>
              </w:r>
            </w:hyperlink>
            <w:r>
              <w:rPr>
                <w:sz w:val="21"/>
              </w:rPr>
              <w:t>.</w:t>
            </w:r>
          </w:p>
          <w:p>
            <w:pPr>
              <w:pStyle w:val="TableParagraph"/>
              <w:spacing w:line="290" w:lineRule="auto" w:before="120"/>
              <w:ind w:left="-1" w:right="244"/>
              <w:rPr>
                <w:sz w:val="21"/>
              </w:rPr>
            </w:pPr>
            <w:r>
              <w:rPr>
                <w:i/>
                <w:sz w:val="21"/>
              </w:rPr>
              <w:t>Please review this information </w:t>
            </w:r>
            <w:r>
              <w:rPr>
                <w:sz w:val="21"/>
              </w:rPr>
              <w:t>to assist dual-eligible MassHealth members that are now eligible to receive Medicare-D drug coverage, but have yet to enroll in a specific Medicare-D plan.</w:t>
            </w:r>
          </w:p>
          <w:p>
            <w:pPr>
              <w:pStyle w:val="TableParagraph"/>
              <w:spacing w:line="290" w:lineRule="auto" w:before="121"/>
              <w:ind w:left="-1" w:right="269"/>
              <w:rPr>
                <w:sz w:val="21"/>
              </w:rPr>
            </w:pPr>
            <w:r>
              <w:rPr>
                <w:sz w:val="21"/>
              </w:rPr>
              <w:t>MassHealth pays for a one-time 72-hour supply if the pharmacy is unable to bill a Part D plan or the LI NET program. After unsuccessfully attempting to</w:t>
            </w:r>
            <w:r>
              <w:rPr>
                <w:spacing w:val="-18"/>
                <w:sz w:val="21"/>
              </w:rPr>
              <w:t> </w:t>
            </w:r>
            <w:r>
              <w:rPr>
                <w:sz w:val="21"/>
              </w:rPr>
              <w:t>bill</w:t>
            </w:r>
          </w:p>
        </w:tc>
        <w:tc>
          <w:tcPr>
            <w:tcW w:w="5303" w:type="dxa"/>
            <w:tcBorders>
              <w:top w:val="single" w:sz="8" w:space="0" w:color="000000"/>
              <w:left w:val="single" w:sz="4" w:space="0" w:color="000000"/>
              <w:bottom w:val="single" w:sz="6" w:space="0" w:color="000000"/>
            </w:tcBorders>
          </w:tcPr>
          <w:p>
            <w:pPr>
              <w:pStyle w:val="TableParagraph"/>
              <w:spacing w:before="2"/>
              <w:rPr>
                <w:rFonts w:ascii="Arial Narrow"/>
                <w:sz w:val="19"/>
              </w:rPr>
            </w:pPr>
          </w:p>
          <w:p>
            <w:pPr>
              <w:pStyle w:val="TableParagraph"/>
              <w:spacing w:line="288" w:lineRule="auto"/>
              <w:ind w:left="102" w:right="192"/>
              <w:rPr>
                <w:sz w:val="21"/>
              </w:rPr>
            </w:pPr>
            <w:r>
              <w:rPr>
                <w:sz w:val="21"/>
              </w:rPr>
              <w:t>the member’s Part D plan and the LI NET program, pharmacists should override a denied claim using the standard NCPDP other payer reject codes. A level-of- service code of “03” must also be entered on the claim.</w:t>
            </w:r>
          </w:p>
          <w:p>
            <w:pPr>
              <w:pStyle w:val="TableParagraph"/>
              <w:spacing w:before="4"/>
              <w:rPr>
                <w:rFonts w:ascii="Arial Narrow"/>
                <w:sz w:val="17"/>
              </w:rPr>
            </w:pPr>
          </w:p>
          <w:p>
            <w:pPr>
              <w:pStyle w:val="TableParagraph"/>
              <w:ind w:left="102"/>
              <w:rPr>
                <w:rFonts w:ascii="Arial Black"/>
                <w:b/>
                <w:sz w:val="22"/>
              </w:rPr>
            </w:pPr>
            <w:r>
              <w:rPr>
                <w:rFonts w:ascii="Arial Black"/>
                <w:b/>
                <w:sz w:val="22"/>
              </w:rPr>
              <w:t>Early Refill Denials</w:t>
            </w:r>
          </w:p>
          <w:p>
            <w:pPr>
              <w:pStyle w:val="TableParagraph"/>
              <w:spacing w:line="290" w:lineRule="auto" w:before="195"/>
              <w:ind w:left="102" w:right="168"/>
              <w:rPr>
                <w:sz w:val="21"/>
              </w:rPr>
            </w:pPr>
            <w:r>
              <w:rPr>
                <w:sz w:val="21"/>
              </w:rPr>
              <w:t>Effective January 4, 2010, when MassHealth denies a claim for an early refill, a message will be returned notifying the pharmacist of the earliest date that the next fill will be allowed. For drugs in Schedules III-VI, MassHealth will not allow a refill until the date where 80% of the current supply, as measured from the date of the most recent refill, should have been consumed. For Schedule II controlled substances, the early refill threshold will remain unchanged at 85% of current supply.</w:t>
            </w:r>
          </w:p>
          <w:p>
            <w:pPr>
              <w:pStyle w:val="TableParagraph"/>
              <w:spacing w:before="145"/>
              <w:ind w:left="102"/>
              <w:rPr>
                <w:rFonts w:ascii="Arial Black"/>
                <w:b/>
                <w:sz w:val="22"/>
              </w:rPr>
            </w:pPr>
            <w:r>
              <w:rPr>
                <w:rFonts w:ascii="Arial Black"/>
                <w:b/>
                <w:sz w:val="22"/>
              </w:rPr>
              <w:t>Prescriber NPI</w:t>
            </w:r>
          </w:p>
          <w:p>
            <w:pPr>
              <w:pStyle w:val="TableParagraph"/>
              <w:spacing w:line="290" w:lineRule="auto" w:before="195"/>
              <w:ind w:left="102" w:right="180"/>
              <w:rPr>
                <w:sz w:val="21"/>
              </w:rPr>
            </w:pPr>
            <w:r>
              <w:rPr>
                <w:sz w:val="21"/>
              </w:rPr>
              <w:t>It is extremely important that you submit only the NPI of the individual prescriber issuing the prescription. When entering a prescriber NPI on a claim, never use an organizational NPI.</w:t>
            </w:r>
          </w:p>
          <w:p>
            <w:pPr>
              <w:pStyle w:val="TableParagraph"/>
              <w:spacing w:before="147"/>
              <w:ind w:left="102"/>
              <w:rPr>
                <w:rFonts w:ascii="Arial Black"/>
                <w:b/>
                <w:sz w:val="22"/>
              </w:rPr>
            </w:pPr>
            <w:r>
              <w:rPr>
                <w:rFonts w:ascii="Arial Black"/>
                <w:b/>
                <w:sz w:val="22"/>
              </w:rPr>
              <w:t>Pharmacy Facts on the Web</w:t>
            </w:r>
          </w:p>
          <w:p>
            <w:pPr>
              <w:pStyle w:val="TableParagraph"/>
              <w:spacing w:line="290" w:lineRule="auto" w:before="194"/>
              <w:ind w:left="102" w:right="126"/>
              <w:rPr>
                <w:sz w:val="21"/>
              </w:rPr>
            </w:pPr>
            <w:r>
              <w:rPr>
                <w:sz w:val="21"/>
              </w:rPr>
              <w:t>Previous editions of Pharmacy Facts can be found on the MassHealth Pharmacy Program home page. Go to </w:t>
            </w:r>
            <w:hyperlink r:id="rId6">
              <w:r>
                <w:rPr>
                  <w:color w:val="0000FF"/>
                  <w:sz w:val="21"/>
                  <w:u w:val="single" w:color="0000FF"/>
                </w:rPr>
                <w:t>www.mass.gov/masshealth/pharmacy</w:t>
              </w:r>
              <w:r>
                <w:rPr>
                  <w:color w:val="0000FF"/>
                  <w:sz w:val="21"/>
                </w:rPr>
                <w:t> </w:t>
              </w:r>
            </w:hyperlink>
            <w:r>
              <w:rPr>
                <w:sz w:val="21"/>
              </w:rPr>
              <w:t>and click the link for Pharmacy Facts. Also on this page, interested parties have an opportunity to sign up for an e-mail notification whenever a new edition of the Pharmacy Facts is posted on the MassHealth Web</w:t>
            </w:r>
            <w:r>
              <w:rPr>
                <w:spacing w:val="-9"/>
                <w:sz w:val="21"/>
              </w:rPr>
              <w:t> </w:t>
            </w:r>
            <w:r>
              <w:rPr>
                <w:sz w:val="21"/>
              </w:rPr>
              <w:t>site.</w:t>
            </w:r>
          </w:p>
        </w:tc>
        <w:tc>
          <w:tcPr>
            <w:tcW w:w="475" w:type="dxa"/>
            <w:tcBorders>
              <w:bottom w:val="single" w:sz="6" w:space="0" w:color="000000"/>
            </w:tcBorders>
          </w:tcPr>
          <w:p>
            <w:pPr>
              <w:pStyle w:val="TableParagraph"/>
              <w:rPr>
                <w:rFonts w:ascii="Times New Roman"/>
                <w:sz w:val="20"/>
              </w:rPr>
            </w:pPr>
          </w:p>
        </w:tc>
      </w:tr>
    </w:tbl>
    <w:p>
      <w:pPr>
        <w:pStyle w:val="BodyText"/>
        <w:spacing w:before="147"/>
        <w:ind w:left="1760" w:right="1621"/>
        <w:jc w:val="center"/>
      </w:pPr>
      <w:r>
        <w:rPr/>
        <w:pict>
          <v:line style="position:absolute;mso-position-horizontal-relative:page;mso-position-vertical-relative:paragraph;z-index:1072" from="48.599998pt,-1.671123pt" to="597.599998pt,-1.671123pt" stroked="true" strokeweight=".66pt" strokecolor="#000000">
            <v:stroke dashstyle="solid"/>
            <w10:wrap type="none"/>
          </v:line>
        </w:pict>
      </w:r>
      <w:r>
        <w:rPr/>
        <w:t>Please direct any questions or comments (or to be taken off of this fax distribution) to</w:t>
      </w:r>
    </w:p>
    <w:p>
      <w:pPr>
        <w:spacing w:before="0"/>
        <w:ind w:left="1759" w:right="1621" w:firstLine="0"/>
        <w:jc w:val="center"/>
        <w:rPr>
          <w:sz w:val="21"/>
        </w:rPr>
      </w:pPr>
      <w:r>
        <w:rPr>
          <w:rFonts w:ascii="Arial Black"/>
          <w:b/>
          <w:sz w:val="21"/>
        </w:rPr>
        <w:t>Victor Moquin </w:t>
      </w:r>
      <w:r>
        <w:rPr>
          <w:sz w:val="21"/>
        </w:rPr>
        <w:t>of ACS at 617-423-9830.</w:t>
      </w:r>
    </w:p>
    <w:sectPr>
      <w:type w:val="continuous"/>
      <w:pgSz w:w="12240" w:h="15840"/>
      <w:pgMar w:top="380" w:bottom="0" w:left="76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15" w:hanging="150"/>
      </w:pPr>
      <w:rPr>
        <w:rFonts w:hint="default" w:ascii="Arial Black" w:hAnsi="Arial Black" w:eastAsia="Arial Black" w:cs="Arial Black"/>
        <w:b/>
        <w:bCs/>
        <w:w w:val="100"/>
        <w:sz w:val="18"/>
        <w:szCs w:val="18"/>
        <w:lang w:val="en-us" w:eastAsia="en-us" w:bidi="en-us"/>
      </w:rPr>
    </w:lvl>
    <w:lvl w:ilvl="1">
      <w:start w:val="0"/>
      <w:numFmt w:val="bullet"/>
      <w:lvlText w:val="•"/>
      <w:lvlJc w:val="left"/>
      <w:pPr>
        <w:ind w:left="2699" w:hanging="150"/>
      </w:pPr>
      <w:rPr>
        <w:rFonts w:hint="default"/>
        <w:lang w:val="en-us" w:eastAsia="en-us" w:bidi="en-us"/>
      </w:rPr>
    </w:lvl>
    <w:lvl w:ilvl="2">
      <w:start w:val="0"/>
      <w:numFmt w:val="bullet"/>
      <w:lvlText w:val="•"/>
      <w:lvlJc w:val="left"/>
      <w:pPr>
        <w:ind w:left="3578" w:hanging="150"/>
      </w:pPr>
      <w:rPr>
        <w:rFonts w:hint="default"/>
        <w:lang w:val="en-us" w:eastAsia="en-us" w:bidi="en-us"/>
      </w:rPr>
    </w:lvl>
    <w:lvl w:ilvl="3">
      <w:start w:val="0"/>
      <w:numFmt w:val="bullet"/>
      <w:lvlText w:val="•"/>
      <w:lvlJc w:val="left"/>
      <w:pPr>
        <w:ind w:left="4457" w:hanging="150"/>
      </w:pPr>
      <w:rPr>
        <w:rFonts w:hint="default"/>
        <w:lang w:val="en-us" w:eastAsia="en-us" w:bidi="en-us"/>
      </w:rPr>
    </w:lvl>
    <w:lvl w:ilvl="4">
      <w:start w:val="0"/>
      <w:numFmt w:val="bullet"/>
      <w:lvlText w:val="•"/>
      <w:lvlJc w:val="left"/>
      <w:pPr>
        <w:ind w:left="5337" w:hanging="150"/>
      </w:pPr>
      <w:rPr>
        <w:rFonts w:hint="default"/>
        <w:lang w:val="en-us" w:eastAsia="en-us" w:bidi="en-us"/>
      </w:rPr>
    </w:lvl>
    <w:lvl w:ilvl="5">
      <w:start w:val="0"/>
      <w:numFmt w:val="bullet"/>
      <w:lvlText w:val="•"/>
      <w:lvlJc w:val="left"/>
      <w:pPr>
        <w:ind w:left="6216" w:hanging="150"/>
      </w:pPr>
      <w:rPr>
        <w:rFonts w:hint="default"/>
        <w:lang w:val="en-us" w:eastAsia="en-us" w:bidi="en-us"/>
      </w:rPr>
    </w:lvl>
    <w:lvl w:ilvl="6">
      <w:start w:val="0"/>
      <w:numFmt w:val="bullet"/>
      <w:lvlText w:val="•"/>
      <w:lvlJc w:val="left"/>
      <w:pPr>
        <w:ind w:left="7095" w:hanging="150"/>
      </w:pPr>
      <w:rPr>
        <w:rFonts w:hint="default"/>
        <w:lang w:val="en-us" w:eastAsia="en-us" w:bidi="en-us"/>
      </w:rPr>
    </w:lvl>
    <w:lvl w:ilvl="7">
      <w:start w:val="0"/>
      <w:numFmt w:val="bullet"/>
      <w:lvlText w:val="•"/>
      <w:lvlJc w:val="left"/>
      <w:pPr>
        <w:ind w:left="7975" w:hanging="150"/>
      </w:pPr>
      <w:rPr>
        <w:rFonts w:hint="default"/>
        <w:lang w:val="en-us" w:eastAsia="en-us" w:bidi="en-us"/>
      </w:rPr>
    </w:lvl>
    <w:lvl w:ilvl="8">
      <w:start w:val="0"/>
      <w:numFmt w:val="bullet"/>
      <w:lvlText w:val="•"/>
      <w:lvlJc w:val="left"/>
      <w:pPr>
        <w:ind w:left="8854" w:hanging="15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humana.com/pharmacists/resources/li_net.as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2017-11-24T18:31:55Z</dcterms:created>
  <dcterms:modified xsi:type="dcterms:W3CDTF">2017-11-24T18:31:55Z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2009-12-28T00:00:00Z</vt:filetime>
  </property>
  <property fmtid="{D5CDD505-2E9C-101B-9397-08002B2CF9AE}" pid="3" name="Creator">
    <vt:lpwstr>Acrobat PDFMaker 8.1 for Word</vt:lpwstr>
  </property>
  <property fmtid="{D5CDD505-2E9C-101B-9397-08002B2CF9AE}" pid="4" name="LastSaved">
    <vt:filetime>2017-11-24T00:00:00Z</vt:filetime>
  </property>
</Properties>
</file>