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1040" w:right="1417" w:firstLine="0"/>
        <w:jc w:val="center"/>
        <w:rPr>
          <w:rFonts w:ascii="Arial Narrow"/>
          <w:sz w:val="18"/>
        </w:rPr>
      </w:pPr>
      <w:r>
        <w:rPr/>
        <w:pict>
          <v:group style="position:absolute;margin-left:50.279999pt;margin-top:-105.210442pt;width:542.4pt;height:107.85pt;mso-position-horizontal-relative:page;mso-position-vertical-relative:paragraph;z-index:-5488" coordorigin="1006,-2104" coordsize="10848,2157">
            <v:shape style="position:absolute;left:1005;top:-2105;width:10848;height:2157" type="#_x0000_t75" stroked="false">
              <v:imagedata r:id="rId5" o:title=""/>
            </v:shape>
            <v:shapetype id="_x0000_t202" o:spt="202" coordsize="21600,21600" path="m,l,21600r21600,l21600,xe">
              <v:stroke joinstyle="miter"/>
              <v:path gradientshapeok="t" o:connecttype="rect"/>
            </v:shapetype>
            <v:shape style="position:absolute;left:1764;top:-1160;width:1406;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56</w:t>
                    </w:r>
                  </w:p>
                  <w:p>
                    <w:pPr>
                      <w:spacing w:before="44"/>
                      <w:ind w:left="0" w:right="0" w:firstLine="0"/>
                      <w:jc w:val="left"/>
                      <w:rPr>
                        <w:rFonts w:ascii="Arial Narrow"/>
                        <w:b/>
                        <w:sz w:val="20"/>
                      </w:rPr>
                    </w:pPr>
                    <w:r>
                      <w:rPr>
                        <w:rFonts w:ascii="Arial Narrow"/>
                        <w:b/>
                        <w:sz w:val="20"/>
                      </w:rPr>
                      <w:t>February 11, 2010</w:t>
                    </w:r>
                  </w:p>
                </w:txbxContent>
              </v:textbox>
              <w10:wrap type="none"/>
            </v:shape>
            <v:shape style="position:absolute;left:10340;top:-262;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
        <w:gridCol w:w="5094"/>
        <w:gridCol w:w="5303"/>
        <w:gridCol w:w="51"/>
      </w:tblGrid>
      <w:tr>
        <w:trPr>
          <w:trHeight w:val="303" w:hRule="atLeast"/>
        </w:trPr>
        <w:tc>
          <w:tcPr>
            <w:tcW w:w="173" w:type="dxa"/>
          </w:tcPr>
          <w:p>
            <w:pPr>
              <w:pStyle w:val="TableParagraph"/>
              <w:rPr>
                <w:rFonts w:ascii="Times New Roman"/>
                <w:sz w:val="18"/>
              </w:rPr>
            </w:pPr>
          </w:p>
        </w:tc>
        <w:tc>
          <w:tcPr>
            <w:tcW w:w="10397" w:type="dxa"/>
            <w:gridSpan w:val="2"/>
            <w:tcBorders>
              <w:top w:val="single" w:sz="8" w:space="0" w:color="000000"/>
              <w:bottom w:val="single" w:sz="8" w:space="0" w:color="000000"/>
            </w:tcBorders>
          </w:tcPr>
          <w:p>
            <w:pPr>
              <w:pStyle w:val="TableParagraph"/>
              <w:numPr>
                <w:ilvl w:val="0"/>
                <w:numId w:val="1"/>
              </w:numPr>
              <w:tabs>
                <w:tab w:pos="1728" w:val="left" w:leader="none"/>
              </w:tabs>
              <w:spacing w:line="240" w:lineRule="auto" w:before="0" w:after="0"/>
              <w:ind w:left="1727"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3"/>
                <w:sz w:val="18"/>
              </w:rPr>
              <w:t> </w:t>
            </w:r>
            <w:r>
              <w:rPr>
                <w:rFonts w:ascii="Arial Black" w:hAnsi="Arial Black"/>
                <w:b/>
                <w:sz w:val="18"/>
              </w:rPr>
              <w:t>•</w:t>
            </w:r>
          </w:p>
        </w:tc>
        <w:tc>
          <w:tcPr>
            <w:tcW w:w="51" w:type="dxa"/>
          </w:tcPr>
          <w:p>
            <w:pPr>
              <w:pStyle w:val="TableParagraph"/>
              <w:rPr>
                <w:rFonts w:ascii="Times New Roman"/>
                <w:sz w:val="18"/>
              </w:rPr>
            </w:pPr>
          </w:p>
        </w:tc>
      </w:tr>
      <w:tr>
        <w:trPr>
          <w:trHeight w:val="12248" w:hRule="atLeast"/>
        </w:trPr>
        <w:tc>
          <w:tcPr>
            <w:tcW w:w="173" w:type="dxa"/>
            <w:tcBorders>
              <w:bottom w:val="single" w:sz="6" w:space="0" w:color="000000"/>
            </w:tcBorders>
          </w:tcPr>
          <w:p>
            <w:pPr>
              <w:pStyle w:val="TableParagraph"/>
              <w:rPr>
                <w:rFonts w:ascii="Times New Roman"/>
                <w:sz w:val="18"/>
              </w:rPr>
            </w:pPr>
          </w:p>
        </w:tc>
        <w:tc>
          <w:tcPr>
            <w:tcW w:w="5094" w:type="dxa"/>
            <w:tcBorders>
              <w:top w:val="single" w:sz="8" w:space="0" w:color="000000"/>
              <w:bottom w:val="single" w:sz="6" w:space="0" w:color="000000"/>
              <w:right w:val="single" w:sz="4" w:space="0" w:color="000000"/>
            </w:tcBorders>
          </w:tcPr>
          <w:p>
            <w:pPr>
              <w:pStyle w:val="TableParagraph"/>
              <w:spacing w:before="199"/>
              <w:ind w:left="107"/>
              <w:rPr>
                <w:rFonts w:ascii="Arial Black"/>
                <w:b/>
                <w:sz w:val="22"/>
              </w:rPr>
            </w:pPr>
            <w:r>
              <w:rPr>
                <w:rFonts w:ascii="Arial Black"/>
                <w:b/>
                <w:sz w:val="22"/>
              </w:rPr>
              <w:t>MHDL Updates</w:t>
            </w:r>
          </w:p>
          <w:p>
            <w:pPr>
              <w:pStyle w:val="TableParagraph"/>
              <w:spacing w:before="121"/>
              <w:ind w:left="125" w:right="127" w:hanging="19"/>
              <w:rPr>
                <w:sz w:val="20"/>
              </w:rPr>
            </w:pPr>
            <w:r>
              <w:rPr>
                <w:sz w:val="20"/>
              </w:rPr>
              <w:t>Below are certain updates to the MassHealth Drug List (MHDL). See the MHDL for a complete listing of updates.</w:t>
            </w:r>
          </w:p>
          <w:p>
            <w:pPr>
              <w:pStyle w:val="TableParagraph"/>
              <w:spacing w:before="6"/>
              <w:rPr>
                <w:rFonts w:ascii="Arial Narrow"/>
                <w:sz w:val="17"/>
              </w:rPr>
            </w:pPr>
          </w:p>
          <w:p>
            <w:pPr>
              <w:pStyle w:val="TableParagraph"/>
              <w:numPr>
                <w:ilvl w:val="0"/>
                <w:numId w:val="2"/>
              </w:numPr>
              <w:tabs>
                <w:tab w:pos="469" w:val="left" w:leader="none"/>
              </w:tabs>
              <w:spacing w:line="230" w:lineRule="exact" w:before="1" w:after="0"/>
              <w:ind w:left="468" w:right="0" w:hanging="361"/>
              <w:jc w:val="left"/>
              <w:rPr>
                <w:b/>
                <w:sz w:val="20"/>
              </w:rPr>
            </w:pPr>
            <w:r>
              <w:rPr>
                <w:b/>
                <w:sz w:val="20"/>
              </w:rPr>
              <w:t>Additions</w:t>
            </w:r>
          </w:p>
          <w:p>
            <w:pPr>
              <w:pStyle w:val="TableParagraph"/>
              <w:numPr>
                <w:ilvl w:val="1"/>
                <w:numId w:val="2"/>
              </w:numPr>
              <w:tabs>
                <w:tab w:pos="815" w:val="left" w:leader="none"/>
              </w:tabs>
              <w:spacing w:line="240" w:lineRule="auto" w:before="0" w:after="0"/>
              <w:ind w:left="842" w:right="593" w:hanging="360"/>
              <w:jc w:val="left"/>
              <w:rPr>
                <w:sz w:val="20"/>
              </w:rPr>
            </w:pPr>
            <w:r>
              <w:rPr>
                <w:sz w:val="20"/>
              </w:rPr>
              <w:t>The following newly marketed drugs</w:t>
            </w:r>
            <w:r>
              <w:rPr>
                <w:spacing w:val="-27"/>
                <w:sz w:val="20"/>
              </w:rPr>
              <w:t> </w:t>
            </w:r>
            <w:r>
              <w:rPr>
                <w:sz w:val="20"/>
              </w:rPr>
              <w:t>have been added to the MassHealth Drug</w:t>
            </w:r>
            <w:r>
              <w:rPr>
                <w:spacing w:val="-27"/>
                <w:sz w:val="20"/>
              </w:rPr>
              <w:t> </w:t>
            </w:r>
            <w:r>
              <w:rPr>
                <w:sz w:val="20"/>
              </w:rPr>
              <w:t>List.</w:t>
            </w:r>
          </w:p>
          <w:p>
            <w:pPr>
              <w:pStyle w:val="TableParagraph"/>
              <w:spacing w:before="79"/>
              <w:ind w:left="1079"/>
              <w:rPr>
                <w:sz w:val="20"/>
              </w:rPr>
            </w:pPr>
            <w:r>
              <w:rPr>
                <w:sz w:val="20"/>
              </w:rPr>
              <w:t>Acuvail (ketorolac ophthalmic solution) –</w:t>
            </w:r>
          </w:p>
          <w:p>
            <w:pPr>
              <w:pStyle w:val="TableParagraph"/>
              <w:spacing w:before="1"/>
              <w:ind w:left="1259"/>
              <w:rPr>
                <w:b/>
                <w:sz w:val="20"/>
              </w:rPr>
            </w:pPr>
            <w:r>
              <w:rPr>
                <w:b/>
                <w:sz w:val="20"/>
              </w:rPr>
              <w:t>PA</w:t>
            </w:r>
          </w:p>
          <w:p>
            <w:pPr>
              <w:pStyle w:val="TableParagraph"/>
              <w:spacing w:line="259" w:lineRule="auto" w:before="19"/>
              <w:ind w:left="1079" w:right="277"/>
              <w:rPr>
                <w:sz w:val="20"/>
              </w:rPr>
            </w:pPr>
            <w:r>
              <w:rPr>
                <w:sz w:val="20"/>
              </w:rPr>
              <w:t>Benzefoam (benzoyl peroxide foam) – </w:t>
            </w:r>
            <w:r>
              <w:rPr>
                <w:b/>
                <w:sz w:val="20"/>
              </w:rPr>
              <w:t>PA </w:t>
            </w:r>
            <w:r>
              <w:rPr>
                <w:sz w:val="20"/>
              </w:rPr>
              <w:t>Bepreve (bepotastine besilate) – </w:t>
            </w:r>
            <w:r>
              <w:rPr>
                <w:b/>
                <w:sz w:val="20"/>
              </w:rPr>
              <w:t>PA </w:t>
            </w:r>
            <w:r>
              <w:rPr>
                <w:sz w:val="20"/>
              </w:rPr>
              <w:t>Cervarix (human papillomavirus bivalent</w:t>
            </w:r>
          </w:p>
          <w:p>
            <w:pPr>
              <w:pStyle w:val="TableParagraph"/>
              <w:spacing w:line="214" w:lineRule="exact"/>
              <w:ind w:left="1259"/>
              <w:rPr>
                <w:b/>
                <w:sz w:val="20"/>
              </w:rPr>
            </w:pPr>
            <w:r>
              <w:rPr>
                <w:sz w:val="20"/>
              </w:rPr>
              <w:t>vaccine) – </w:t>
            </w:r>
            <w:r>
              <w:rPr>
                <w:b/>
                <w:sz w:val="20"/>
              </w:rPr>
              <w:t>PA &lt; 10 years and &gt; 25 years</w:t>
            </w:r>
          </w:p>
          <w:p>
            <w:pPr>
              <w:pStyle w:val="TableParagraph"/>
              <w:spacing w:line="261" w:lineRule="auto" w:before="20"/>
              <w:ind w:left="1079" w:right="854"/>
              <w:rPr>
                <w:sz w:val="20"/>
              </w:rPr>
            </w:pPr>
            <w:r>
              <w:rPr>
                <w:sz w:val="20"/>
              </w:rPr>
              <w:t>Embeda (morphine/naloxone) – </w:t>
            </w:r>
            <w:r>
              <w:rPr>
                <w:b/>
                <w:sz w:val="20"/>
              </w:rPr>
              <w:t>PA </w:t>
            </w:r>
            <w:r>
              <w:rPr>
                <w:sz w:val="20"/>
              </w:rPr>
              <w:t>Fibricor (fenofibric acid) – </w:t>
            </w:r>
            <w:r>
              <w:rPr>
                <w:b/>
                <w:sz w:val="20"/>
              </w:rPr>
              <w:t>PA </w:t>
            </w:r>
            <w:r>
              <w:rPr>
                <w:sz w:val="20"/>
              </w:rPr>
              <w:t>Folotyn </w:t>
            </w:r>
            <w:r>
              <w:rPr>
                <w:sz w:val="20"/>
                <w:vertAlign w:val="superscript"/>
              </w:rPr>
              <w:t>H</w:t>
            </w:r>
            <w:r>
              <w:rPr>
                <w:sz w:val="20"/>
                <w:vertAlign w:val="baseline"/>
              </w:rPr>
              <w:t> (pralatrexate)</w:t>
            </w:r>
          </w:p>
          <w:p>
            <w:pPr>
              <w:pStyle w:val="TableParagraph"/>
              <w:spacing w:line="228" w:lineRule="exact"/>
              <w:ind w:left="1079"/>
              <w:rPr>
                <w:b/>
                <w:sz w:val="20"/>
              </w:rPr>
            </w:pPr>
            <w:r>
              <w:rPr>
                <w:sz w:val="20"/>
              </w:rPr>
              <w:t>Ilaris (canakinumab) – </w:t>
            </w:r>
            <w:r>
              <w:rPr>
                <w:b/>
                <w:sz w:val="20"/>
              </w:rPr>
              <w:t>PA</w:t>
            </w:r>
          </w:p>
          <w:p>
            <w:pPr>
              <w:pStyle w:val="TableParagraph"/>
              <w:spacing w:before="19"/>
              <w:ind w:left="1079"/>
              <w:rPr>
                <w:b/>
                <w:sz w:val="20"/>
              </w:rPr>
            </w:pPr>
            <w:r>
              <w:rPr>
                <w:sz w:val="20"/>
              </w:rPr>
              <w:t>Intuniv (guanfacine extended-release) – </w:t>
            </w:r>
            <w:r>
              <w:rPr>
                <w:b/>
                <w:sz w:val="20"/>
              </w:rPr>
              <w:t>PA</w:t>
            </w:r>
          </w:p>
          <w:p>
            <w:pPr>
              <w:pStyle w:val="TableParagraph"/>
              <w:spacing w:before="21"/>
              <w:ind w:left="1259" w:right="577" w:hanging="180"/>
              <w:rPr>
                <w:b/>
                <w:sz w:val="20"/>
              </w:rPr>
            </w:pPr>
            <w:r>
              <w:rPr>
                <w:sz w:val="20"/>
              </w:rPr>
              <w:t>Metozolv ODT (metoclopramide, orally disintegrating tablet) – </w:t>
            </w:r>
            <w:r>
              <w:rPr>
                <w:b/>
                <w:sz w:val="20"/>
              </w:rPr>
              <w:t>PA</w:t>
            </w:r>
          </w:p>
          <w:p>
            <w:pPr>
              <w:pStyle w:val="TableParagraph"/>
              <w:spacing w:before="21"/>
              <w:ind w:left="1079"/>
              <w:rPr>
                <w:b/>
                <w:sz w:val="20"/>
              </w:rPr>
            </w:pPr>
            <w:r>
              <w:rPr>
                <w:sz w:val="20"/>
              </w:rPr>
              <w:t>Onsolis (fentanyl buccal film) – </w:t>
            </w:r>
            <w:r>
              <w:rPr>
                <w:b/>
                <w:sz w:val="20"/>
              </w:rPr>
              <w:t>PA</w:t>
            </w:r>
          </w:p>
          <w:p>
            <w:pPr>
              <w:pStyle w:val="TableParagraph"/>
              <w:spacing w:before="19"/>
              <w:ind w:left="1259" w:right="710" w:hanging="180"/>
              <w:rPr>
                <w:sz w:val="20"/>
              </w:rPr>
            </w:pPr>
            <w:r>
              <w:rPr>
                <w:sz w:val="20"/>
              </w:rPr>
              <w:t>Ozurdex (dexamethasone intravitreal implant) ^</w:t>
            </w:r>
          </w:p>
          <w:p>
            <w:pPr>
              <w:pStyle w:val="TableParagraph"/>
              <w:spacing w:before="20"/>
              <w:ind w:left="1079"/>
              <w:rPr>
                <w:sz w:val="20"/>
              </w:rPr>
            </w:pPr>
            <w:r>
              <w:rPr>
                <w:sz w:val="20"/>
              </w:rPr>
              <w:t>peramavir </w:t>
            </w:r>
            <w:r>
              <w:rPr>
                <w:sz w:val="20"/>
                <w:vertAlign w:val="superscript"/>
              </w:rPr>
              <w:t>H</w:t>
            </w:r>
          </w:p>
          <w:p>
            <w:pPr>
              <w:pStyle w:val="TableParagraph"/>
              <w:spacing w:line="261" w:lineRule="auto" w:before="20"/>
              <w:ind w:left="1079" w:right="1533"/>
              <w:rPr>
                <w:sz w:val="20"/>
              </w:rPr>
            </w:pPr>
            <w:r>
              <w:rPr>
                <w:sz w:val="20"/>
              </w:rPr>
              <w:t>Sabril (vigabatrin) – </w:t>
            </w:r>
            <w:r>
              <w:rPr>
                <w:b/>
                <w:sz w:val="20"/>
              </w:rPr>
              <w:t>PA </w:t>
            </w:r>
            <w:r>
              <w:rPr>
                <w:sz w:val="20"/>
              </w:rPr>
              <w:t>Stelara (ustekinumab) – </w:t>
            </w:r>
            <w:r>
              <w:rPr>
                <w:b/>
                <w:sz w:val="20"/>
              </w:rPr>
              <w:t>PA </w:t>
            </w:r>
            <w:r>
              <w:rPr>
                <w:sz w:val="20"/>
              </w:rPr>
              <w:t>Tyvaso (treprostinil)</w:t>
            </w:r>
          </w:p>
          <w:p>
            <w:pPr>
              <w:pStyle w:val="TableParagraph"/>
              <w:spacing w:line="261" w:lineRule="auto"/>
              <w:ind w:left="1079" w:right="555"/>
              <w:rPr>
                <w:b/>
                <w:sz w:val="20"/>
              </w:rPr>
            </w:pPr>
            <w:r>
              <w:rPr>
                <w:sz w:val="20"/>
              </w:rPr>
              <w:t>Twynsta (amlodipine/telmisartan) – </w:t>
            </w:r>
            <w:r>
              <w:rPr>
                <w:b/>
                <w:sz w:val="20"/>
              </w:rPr>
              <w:t>PA </w:t>
            </w:r>
            <w:r>
              <w:rPr>
                <w:sz w:val="20"/>
              </w:rPr>
              <w:t>Valturna (aliskiren/valsartan) – </w:t>
            </w:r>
            <w:r>
              <w:rPr>
                <w:b/>
                <w:sz w:val="20"/>
              </w:rPr>
              <w:t>PA </w:t>
            </w:r>
            <w:r>
              <w:rPr>
                <w:sz w:val="20"/>
              </w:rPr>
              <w:t>Zipsor (diclofenac) – </w:t>
            </w:r>
            <w:r>
              <w:rPr>
                <w:b/>
                <w:sz w:val="20"/>
              </w:rPr>
              <w:t>PA</w:t>
            </w:r>
          </w:p>
          <w:p>
            <w:pPr>
              <w:pStyle w:val="TableParagraph"/>
              <w:numPr>
                <w:ilvl w:val="1"/>
                <w:numId w:val="2"/>
              </w:numPr>
              <w:tabs>
                <w:tab w:pos="843" w:val="left" w:leader="none"/>
              </w:tabs>
              <w:spacing w:line="240" w:lineRule="auto" w:before="56" w:after="0"/>
              <w:ind w:left="841" w:right="244" w:hanging="360"/>
              <w:jc w:val="left"/>
              <w:rPr>
                <w:sz w:val="20"/>
              </w:rPr>
            </w:pPr>
            <w:r>
              <w:rPr>
                <w:sz w:val="20"/>
              </w:rPr>
              <w:t>The following newly marketed drugs have been added to the MassHealth Drug List and will require prior authorization March 1,</w:t>
            </w:r>
            <w:r>
              <w:rPr>
                <w:spacing w:val="-13"/>
                <w:sz w:val="20"/>
              </w:rPr>
              <w:t> </w:t>
            </w:r>
            <w:r>
              <w:rPr>
                <w:sz w:val="20"/>
              </w:rPr>
              <w:t>2010.</w:t>
            </w:r>
          </w:p>
          <w:p>
            <w:pPr>
              <w:pStyle w:val="TableParagraph"/>
              <w:spacing w:before="80"/>
              <w:ind w:left="1259" w:right="254" w:hanging="180"/>
              <w:rPr>
                <w:b/>
                <w:sz w:val="20"/>
              </w:rPr>
            </w:pPr>
            <w:r>
              <w:rPr>
                <w:sz w:val="20"/>
              </w:rPr>
              <w:t>Invega Sustenna (paliperidone injection) – </w:t>
            </w:r>
            <w:r>
              <w:rPr>
                <w:b/>
                <w:sz w:val="20"/>
              </w:rPr>
              <w:t>PA &gt; 2 units/mo. in the first 30 days; PA &gt; 1 unit/month after 30 days</w:t>
            </w:r>
          </w:p>
          <w:p>
            <w:pPr>
              <w:pStyle w:val="TableParagraph"/>
              <w:ind w:left="1093"/>
              <w:rPr>
                <w:b/>
                <w:sz w:val="20"/>
              </w:rPr>
            </w:pPr>
            <w:r>
              <w:rPr>
                <w:sz w:val="20"/>
              </w:rPr>
              <w:t>Saphris (asenapine) – </w:t>
            </w:r>
            <w:r>
              <w:rPr>
                <w:b/>
                <w:sz w:val="20"/>
              </w:rPr>
              <w:t>PA</w:t>
            </w:r>
          </w:p>
          <w:p>
            <w:pPr>
              <w:pStyle w:val="TableParagraph"/>
              <w:spacing w:line="288" w:lineRule="auto" w:before="79"/>
              <w:ind w:left="719" w:right="277" w:hanging="181"/>
              <w:rPr>
                <w:sz w:val="16"/>
              </w:rPr>
            </w:pPr>
            <w:r>
              <w:rPr>
                <w:sz w:val="16"/>
              </w:rPr>
              <w:t>^ This drug is available through the health-care professional who administers the drug. Masshealth does not pay for this drug to be dispensed through a retail pharmacy.</w:t>
            </w:r>
          </w:p>
          <w:p>
            <w:pPr>
              <w:pStyle w:val="TableParagraph"/>
              <w:spacing w:line="288" w:lineRule="auto" w:before="67"/>
              <w:ind w:left="719" w:hanging="181"/>
              <w:rPr>
                <w:sz w:val="16"/>
              </w:rPr>
            </w:pPr>
            <w:r>
              <w:rPr>
                <w:position w:val="7"/>
                <w:sz w:val="10"/>
              </w:rPr>
              <w:t>H </w:t>
            </w:r>
            <w:r>
              <w:rPr>
                <w:sz w:val="16"/>
              </w:rPr>
              <w:t>This drug is available only in an inpatient hospital setting. MassHealth does not pay for this drug to be dispensed through the retail pharmacy or the physician’s office.</w:t>
            </w:r>
          </w:p>
        </w:tc>
        <w:tc>
          <w:tcPr>
            <w:tcW w:w="5303" w:type="dxa"/>
            <w:tcBorders>
              <w:top w:val="single" w:sz="8" w:space="0" w:color="000000"/>
              <w:left w:val="single" w:sz="4" w:space="0" w:color="000000"/>
              <w:bottom w:val="single" w:sz="6" w:space="0" w:color="000000"/>
            </w:tcBorders>
          </w:tcPr>
          <w:p>
            <w:pPr>
              <w:pStyle w:val="TableParagraph"/>
              <w:rPr>
                <w:rFonts w:ascii="Arial Narrow"/>
                <w:sz w:val="21"/>
              </w:rPr>
            </w:pPr>
          </w:p>
          <w:p>
            <w:pPr>
              <w:pStyle w:val="TableParagraph"/>
              <w:numPr>
                <w:ilvl w:val="0"/>
                <w:numId w:val="3"/>
              </w:numPr>
              <w:tabs>
                <w:tab w:pos="464" w:val="left" w:leader="none"/>
              </w:tabs>
              <w:spacing w:line="240" w:lineRule="auto" w:before="0" w:after="0"/>
              <w:ind w:left="463" w:right="0" w:hanging="361"/>
              <w:jc w:val="left"/>
              <w:rPr>
                <w:b/>
                <w:sz w:val="20"/>
              </w:rPr>
            </w:pPr>
            <w:r>
              <w:rPr>
                <w:b/>
                <w:sz w:val="20"/>
              </w:rPr>
              <w:t>New FDA “A”-Rated Generics</w:t>
            </w:r>
          </w:p>
          <w:p>
            <w:pPr>
              <w:pStyle w:val="TableParagraph"/>
              <w:spacing w:before="79"/>
              <w:ind w:left="120" w:right="244" w:hanging="19"/>
              <w:rPr>
                <w:sz w:val="20"/>
              </w:rPr>
            </w:pPr>
            <w:r>
              <w:rPr>
                <w:sz w:val="20"/>
              </w:rPr>
              <w:t>The following FDA “A”-rated generic drugs have been added to the MassHealth Drug List. The brand name is listed with a # symbol, to indicate that PA is required for the brand.</w:t>
            </w:r>
          </w:p>
          <w:p>
            <w:pPr>
              <w:pStyle w:val="TableParagraph"/>
              <w:spacing w:before="5"/>
              <w:rPr>
                <w:rFonts w:ascii="Arial Narrow"/>
                <w:sz w:val="17"/>
              </w:rPr>
            </w:pPr>
          </w:p>
          <w:p>
            <w:pPr>
              <w:pStyle w:val="TableParagraph"/>
              <w:spacing w:line="207" w:lineRule="exact"/>
              <w:ind w:left="462"/>
              <w:rPr>
                <w:b/>
                <w:sz w:val="18"/>
              </w:rPr>
            </w:pPr>
            <w:r>
              <w:rPr>
                <w:b/>
                <w:sz w:val="18"/>
              </w:rPr>
              <w:t>New FDA “A”-Rated</w:t>
            </w:r>
          </w:p>
          <w:p>
            <w:pPr>
              <w:pStyle w:val="TableParagraph"/>
              <w:tabs>
                <w:tab w:pos="2703" w:val="left" w:leader="none"/>
              </w:tabs>
              <w:spacing w:line="207" w:lineRule="exact"/>
              <w:ind w:left="462"/>
              <w:rPr>
                <w:b/>
                <w:sz w:val="18"/>
              </w:rPr>
            </w:pPr>
            <w:r>
              <w:rPr>
                <w:b/>
                <w:sz w:val="18"/>
                <w:u w:val="single"/>
              </w:rPr>
              <w:t>Generic</w:t>
            </w:r>
            <w:r>
              <w:rPr>
                <w:b/>
                <w:spacing w:val="-2"/>
                <w:sz w:val="18"/>
                <w:u w:val="single"/>
              </w:rPr>
              <w:t> </w:t>
            </w:r>
            <w:r>
              <w:rPr>
                <w:b/>
                <w:sz w:val="18"/>
                <w:u w:val="single"/>
              </w:rPr>
              <w:t>Drug</w:t>
            </w:r>
            <w:r>
              <w:rPr>
                <w:b/>
                <w:sz w:val="18"/>
              </w:rPr>
              <w:tab/>
            </w:r>
            <w:r>
              <w:rPr>
                <w:b/>
                <w:sz w:val="18"/>
                <w:u w:val="single"/>
              </w:rPr>
              <w:t>Generic</w:t>
            </w:r>
            <w:r>
              <w:rPr>
                <w:b/>
                <w:spacing w:val="-2"/>
                <w:sz w:val="18"/>
                <w:u w:val="single"/>
              </w:rPr>
              <w:t> </w:t>
            </w:r>
            <w:r>
              <w:rPr>
                <w:b/>
                <w:sz w:val="18"/>
                <w:u w:val="single"/>
              </w:rPr>
              <w:t>Equivalent</w:t>
            </w:r>
          </w:p>
          <w:p>
            <w:pPr>
              <w:pStyle w:val="TableParagraph"/>
              <w:tabs>
                <w:tab w:pos="2716" w:val="left" w:leader="none"/>
              </w:tabs>
              <w:spacing w:line="207" w:lineRule="exact" w:before="41"/>
              <w:ind w:left="462"/>
              <w:rPr>
                <w:sz w:val="18"/>
              </w:rPr>
            </w:pPr>
            <w:r>
              <w:rPr>
                <w:sz w:val="18"/>
              </w:rPr>
              <w:t>apraclonidine</w:t>
              <w:tab/>
              <w:t>Iopidine #</w:t>
            </w:r>
          </w:p>
          <w:p>
            <w:pPr>
              <w:pStyle w:val="TableParagraph"/>
              <w:tabs>
                <w:tab w:pos="2697" w:val="left" w:leader="none"/>
              </w:tabs>
              <w:ind w:left="462" w:right="1516"/>
              <w:rPr>
                <w:sz w:val="18"/>
              </w:rPr>
            </w:pPr>
            <w:r>
              <w:rPr>
                <w:sz w:val="18"/>
              </w:rPr>
              <w:t>brimonidine</w:t>
              <w:tab/>
              <w:t>Alphagan P # ethinyl estradiol /</w:t>
            </w:r>
          </w:p>
          <w:p>
            <w:pPr>
              <w:pStyle w:val="TableParagraph"/>
              <w:tabs>
                <w:tab w:pos="2707" w:val="left" w:leader="none"/>
              </w:tabs>
              <w:ind w:left="462" w:right="868" w:firstLine="100"/>
              <w:rPr>
                <w:sz w:val="18"/>
              </w:rPr>
            </w:pPr>
            <w:r>
              <w:rPr>
                <w:sz w:val="18"/>
              </w:rPr>
              <w:t>norgestimate</w:t>
              <w:tab/>
              <w:t>Ortho Tri-Cyclen Lo # ketorolac</w:t>
            </w:r>
            <w:r>
              <w:rPr>
                <w:spacing w:val="-1"/>
                <w:sz w:val="18"/>
              </w:rPr>
              <w:t> </w:t>
            </w:r>
            <w:r>
              <w:rPr>
                <w:sz w:val="18"/>
              </w:rPr>
              <w:t>ophthalmic</w:t>
            </w:r>
          </w:p>
          <w:p>
            <w:pPr>
              <w:pStyle w:val="TableParagraph"/>
              <w:tabs>
                <w:tab w:pos="2738" w:val="left" w:leader="none"/>
              </w:tabs>
              <w:spacing w:line="207" w:lineRule="exact"/>
              <w:ind w:left="563"/>
              <w:rPr>
                <w:sz w:val="18"/>
              </w:rPr>
            </w:pPr>
            <w:r>
              <w:rPr>
                <w:sz w:val="18"/>
              </w:rPr>
              <w:t>solution</w:t>
              <w:tab/>
              <w:t>Acular</w:t>
            </w:r>
            <w:r>
              <w:rPr>
                <w:spacing w:val="-1"/>
                <w:sz w:val="18"/>
              </w:rPr>
              <w:t> </w:t>
            </w:r>
            <w:r>
              <w:rPr>
                <w:sz w:val="18"/>
              </w:rPr>
              <w:t>#</w:t>
            </w:r>
          </w:p>
          <w:p>
            <w:pPr>
              <w:pStyle w:val="TableParagraph"/>
              <w:spacing w:line="206" w:lineRule="exact"/>
              <w:ind w:left="462"/>
              <w:rPr>
                <w:sz w:val="18"/>
              </w:rPr>
            </w:pPr>
            <w:r>
              <w:rPr>
                <w:sz w:val="18"/>
              </w:rPr>
              <w:t>lansoprazole –</w:t>
            </w:r>
          </w:p>
          <w:p>
            <w:pPr>
              <w:pStyle w:val="TableParagraph"/>
              <w:tabs>
                <w:tab w:pos="2739" w:val="left" w:leader="none"/>
              </w:tabs>
              <w:spacing w:line="207" w:lineRule="exact"/>
              <w:ind w:left="563"/>
              <w:rPr>
                <w:b/>
                <w:sz w:val="18"/>
              </w:rPr>
            </w:pPr>
            <w:r>
              <w:rPr>
                <w:b/>
                <w:sz w:val="18"/>
              </w:rPr>
              <w:t>PA &gt;</w:t>
            </w:r>
            <w:r>
              <w:rPr>
                <w:b/>
                <w:spacing w:val="-6"/>
                <w:sz w:val="18"/>
              </w:rPr>
              <w:t> </w:t>
            </w:r>
            <w:r>
              <w:rPr>
                <w:b/>
                <w:sz w:val="18"/>
              </w:rPr>
              <w:t>2 years</w:t>
              <w:tab/>
            </w:r>
            <w:r>
              <w:rPr>
                <w:sz w:val="18"/>
              </w:rPr>
              <w:t>Prevacid # – </w:t>
            </w:r>
            <w:r>
              <w:rPr>
                <w:b/>
                <w:sz w:val="18"/>
              </w:rPr>
              <w:t>PA &gt; 2</w:t>
            </w:r>
            <w:r>
              <w:rPr>
                <w:b/>
                <w:spacing w:val="-12"/>
                <w:sz w:val="18"/>
              </w:rPr>
              <w:t> </w:t>
            </w:r>
            <w:r>
              <w:rPr>
                <w:b/>
                <w:sz w:val="18"/>
              </w:rPr>
              <w:t>years</w:t>
            </w:r>
          </w:p>
          <w:p>
            <w:pPr>
              <w:pStyle w:val="TableParagraph"/>
              <w:spacing w:before="5"/>
              <w:rPr>
                <w:rFonts w:ascii="Arial Narrow"/>
                <w:sz w:val="17"/>
              </w:rPr>
            </w:pPr>
          </w:p>
          <w:p>
            <w:pPr>
              <w:pStyle w:val="TableParagraph"/>
              <w:numPr>
                <w:ilvl w:val="0"/>
                <w:numId w:val="3"/>
              </w:numPr>
              <w:tabs>
                <w:tab w:pos="464" w:val="left" w:leader="none"/>
              </w:tabs>
              <w:spacing w:line="240" w:lineRule="auto" w:before="0" w:after="0"/>
              <w:ind w:left="463" w:right="0" w:hanging="361"/>
              <w:jc w:val="left"/>
              <w:rPr>
                <w:b/>
                <w:sz w:val="20"/>
              </w:rPr>
            </w:pPr>
            <w:r>
              <w:rPr>
                <w:b/>
                <w:sz w:val="20"/>
              </w:rPr>
              <w:t>Change in Prior-Authorization (PA)</w:t>
            </w:r>
            <w:r>
              <w:rPr>
                <w:b/>
                <w:spacing w:val="-31"/>
                <w:sz w:val="20"/>
              </w:rPr>
              <w:t> </w:t>
            </w:r>
            <w:r>
              <w:rPr>
                <w:b/>
                <w:sz w:val="20"/>
              </w:rPr>
              <w:t>Status</w:t>
            </w:r>
          </w:p>
          <w:p>
            <w:pPr>
              <w:pStyle w:val="TableParagraph"/>
              <w:numPr>
                <w:ilvl w:val="1"/>
                <w:numId w:val="3"/>
              </w:numPr>
              <w:tabs>
                <w:tab w:pos="823" w:val="left" w:leader="none"/>
              </w:tabs>
              <w:spacing w:line="240" w:lineRule="auto" w:before="80" w:after="0"/>
              <w:ind w:left="822" w:right="125" w:hanging="360"/>
              <w:jc w:val="left"/>
              <w:rPr>
                <w:sz w:val="20"/>
              </w:rPr>
            </w:pPr>
            <w:r>
              <w:rPr>
                <w:sz w:val="20"/>
              </w:rPr>
              <w:t>The PA requirements for hypnotics are changing. The following PA requirements are effective February 15, 2010. Please see Table 15 of the MHDL for a complete list of the PA requirements for</w:t>
            </w:r>
            <w:r>
              <w:rPr>
                <w:spacing w:val="-1"/>
                <w:sz w:val="20"/>
              </w:rPr>
              <w:t> </w:t>
            </w:r>
            <w:r>
              <w:rPr>
                <w:sz w:val="20"/>
              </w:rPr>
              <w:t>hypnotics.</w:t>
            </w:r>
          </w:p>
          <w:p>
            <w:pPr>
              <w:pStyle w:val="TableParagraph"/>
              <w:spacing w:before="81"/>
              <w:ind w:left="1200" w:right="577" w:hanging="180"/>
              <w:rPr>
                <w:b/>
                <w:sz w:val="19"/>
              </w:rPr>
            </w:pPr>
            <w:r>
              <w:rPr>
                <w:sz w:val="19"/>
              </w:rPr>
              <w:t>Ambien # (zolpidem) 5 mg – </w:t>
            </w:r>
            <w:r>
              <w:rPr>
                <w:b/>
                <w:sz w:val="19"/>
              </w:rPr>
              <w:t>PA &gt; 45 units/ month</w:t>
            </w:r>
          </w:p>
          <w:p>
            <w:pPr>
              <w:pStyle w:val="TableParagraph"/>
              <w:ind w:left="1200" w:right="472" w:hanging="180"/>
              <w:rPr>
                <w:b/>
                <w:sz w:val="19"/>
              </w:rPr>
            </w:pPr>
            <w:r>
              <w:rPr>
                <w:sz w:val="19"/>
              </w:rPr>
              <w:t>Ambien # (zolpidem) 10 mg – </w:t>
            </w:r>
            <w:r>
              <w:rPr>
                <w:b/>
                <w:sz w:val="19"/>
              </w:rPr>
              <w:t>PA &gt; 30 units/ month</w:t>
            </w:r>
          </w:p>
          <w:p>
            <w:pPr>
              <w:pStyle w:val="TableParagraph"/>
              <w:spacing w:before="1"/>
              <w:ind w:left="1020"/>
              <w:rPr>
                <w:b/>
                <w:sz w:val="19"/>
              </w:rPr>
            </w:pPr>
            <w:r>
              <w:rPr>
                <w:sz w:val="19"/>
              </w:rPr>
              <w:t>Dalmane # (flurazepam) – </w:t>
            </w:r>
            <w:r>
              <w:rPr>
                <w:b/>
                <w:sz w:val="19"/>
              </w:rPr>
              <w:t>PA &gt; 30 units/month</w:t>
            </w:r>
          </w:p>
          <w:p>
            <w:pPr>
              <w:pStyle w:val="TableParagraph"/>
              <w:ind w:left="1020" w:right="1275"/>
              <w:rPr>
                <w:b/>
                <w:sz w:val="19"/>
              </w:rPr>
            </w:pPr>
            <w:r>
              <w:rPr>
                <w:sz w:val="19"/>
              </w:rPr>
              <w:t>estazolam – </w:t>
            </w:r>
            <w:r>
              <w:rPr>
                <w:b/>
                <w:sz w:val="19"/>
              </w:rPr>
              <w:t>PA &gt; 30 units/month </w:t>
            </w:r>
            <w:r>
              <w:rPr>
                <w:sz w:val="19"/>
              </w:rPr>
              <w:t>flurazepam – </w:t>
            </w:r>
            <w:r>
              <w:rPr>
                <w:b/>
                <w:sz w:val="19"/>
              </w:rPr>
              <w:t>PA &gt; 30 units/month </w:t>
            </w:r>
            <w:r>
              <w:rPr>
                <w:sz w:val="19"/>
              </w:rPr>
              <w:t>ProSom # – </w:t>
            </w:r>
            <w:r>
              <w:rPr>
                <w:b/>
                <w:sz w:val="19"/>
              </w:rPr>
              <w:t>PA &gt; 30 units/month</w:t>
            </w:r>
          </w:p>
          <w:p>
            <w:pPr>
              <w:pStyle w:val="TableParagraph"/>
              <w:ind w:left="1201" w:right="165" w:hanging="181"/>
              <w:rPr>
                <w:b/>
                <w:sz w:val="19"/>
              </w:rPr>
            </w:pPr>
            <w:r>
              <w:rPr>
                <w:sz w:val="19"/>
              </w:rPr>
              <w:t>Restoril # 15 mg, 30 mg (temazepam) – </w:t>
            </w:r>
            <w:r>
              <w:rPr>
                <w:b/>
                <w:sz w:val="19"/>
              </w:rPr>
              <w:t>PA &gt; 30 units/month</w:t>
            </w:r>
          </w:p>
          <w:p>
            <w:pPr>
              <w:pStyle w:val="TableParagraph"/>
              <w:ind w:left="1021" w:right="872"/>
              <w:rPr>
                <w:b/>
                <w:sz w:val="19"/>
              </w:rPr>
            </w:pPr>
            <w:r>
              <w:rPr>
                <w:sz w:val="19"/>
              </w:rPr>
              <w:t>temazepam – </w:t>
            </w:r>
            <w:r>
              <w:rPr>
                <w:b/>
                <w:sz w:val="19"/>
              </w:rPr>
              <w:t>PA &gt; 30 units/month </w:t>
            </w:r>
            <w:r>
              <w:rPr>
                <w:sz w:val="19"/>
              </w:rPr>
              <w:t>triazolam – </w:t>
            </w:r>
            <w:r>
              <w:rPr>
                <w:b/>
                <w:sz w:val="19"/>
              </w:rPr>
              <w:t>PA &gt; 30 units/month </w:t>
            </w:r>
            <w:r>
              <w:rPr>
                <w:sz w:val="19"/>
              </w:rPr>
              <w:t>zolpidem 5 mg – </w:t>
            </w:r>
            <w:r>
              <w:rPr>
                <w:b/>
                <w:sz w:val="19"/>
              </w:rPr>
              <w:t>PA &gt; 45 units/month </w:t>
            </w:r>
            <w:r>
              <w:rPr>
                <w:sz w:val="19"/>
              </w:rPr>
              <w:t>zolpidem 10 mg – </w:t>
            </w:r>
            <w:r>
              <w:rPr>
                <w:b/>
                <w:sz w:val="19"/>
              </w:rPr>
              <w:t>PA &gt; 30 units/month</w:t>
            </w:r>
          </w:p>
          <w:p>
            <w:pPr>
              <w:pStyle w:val="TableParagraph"/>
              <w:numPr>
                <w:ilvl w:val="1"/>
                <w:numId w:val="3"/>
              </w:numPr>
              <w:tabs>
                <w:tab w:pos="824" w:val="left" w:leader="none"/>
              </w:tabs>
              <w:spacing w:line="240" w:lineRule="auto" w:before="78" w:after="0"/>
              <w:ind w:left="822" w:right="182" w:hanging="360"/>
              <w:jc w:val="left"/>
              <w:rPr>
                <w:sz w:val="20"/>
              </w:rPr>
            </w:pPr>
            <w:r>
              <w:rPr>
                <w:sz w:val="20"/>
              </w:rPr>
              <w:t>The PA requirement for triptans are changing. The following PA requirements are effective February 15, 2010. Please see Table 14 of the MHDL for a complete list of the PA requirements for</w:t>
            </w:r>
            <w:r>
              <w:rPr>
                <w:spacing w:val="-2"/>
                <w:sz w:val="20"/>
              </w:rPr>
              <w:t> </w:t>
            </w:r>
            <w:r>
              <w:rPr>
                <w:sz w:val="20"/>
              </w:rPr>
              <w:t>triptans.</w:t>
            </w:r>
          </w:p>
          <w:p>
            <w:pPr>
              <w:pStyle w:val="TableParagraph"/>
              <w:spacing w:before="81"/>
              <w:ind w:left="1020"/>
              <w:rPr>
                <w:b/>
                <w:sz w:val="20"/>
              </w:rPr>
            </w:pPr>
            <w:r>
              <w:rPr>
                <w:sz w:val="20"/>
              </w:rPr>
              <w:t>Axert (almotriptan) – </w:t>
            </w:r>
            <w:r>
              <w:rPr>
                <w:b/>
                <w:sz w:val="20"/>
              </w:rPr>
              <w:t>PA</w:t>
            </w:r>
          </w:p>
          <w:p>
            <w:pPr>
              <w:pStyle w:val="TableParagraph"/>
              <w:spacing w:line="230" w:lineRule="exact"/>
              <w:ind w:left="1020"/>
              <w:rPr>
                <w:b/>
                <w:sz w:val="20"/>
              </w:rPr>
            </w:pPr>
            <w:r>
              <w:rPr>
                <w:sz w:val="20"/>
              </w:rPr>
              <w:t>sumatriptan injection – </w:t>
            </w:r>
            <w:r>
              <w:rPr>
                <w:b/>
                <w:sz w:val="20"/>
              </w:rPr>
              <w:t>PA</w:t>
            </w:r>
          </w:p>
          <w:p>
            <w:pPr>
              <w:pStyle w:val="TableParagraph"/>
              <w:spacing w:line="230" w:lineRule="exact"/>
              <w:ind w:left="1020"/>
              <w:rPr>
                <w:b/>
                <w:sz w:val="20"/>
              </w:rPr>
            </w:pPr>
            <w:r>
              <w:rPr>
                <w:sz w:val="20"/>
              </w:rPr>
              <w:t>sumatriptan tablet – </w:t>
            </w:r>
            <w:r>
              <w:rPr>
                <w:b/>
                <w:sz w:val="20"/>
              </w:rPr>
              <w:t>PA &gt; 9 units/month</w:t>
            </w:r>
          </w:p>
          <w:p>
            <w:pPr>
              <w:pStyle w:val="TableParagraph"/>
              <w:spacing w:before="1"/>
              <w:ind w:left="1020"/>
              <w:rPr>
                <w:b/>
                <w:sz w:val="20"/>
              </w:rPr>
            </w:pPr>
            <w:r>
              <w:rPr>
                <w:sz w:val="20"/>
              </w:rPr>
              <w:t>Zomig (zolmitriptan) – </w:t>
            </w:r>
            <w:r>
              <w:rPr>
                <w:b/>
                <w:sz w:val="20"/>
              </w:rPr>
              <w:t>PA</w:t>
            </w:r>
          </w:p>
        </w:tc>
        <w:tc>
          <w:tcPr>
            <w:tcW w:w="51" w:type="dxa"/>
            <w:tcBorders>
              <w:bottom w:val="single" w:sz="6" w:space="0" w:color="000000"/>
            </w:tcBorders>
          </w:tcPr>
          <w:p>
            <w:pPr>
              <w:pStyle w:val="TableParagraph"/>
              <w:rPr>
                <w:rFonts w:ascii="Times New Roman"/>
                <w:sz w:val="18"/>
              </w:rPr>
            </w:pPr>
          </w:p>
        </w:tc>
      </w:tr>
    </w:tbl>
    <w:p>
      <w:pPr>
        <w:spacing w:after="0"/>
        <w:rPr>
          <w:rFonts w:ascii="Times New Roman"/>
          <w:sz w:val="18"/>
        </w:rPr>
        <w:sectPr>
          <w:type w:val="continuous"/>
          <w:pgSz w:w="12240" w:h="15840"/>
          <w:pgMar w:top="380" w:bottom="280" w:left="620" w:right="420"/>
        </w:sectPr>
      </w:pPr>
    </w:p>
    <w:p>
      <w:pPr>
        <w:tabs>
          <w:tab w:pos="9817" w:val="left" w:leader="none"/>
        </w:tabs>
        <w:spacing w:before="72" w:after="34"/>
        <w:ind w:left="251"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56</w:t>
        <w:tab/>
        <w:t>Page 2 of</w:t>
      </w:r>
      <w:r>
        <w:rPr>
          <w:rFonts w:ascii="Arial Black"/>
          <w:b/>
          <w:spacing w:val="-4"/>
          <w:sz w:val="18"/>
        </w:rPr>
        <w:t> </w:t>
      </w:r>
      <w:r>
        <w:rPr>
          <w:rFonts w:ascii="Arial Black"/>
          <w:b/>
          <w:sz w:val="18"/>
        </w:rPr>
        <w:t>2</w:t>
      </w: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
        <w:gridCol w:w="5392"/>
        <w:gridCol w:w="5357"/>
        <w:gridCol w:w="160"/>
      </w:tblGrid>
      <w:tr>
        <w:trPr>
          <w:trHeight w:val="13999" w:hRule="atLeast"/>
        </w:trPr>
        <w:tc>
          <w:tcPr>
            <w:tcW w:w="72" w:type="dxa"/>
            <w:tcBorders>
              <w:bottom w:val="single" w:sz="6" w:space="0" w:color="000000"/>
            </w:tcBorders>
          </w:tcPr>
          <w:p>
            <w:pPr>
              <w:pStyle w:val="TableParagraph"/>
              <w:rPr>
                <w:rFonts w:ascii="Times New Roman"/>
                <w:sz w:val="18"/>
              </w:rPr>
            </w:pPr>
          </w:p>
        </w:tc>
        <w:tc>
          <w:tcPr>
            <w:tcW w:w="5392" w:type="dxa"/>
            <w:tcBorders>
              <w:top w:val="single" w:sz="8" w:space="0" w:color="000000"/>
              <w:bottom w:val="single" w:sz="6" w:space="0" w:color="000000"/>
              <w:right w:val="single" w:sz="4" w:space="0" w:color="000000"/>
            </w:tcBorders>
          </w:tcPr>
          <w:p>
            <w:pPr>
              <w:pStyle w:val="TableParagraph"/>
              <w:rPr>
                <w:rFonts w:ascii="Arial Black"/>
                <w:b/>
                <w:sz w:val="14"/>
              </w:rPr>
            </w:pPr>
          </w:p>
          <w:p>
            <w:pPr>
              <w:pStyle w:val="TableParagraph"/>
              <w:numPr>
                <w:ilvl w:val="0"/>
                <w:numId w:val="4"/>
              </w:numPr>
              <w:tabs>
                <w:tab w:pos="827" w:val="left" w:leader="none"/>
                <w:tab w:pos="828" w:val="left" w:leader="none"/>
              </w:tabs>
              <w:spacing w:line="240" w:lineRule="auto" w:before="1" w:after="0"/>
              <w:ind w:left="827" w:right="187" w:hanging="359"/>
              <w:jc w:val="left"/>
              <w:rPr>
                <w:sz w:val="20"/>
              </w:rPr>
            </w:pPr>
            <w:r>
              <w:rPr>
                <w:sz w:val="20"/>
              </w:rPr>
              <w:t>The PA requirement for the following brand name medications are changing. The following PA requirements are effective February 15,</w:t>
            </w:r>
            <w:r>
              <w:rPr>
                <w:spacing w:val="-7"/>
                <w:sz w:val="20"/>
              </w:rPr>
              <w:t> </w:t>
            </w:r>
            <w:r>
              <w:rPr>
                <w:sz w:val="20"/>
              </w:rPr>
              <w:t>2010.</w:t>
            </w:r>
          </w:p>
          <w:p>
            <w:pPr>
              <w:pStyle w:val="TableParagraph"/>
              <w:spacing w:before="79"/>
              <w:ind w:left="1007" w:right="869"/>
              <w:rPr>
                <w:sz w:val="20"/>
              </w:rPr>
            </w:pPr>
            <w:r>
              <w:rPr>
                <w:sz w:val="20"/>
              </w:rPr>
              <w:t>Dilantin # (phenytoin) capsule, kapseal, suspension</w:t>
            </w:r>
          </w:p>
          <w:p>
            <w:pPr>
              <w:pStyle w:val="TableParagraph"/>
              <w:spacing w:before="1"/>
              <w:ind w:left="1007" w:right="1714"/>
              <w:rPr>
                <w:sz w:val="20"/>
              </w:rPr>
            </w:pPr>
            <w:r>
              <w:rPr>
                <w:sz w:val="20"/>
              </w:rPr>
              <w:t>Neoral # (cyclosporine) Phenytek # (phenytoin) Sandimmune # (cyclosporine)</w:t>
            </w:r>
          </w:p>
          <w:p>
            <w:pPr>
              <w:pStyle w:val="TableParagraph"/>
              <w:spacing w:line="242" w:lineRule="auto" w:before="45"/>
              <w:ind w:left="648" w:right="214" w:hanging="181"/>
              <w:rPr>
                <w:sz w:val="16"/>
              </w:rPr>
            </w:pPr>
            <w:r>
              <w:rPr>
                <w:position w:val="10"/>
                <w:sz w:val="13"/>
              </w:rPr>
              <w:t># </w:t>
            </w:r>
            <w:r>
              <w:rPr>
                <w:sz w:val="16"/>
              </w:rPr>
              <w:t>This is a brand-name drug with FDA “A”-rated generic equivalents. PA is required for the brand, unless a particular form of that drug (for example, tablet, capsule, or liquid) does not have an FDA “A”-rated generic equivalent.</w:t>
            </w:r>
          </w:p>
          <w:p>
            <w:pPr>
              <w:pStyle w:val="TableParagraph"/>
              <w:numPr>
                <w:ilvl w:val="0"/>
                <w:numId w:val="4"/>
              </w:numPr>
              <w:tabs>
                <w:tab w:pos="829" w:val="left" w:leader="none"/>
              </w:tabs>
              <w:spacing w:line="240" w:lineRule="auto" w:before="80" w:after="0"/>
              <w:ind w:left="827" w:right="711" w:hanging="359"/>
              <w:jc w:val="left"/>
              <w:rPr>
                <w:sz w:val="20"/>
              </w:rPr>
            </w:pPr>
            <w:r>
              <w:rPr>
                <w:sz w:val="20"/>
              </w:rPr>
              <w:t>The following will require prior</w:t>
            </w:r>
            <w:r>
              <w:rPr>
                <w:spacing w:val="-12"/>
                <w:sz w:val="20"/>
              </w:rPr>
              <w:t> </w:t>
            </w:r>
            <w:r>
              <w:rPr>
                <w:sz w:val="20"/>
              </w:rPr>
              <w:t>authorization effective February 15,</w:t>
            </w:r>
            <w:r>
              <w:rPr>
                <w:spacing w:val="-5"/>
                <w:sz w:val="20"/>
              </w:rPr>
              <w:t> </w:t>
            </w:r>
            <w:r>
              <w:rPr>
                <w:sz w:val="20"/>
              </w:rPr>
              <w:t>2010.</w:t>
            </w:r>
          </w:p>
          <w:p>
            <w:pPr>
              <w:pStyle w:val="TableParagraph"/>
              <w:spacing w:before="83"/>
              <w:ind w:left="1015" w:right="112"/>
              <w:rPr>
                <w:b/>
                <w:sz w:val="19"/>
              </w:rPr>
            </w:pPr>
            <w:r>
              <w:rPr>
                <w:sz w:val="19"/>
              </w:rPr>
              <w:t>Blood glucose testing reagent strips used for the management of diabetes – </w:t>
            </w:r>
            <w:r>
              <w:rPr>
                <w:b/>
                <w:sz w:val="19"/>
              </w:rPr>
              <w:t>PA &gt; 100 units/month</w:t>
            </w:r>
          </w:p>
          <w:p>
            <w:pPr>
              <w:pStyle w:val="TableParagraph"/>
              <w:numPr>
                <w:ilvl w:val="0"/>
                <w:numId w:val="4"/>
              </w:numPr>
              <w:tabs>
                <w:tab w:pos="829" w:val="left" w:leader="none"/>
              </w:tabs>
              <w:spacing w:line="240" w:lineRule="auto" w:before="78" w:after="0"/>
              <w:ind w:left="827" w:right="710" w:hanging="359"/>
              <w:jc w:val="left"/>
              <w:rPr>
                <w:sz w:val="20"/>
              </w:rPr>
            </w:pPr>
            <w:r>
              <w:rPr>
                <w:sz w:val="20"/>
              </w:rPr>
              <w:t>The following will require prior authorization effective February 15,</w:t>
            </w:r>
            <w:r>
              <w:rPr>
                <w:spacing w:val="-5"/>
                <w:sz w:val="20"/>
              </w:rPr>
              <w:t> </w:t>
            </w:r>
            <w:r>
              <w:rPr>
                <w:sz w:val="20"/>
              </w:rPr>
              <w:t>2010.</w:t>
            </w:r>
          </w:p>
          <w:p>
            <w:pPr>
              <w:pStyle w:val="TableParagraph"/>
              <w:spacing w:before="81"/>
              <w:ind w:left="1008"/>
              <w:rPr>
                <w:b/>
                <w:sz w:val="19"/>
              </w:rPr>
            </w:pPr>
            <w:r>
              <w:rPr>
                <w:sz w:val="19"/>
              </w:rPr>
              <w:t>Bactroban (mupirocin) nasal ointment – </w:t>
            </w:r>
            <w:r>
              <w:rPr>
                <w:b/>
                <w:sz w:val="19"/>
              </w:rPr>
              <w:t>PA</w:t>
            </w:r>
          </w:p>
          <w:p>
            <w:pPr>
              <w:pStyle w:val="TableParagraph"/>
              <w:ind w:left="1008" w:right="1232"/>
              <w:rPr>
                <w:b/>
                <w:sz w:val="19"/>
              </w:rPr>
            </w:pPr>
            <w:r>
              <w:rPr>
                <w:sz w:val="19"/>
              </w:rPr>
              <w:t>Comtan (entacapone) – </w:t>
            </w:r>
            <w:r>
              <w:rPr>
                <w:b/>
                <w:sz w:val="19"/>
              </w:rPr>
              <w:t>PA </w:t>
            </w:r>
            <w:r>
              <w:rPr>
                <w:sz w:val="19"/>
              </w:rPr>
              <w:t>diclofenac extended-release – </w:t>
            </w:r>
            <w:r>
              <w:rPr>
                <w:b/>
                <w:sz w:val="19"/>
              </w:rPr>
              <w:t>PA </w:t>
            </w:r>
            <w:r>
              <w:rPr>
                <w:sz w:val="19"/>
              </w:rPr>
              <w:t>etodolac extended-release – </w:t>
            </w:r>
            <w:r>
              <w:rPr>
                <w:b/>
                <w:sz w:val="19"/>
              </w:rPr>
              <w:t>PA </w:t>
            </w:r>
            <w:r>
              <w:rPr>
                <w:sz w:val="19"/>
              </w:rPr>
              <w:t>indomethacin extended-release – </w:t>
            </w:r>
            <w:r>
              <w:rPr>
                <w:b/>
                <w:sz w:val="19"/>
              </w:rPr>
              <w:t>PA </w:t>
            </w:r>
            <w:r>
              <w:rPr>
                <w:sz w:val="19"/>
              </w:rPr>
              <w:t>ketoprofen extended-release – </w:t>
            </w:r>
            <w:r>
              <w:rPr>
                <w:b/>
                <w:sz w:val="19"/>
              </w:rPr>
              <w:t>PA </w:t>
            </w:r>
            <w:r>
              <w:rPr>
                <w:sz w:val="19"/>
              </w:rPr>
              <w:t>Migranal (dihydroergotamine) – </w:t>
            </w:r>
            <w:r>
              <w:rPr>
                <w:b/>
                <w:sz w:val="19"/>
              </w:rPr>
              <w:t>PA</w:t>
            </w:r>
          </w:p>
          <w:p>
            <w:pPr>
              <w:pStyle w:val="TableParagraph"/>
              <w:ind w:left="1008"/>
              <w:rPr>
                <w:b/>
                <w:sz w:val="19"/>
              </w:rPr>
            </w:pPr>
            <w:r>
              <w:rPr>
                <w:sz w:val="19"/>
              </w:rPr>
              <w:t>phenytoin 100 mg/4 ml unit dose suspension – </w:t>
            </w:r>
            <w:r>
              <w:rPr>
                <w:b/>
                <w:sz w:val="19"/>
              </w:rPr>
              <w:t>PA</w:t>
            </w:r>
          </w:p>
          <w:p>
            <w:pPr>
              <w:pStyle w:val="TableParagraph"/>
              <w:ind w:left="1008" w:right="1561"/>
              <w:rPr>
                <w:b/>
                <w:sz w:val="19"/>
              </w:rPr>
            </w:pPr>
            <w:r>
              <w:rPr>
                <w:sz w:val="19"/>
              </w:rPr>
              <w:t>Solaraze (diclofenac) – </w:t>
            </w:r>
            <w:r>
              <w:rPr>
                <w:b/>
                <w:sz w:val="19"/>
              </w:rPr>
              <w:t>PA </w:t>
            </w:r>
            <w:r>
              <w:rPr>
                <w:sz w:val="19"/>
              </w:rPr>
              <w:t>Zovirax (acyclovir) cream – </w:t>
            </w:r>
            <w:r>
              <w:rPr>
                <w:b/>
                <w:sz w:val="19"/>
              </w:rPr>
              <w:t>PA </w:t>
            </w:r>
            <w:r>
              <w:rPr>
                <w:sz w:val="19"/>
              </w:rPr>
              <w:t>Zovirax (acyclovir) ointment – </w:t>
            </w:r>
            <w:r>
              <w:rPr>
                <w:b/>
                <w:sz w:val="19"/>
              </w:rPr>
              <w:t>PA</w:t>
            </w:r>
          </w:p>
          <w:p>
            <w:pPr>
              <w:pStyle w:val="TableParagraph"/>
              <w:numPr>
                <w:ilvl w:val="0"/>
                <w:numId w:val="4"/>
              </w:numPr>
              <w:tabs>
                <w:tab w:pos="827" w:val="left" w:leader="none"/>
                <w:tab w:pos="828" w:val="left" w:leader="none"/>
              </w:tabs>
              <w:spacing w:line="240" w:lineRule="auto" w:before="79" w:after="0"/>
              <w:ind w:left="827" w:right="1022" w:hanging="359"/>
              <w:jc w:val="left"/>
              <w:rPr>
                <w:sz w:val="20"/>
              </w:rPr>
            </w:pPr>
            <w:r>
              <w:rPr>
                <w:sz w:val="20"/>
              </w:rPr>
              <w:t>The following will no longer require prior authorization.</w:t>
            </w:r>
          </w:p>
          <w:p>
            <w:pPr>
              <w:pStyle w:val="TableParagraph"/>
              <w:spacing w:before="82"/>
              <w:ind w:left="1008"/>
              <w:rPr>
                <w:sz w:val="19"/>
              </w:rPr>
            </w:pPr>
            <w:r>
              <w:rPr>
                <w:sz w:val="19"/>
              </w:rPr>
              <w:t>ramipril capsule</w:t>
            </w:r>
          </w:p>
          <w:p>
            <w:pPr>
              <w:pStyle w:val="TableParagraph"/>
              <w:numPr>
                <w:ilvl w:val="0"/>
                <w:numId w:val="4"/>
              </w:numPr>
              <w:tabs>
                <w:tab w:pos="829" w:val="left" w:leader="none"/>
              </w:tabs>
              <w:spacing w:line="240" w:lineRule="auto" w:before="78" w:after="0"/>
              <w:ind w:left="827" w:right="252" w:hanging="359"/>
              <w:jc w:val="left"/>
              <w:rPr>
                <w:sz w:val="20"/>
              </w:rPr>
            </w:pPr>
            <w:r>
              <w:rPr>
                <w:sz w:val="20"/>
              </w:rPr>
              <w:t>The following drug will require prior authorization effective March 1, 2010. Please see Table 24 of the MHDL for a complete list of the PA requirements for the atypicial</w:t>
            </w:r>
            <w:r>
              <w:rPr>
                <w:spacing w:val="-7"/>
                <w:sz w:val="20"/>
              </w:rPr>
              <w:t> </w:t>
            </w:r>
            <w:r>
              <w:rPr>
                <w:sz w:val="20"/>
              </w:rPr>
              <w:t>antipsychotics.</w:t>
            </w:r>
          </w:p>
          <w:p>
            <w:pPr>
              <w:pStyle w:val="TableParagraph"/>
              <w:spacing w:before="81"/>
              <w:ind w:left="1007"/>
              <w:rPr>
                <w:b/>
                <w:sz w:val="20"/>
              </w:rPr>
            </w:pPr>
            <w:r>
              <w:rPr>
                <w:sz w:val="20"/>
              </w:rPr>
              <w:t>Invega (paliperidone) – </w:t>
            </w:r>
            <w:r>
              <w:rPr>
                <w:b/>
                <w:sz w:val="20"/>
              </w:rPr>
              <w:t>PA</w:t>
            </w:r>
          </w:p>
          <w:p>
            <w:pPr>
              <w:pStyle w:val="TableParagraph"/>
              <w:spacing w:before="3"/>
              <w:rPr>
                <w:rFonts w:ascii="Arial Black"/>
                <w:b/>
                <w:sz w:val="14"/>
              </w:rPr>
            </w:pPr>
          </w:p>
          <w:p>
            <w:pPr>
              <w:pStyle w:val="TableParagraph"/>
              <w:numPr>
                <w:ilvl w:val="0"/>
                <w:numId w:val="5"/>
              </w:numPr>
              <w:tabs>
                <w:tab w:pos="469" w:val="left" w:leader="none"/>
              </w:tabs>
              <w:spacing w:line="240" w:lineRule="auto" w:before="0" w:after="0"/>
              <w:ind w:left="468" w:right="0" w:hanging="361"/>
              <w:jc w:val="left"/>
              <w:rPr>
                <w:b/>
                <w:sz w:val="20"/>
              </w:rPr>
            </w:pPr>
            <w:r>
              <w:rPr>
                <w:b/>
                <w:sz w:val="20"/>
              </w:rPr>
              <w:t>Updated MassHealth Non-Drug Product</w:t>
            </w:r>
            <w:r>
              <w:rPr>
                <w:b/>
                <w:spacing w:val="-6"/>
                <w:sz w:val="20"/>
              </w:rPr>
              <w:t> </w:t>
            </w:r>
            <w:r>
              <w:rPr>
                <w:b/>
                <w:sz w:val="20"/>
              </w:rPr>
              <w:t>List</w:t>
            </w:r>
          </w:p>
          <w:p>
            <w:pPr>
              <w:pStyle w:val="TableParagraph"/>
              <w:spacing w:before="1"/>
              <w:rPr>
                <w:rFonts w:ascii="Arial Black"/>
                <w:b/>
                <w:sz w:val="14"/>
              </w:rPr>
            </w:pPr>
          </w:p>
          <w:p>
            <w:pPr>
              <w:pStyle w:val="TableParagraph"/>
              <w:ind w:left="107" w:right="112"/>
              <w:rPr>
                <w:sz w:val="20"/>
              </w:rPr>
            </w:pPr>
            <w:r>
              <w:rPr>
                <w:sz w:val="20"/>
              </w:rPr>
              <w:t>The MassHealth Non-Drug Product List has been updated to reflect the following change, effective February 15, 2010.</w:t>
            </w:r>
          </w:p>
          <w:p>
            <w:pPr>
              <w:pStyle w:val="TableParagraph"/>
              <w:spacing w:before="81"/>
              <w:ind w:left="467" w:right="436"/>
              <w:rPr>
                <w:b/>
                <w:sz w:val="20"/>
              </w:rPr>
            </w:pPr>
            <w:r>
              <w:rPr>
                <w:sz w:val="20"/>
              </w:rPr>
              <w:t>Blood glucose testing reagent strips used for the management of diabetes </w:t>
            </w:r>
            <w:r>
              <w:rPr>
                <w:b/>
                <w:sz w:val="20"/>
              </w:rPr>
              <w:t>– PA &gt; 100 units/month</w:t>
            </w:r>
          </w:p>
          <w:p>
            <w:pPr>
              <w:pStyle w:val="TableParagraph"/>
              <w:spacing w:before="2"/>
              <w:rPr>
                <w:rFonts w:ascii="Arial Black"/>
                <w:b/>
                <w:sz w:val="14"/>
              </w:rPr>
            </w:pPr>
          </w:p>
          <w:p>
            <w:pPr>
              <w:pStyle w:val="TableParagraph"/>
              <w:numPr>
                <w:ilvl w:val="0"/>
                <w:numId w:val="5"/>
              </w:numPr>
              <w:tabs>
                <w:tab w:pos="469" w:val="left" w:leader="none"/>
              </w:tabs>
              <w:spacing w:line="240" w:lineRule="auto" w:before="1" w:after="0"/>
              <w:ind w:left="468" w:right="0" w:hanging="361"/>
              <w:jc w:val="left"/>
              <w:rPr>
                <w:b/>
                <w:sz w:val="20"/>
              </w:rPr>
            </w:pPr>
            <w:r>
              <w:rPr>
                <w:b/>
                <w:sz w:val="20"/>
              </w:rPr>
              <w:t>MassHealth Over-the-Counter (OTC) Drug</w:t>
            </w:r>
            <w:r>
              <w:rPr>
                <w:b/>
                <w:spacing w:val="-8"/>
                <w:sz w:val="20"/>
              </w:rPr>
              <w:t> </w:t>
            </w:r>
            <w:r>
              <w:rPr>
                <w:b/>
                <w:sz w:val="20"/>
              </w:rPr>
              <w:t>List</w:t>
            </w:r>
          </w:p>
          <w:p>
            <w:pPr>
              <w:pStyle w:val="TableParagraph"/>
              <w:spacing w:before="79"/>
              <w:ind w:left="107" w:right="590"/>
              <w:rPr>
                <w:sz w:val="20"/>
              </w:rPr>
            </w:pPr>
            <w:r>
              <w:rPr>
                <w:sz w:val="20"/>
              </w:rPr>
              <w:t>The MassHealth OTC Drug List has been updated to include the following.</w:t>
            </w:r>
          </w:p>
          <w:p>
            <w:pPr>
              <w:pStyle w:val="TableParagraph"/>
              <w:spacing w:before="80"/>
              <w:ind w:left="467"/>
              <w:rPr>
                <w:sz w:val="20"/>
              </w:rPr>
            </w:pPr>
            <w:r>
              <w:rPr>
                <w:sz w:val="20"/>
              </w:rPr>
              <w:t>ketotifen</w:t>
            </w:r>
          </w:p>
        </w:tc>
        <w:tc>
          <w:tcPr>
            <w:tcW w:w="5357" w:type="dxa"/>
            <w:tcBorders>
              <w:top w:val="single" w:sz="8" w:space="0" w:color="000000"/>
              <w:left w:val="single" w:sz="4" w:space="0" w:color="000000"/>
              <w:bottom w:val="single" w:sz="6" w:space="0" w:color="000000"/>
            </w:tcBorders>
          </w:tcPr>
          <w:p>
            <w:pPr>
              <w:pStyle w:val="TableParagraph"/>
              <w:rPr>
                <w:rFonts w:ascii="Arial Black"/>
                <w:b/>
                <w:sz w:val="14"/>
              </w:rPr>
            </w:pPr>
          </w:p>
          <w:p>
            <w:pPr>
              <w:pStyle w:val="TableParagraph"/>
              <w:numPr>
                <w:ilvl w:val="0"/>
                <w:numId w:val="6"/>
              </w:numPr>
              <w:tabs>
                <w:tab w:pos="463" w:val="left" w:leader="none"/>
              </w:tabs>
              <w:spacing w:line="240" w:lineRule="auto" w:before="1" w:after="0"/>
              <w:ind w:left="463" w:right="0" w:hanging="361"/>
              <w:jc w:val="left"/>
              <w:rPr>
                <w:b/>
                <w:sz w:val="20"/>
              </w:rPr>
            </w:pPr>
            <w:r>
              <w:rPr>
                <w:b/>
                <w:sz w:val="20"/>
              </w:rPr>
              <w:t>Deletions</w:t>
            </w:r>
          </w:p>
          <w:p>
            <w:pPr>
              <w:pStyle w:val="TableParagraph"/>
              <w:spacing w:before="79"/>
              <w:ind w:left="476" w:right="97"/>
              <w:rPr>
                <w:sz w:val="20"/>
              </w:rPr>
            </w:pPr>
            <w:r>
              <w:rPr>
                <w:sz w:val="20"/>
              </w:rPr>
              <w:t>The following drugs have been removed from the MassHealth Drug List. MassHealth does not pay for drugs that are manufactured by companies that have not signed rebate agreements with the U.S. Secretary of Health and Human Services.</w:t>
            </w:r>
          </w:p>
          <w:p>
            <w:pPr>
              <w:pStyle w:val="TableParagraph"/>
              <w:spacing w:before="81"/>
              <w:ind w:left="650" w:right="2013"/>
              <w:rPr>
                <w:sz w:val="20"/>
              </w:rPr>
            </w:pPr>
            <w:r>
              <w:rPr>
                <w:sz w:val="20"/>
              </w:rPr>
              <w:t>Liquadd (dextroamphetamine) Tersi (selenium sulfide) Zegerid (omeprazole)</w:t>
            </w:r>
          </w:p>
          <w:p>
            <w:pPr>
              <w:pStyle w:val="TableParagraph"/>
              <w:spacing w:before="3"/>
              <w:rPr>
                <w:rFonts w:ascii="Arial Black"/>
                <w:b/>
                <w:sz w:val="14"/>
              </w:rPr>
            </w:pPr>
          </w:p>
          <w:p>
            <w:pPr>
              <w:pStyle w:val="TableParagraph"/>
              <w:numPr>
                <w:ilvl w:val="0"/>
                <w:numId w:val="6"/>
              </w:numPr>
              <w:tabs>
                <w:tab w:pos="463" w:val="left" w:leader="none"/>
              </w:tabs>
              <w:spacing w:line="240" w:lineRule="auto" w:before="0" w:after="0"/>
              <w:ind w:left="462" w:right="0" w:hanging="360"/>
              <w:jc w:val="left"/>
              <w:rPr>
                <w:b/>
                <w:sz w:val="20"/>
              </w:rPr>
            </w:pPr>
            <w:r>
              <w:rPr>
                <w:b/>
                <w:sz w:val="20"/>
              </w:rPr>
              <w:t>Corrections</w:t>
            </w:r>
          </w:p>
          <w:p>
            <w:pPr>
              <w:pStyle w:val="TableParagraph"/>
              <w:spacing w:before="80"/>
              <w:ind w:left="476" w:right="443" w:hanging="7"/>
              <w:rPr>
                <w:sz w:val="20"/>
              </w:rPr>
            </w:pPr>
            <w:r>
              <w:rPr>
                <w:sz w:val="20"/>
              </w:rPr>
              <w:t>The following drugs have been added to the MassHealth Drug List. They were omitted in error. These changes do not reflect any change in MassHealth policy.</w:t>
            </w:r>
          </w:p>
          <w:p>
            <w:pPr>
              <w:pStyle w:val="TableParagraph"/>
              <w:spacing w:before="79"/>
              <w:ind w:left="650" w:right="1831"/>
              <w:rPr>
                <w:sz w:val="20"/>
              </w:rPr>
            </w:pPr>
            <w:r>
              <w:rPr>
                <w:sz w:val="20"/>
              </w:rPr>
              <w:t>Campath (alemtuzumab) Cyklokapron (tranexamic acid) </w:t>
            </w:r>
            <w:r>
              <w:rPr>
                <w:sz w:val="20"/>
                <w:vertAlign w:val="superscript"/>
              </w:rPr>
              <w:t>H</w:t>
            </w:r>
          </w:p>
          <w:p>
            <w:pPr>
              <w:pStyle w:val="TableParagraph"/>
              <w:ind w:left="831" w:right="452" w:hanging="181"/>
              <w:rPr>
                <w:b/>
                <w:sz w:val="20"/>
              </w:rPr>
            </w:pPr>
            <w:r>
              <w:rPr>
                <w:sz w:val="20"/>
              </w:rPr>
              <w:t>Procentra (dextroamphetamine) – </w:t>
            </w:r>
            <w:r>
              <w:rPr>
                <w:b/>
                <w:sz w:val="20"/>
              </w:rPr>
              <w:t>PA &gt; 450 ml/ month</w:t>
            </w:r>
          </w:p>
          <w:p>
            <w:pPr>
              <w:pStyle w:val="TableParagraph"/>
              <w:spacing w:line="208" w:lineRule="exact"/>
              <w:ind w:left="471"/>
              <w:rPr>
                <w:sz w:val="16"/>
              </w:rPr>
            </w:pPr>
            <w:r>
              <w:rPr>
                <w:position w:val="9"/>
                <w:sz w:val="13"/>
              </w:rPr>
              <w:t>H </w:t>
            </w:r>
            <w:r>
              <w:rPr>
                <w:sz w:val="16"/>
              </w:rPr>
              <w:t>This drug is available only in an inpatient hospital setting.</w:t>
            </w:r>
          </w:p>
          <w:p>
            <w:pPr>
              <w:pStyle w:val="TableParagraph"/>
              <w:spacing w:before="22"/>
              <w:ind w:left="650" w:right="97"/>
              <w:rPr>
                <w:sz w:val="16"/>
              </w:rPr>
            </w:pPr>
            <w:r>
              <w:rPr>
                <w:sz w:val="16"/>
              </w:rPr>
              <w:t>MassHealth does not pay for this drug to be dispensed through the retail pharmacy or the physician’s office.</w:t>
            </w:r>
          </w:p>
        </w:tc>
        <w:tc>
          <w:tcPr>
            <w:tcW w:w="160" w:type="dxa"/>
            <w:tcBorders>
              <w:bottom w:val="single" w:sz="6" w:space="0" w:color="000000"/>
            </w:tcBorders>
          </w:tcPr>
          <w:p>
            <w:pPr>
              <w:pStyle w:val="TableParagraph"/>
              <w:rPr>
                <w:rFonts w:ascii="Times New Roman"/>
                <w:sz w:val="18"/>
              </w:rPr>
            </w:pPr>
          </w:p>
        </w:tc>
      </w:tr>
    </w:tbl>
    <w:p>
      <w:pPr>
        <w:pStyle w:val="BodyText"/>
        <w:spacing w:line="20" w:lineRule="exact"/>
        <w:ind w:left="100"/>
        <w:rPr>
          <w:rFonts w:ascii="Arial Black"/>
          <w:sz w:val="2"/>
        </w:rPr>
      </w:pPr>
      <w:r>
        <w:rPr>
          <w:rFonts w:ascii="Arial Black"/>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Black"/>
          <w:sz w:val="2"/>
        </w:rPr>
      </w:r>
    </w:p>
    <w:p>
      <w:pPr>
        <w:pStyle w:val="BodyText"/>
        <w:spacing w:line="241" w:lineRule="exact" w:before="118"/>
        <w:ind w:left="1864" w:right="1417"/>
        <w:jc w:val="center"/>
      </w:pPr>
      <w:r>
        <w:rPr/>
        <w:t>Please direct any questions or comments (or to be taken off of this fax distribution) to</w:t>
      </w:r>
    </w:p>
    <w:p>
      <w:pPr>
        <w:spacing w:line="296" w:lineRule="exact" w:before="0"/>
        <w:ind w:left="1862" w:right="1417" w:firstLine="0"/>
        <w:jc w:val="center"/>
        <w:rPr>
          <w:sz w:val="21"/>
        </w:rPr>
      </w:pPr>
      <w:r>
        <w:rPr>
          <w:rFonts w:ascii="Arial Black"/>
          <w:b/>
          <w:sz w:val="21"/>
        </w:rPr>
        <w:t>Victor Moquin </w:t>
      </w:r>
      <w:r>
        <w:rPr>
          <w:sz w:val="21"/>
        </w:rPr>
        <w:t>of ACS at 617-423-9830.</w:t>
      </w:r>
    </w:p>
    <w:sectPr>
      <w:pgSz w:w="12240" w:h="15840"/>
      <w:pgMar w:top="360" w:bottom="280" w:left="6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6"/>
      <w:numFmt w:val="decimal"/>
      <w:lvlText w:val="%1."/>
      <w:lvlJc w:val="left"/>
      <w:pPr>
        <w:ind w:left="463" w:hanging="361"/>
        <w:jc w:val="left"/>
      </w:pPr>
      <w:rPr>
        <w:rFonts w:hint="default" w:ascii="Arial" w:hAnsi="Arial" w:eastAsia="Arial" w:cs="Arial"/>
        <w:b/>
        <w:bCs/>
        <w:w w:val="100"/>
        <w:sz w:val="20"/>
        <w:szCs w:val="20"/>
      </w:rPr>
    </w:lvl>
    <w:lvl w:ilvl="1">
      <w:start w:val="0"/>
      <w:numFmt w:val="bullet"/>
      <w:lvlText w:val="•"/>
      <w:lvlJc w:val="left"/>
      <w:pPr>
        <w:ind w:left="640" w:hanging="361"/>
      </w:pPr>
      <w:rPr>
        <w:rFonts w:hint="default"/>
      </w:rPr>
    </w:lvl>
    <w:lvl w:ilvl="2">
      <w:start w:val="0"/>
      <w:numFmt w:val="bullet"/>
      <w:lvlText w:val="•"/>
      <w:lvlJc w:val="left"/>
      <w:pPr>
        <w:ind w:left="1163" w:hanging="361"/>
      </w:pPr>
      <w:rPr>
        <w:rFonts w:hint="default"/>
      </w:rPr>
    </w:lvl>
    <w:lvl w:ilvl="3">
      <w:start w:val="0"/>
      <w:numFmt w:val="bullet"/>
      <w:lvlText w:val="•"/>
      <w:lvlJc w:val="left"/>
      <w:pPr>
        <w:ind w:left="1687" w:hanging="361"/>
      </w:pPr>
      <w:rPr>
        <w:rFonts w:hint="default"/>
      </w:rPr>
    </w:lvl>
    <w:lvl w:ilvl="4">
      <w:start w:val="0"/>
      <w:numFmt w:val="bullet"/>
      <w:lvlText w:val="•"/>
      <w:lvlJc w:val="left"/>
      <w:pPr>
        <w:ind w:left="2210" w:hanging="361"/>
      </w:pPr>
      <w:rPr>
        <w:rFonts w:hint="default"/>
      </w:rPr>
    </w:lvl>
    <w:lvl w:ilvl="5">
      <w:start w:val="0"/>
      <w:numFmt w:val="bullet"/>
      <w:lvlText w:val="•"/>
      <w:lvlJc w:val="left"/>
      <w:pPr>
        <w:ind w:left="2734" w:hanging="361"/>
      </w:pPr>
      <w:rPr>
        <w:rFonts w:hint="default"/>
      </w:rPr>
    </w:lvl>
    <w:lvl w:ilvl="6">
      <w:start w:val="0"/>
      <w:numFmt w:val="bullet"/>
      <w:lvlText w:val="•"/>
      <w:lvlJc w:val="left"/>
      <w:pPr>
        <w:ind w:left="3257" w:hanging="361"/>
      </w:pPr>
      <w:rPr>
        <w:rFonts w:hint="default"/>
      </w:rPr>
    </w:lvl>
    <w:lvl w:ilvl="7">
      <w:start w:val="0"/>
      <w:numFmt w:val="bullet"/>
      <w:lvlText w:val="•"/>
      <w:lvlJc w:val="left"/>
      <w:pPr>
        <w:ind w:left="3781" w:hanging="361"/>
      </w:pPr>
      <w:rPr>
        <w:rFonts w:hint="default"/>
      </w:rPr>
    </w:lvl>
    <w:lvl w:ilvl="8">
      <w:start w:val="0"/>
      <w:numFmt w:val="bullet"/>
      <w:lvlText w:val="•"/>
      <w:lvlJc w:val="left"/>
      <w:pPr>
        <w:ind w:left="4304" w:hanging="361"/>
      </w:pPr>
      <w:rPr>
        <w:rFonts w:hint="default"/>
      </w:rPr>
    </w:lvl>
  </w:abstractNum>
  <w:abstractNum w:abstractNumId="4">
    <w:multiLevelType w:val="hybridMultilevel"/>
    <w:lvl w:ilvl="0">
      <w:start w:val="4"/>
      <w:numFmt w:val="decimal"/>
      <w:lvlText w:val="%1."/>
      <w:lvlJc w:val="left"/>
      <w:pPr>
        <w:ind w:left="468" w:hanging="361"/>
        <w:jc w:val="left"/>
      </w:pPr>
      <w:rPr>
        <w:rFonts w:hint="default" w:ascii="Arial" w:hAnsi="Arial" w:eastAsia="Arial" w:cs="Arial"/>
        <w:b/>
        <w:bCs/>
        <w:w w:val="100"/>
        <w:sz w:val="20"/>
        <w:szCs w:val="20"/>
      </w:rPr>
    </w:lvl>
    <w:lvl w:ilvl="1">
      <w:start w:val="0"/>
      <w:numFmt w:val="bullet"/>
      <w:lvlText w:val="•"/>
      <w:lvlJc w:val="left"/>
      <w:pPr>
        <w:ind w:left="952" w:hanging="361"/>
      </w:pPr>
      <w:rPr>
        <w:rFonts w:hint="default"/>
      </w:rPr>
    </w:lvl>
    <w:lvl w:ilvl="2">
      <w:start w:val="0"/>
      <w:numFmt w:val="bullet"/>
      <w:lvlText w:val="•"/>
      <w:lvlJc w:val="left"/>
      <w:pPr>
        <w:ind w:left="1445" w:hanging="361"/>
      </w:pPr>
      <w:rPr>
        <w:rFonts w:hint="default"/>
      </w:rPr>
    </w:lvl>
    <w:lvl w:ilvl="3">
      <w:start w:val="0"/>
      <w:numFmt w:val="bullet"/>
      <w:lvlText w:val="•"/>
      <w:lvlJc w:val="left"/>
      <w:pPr>
        <w:ind w:left="1938" w:hanging="361"/>
      </w:pPr>
      <w:rPr>
        <w:rFonts w:hint="default"/>
      </w:rPr>
    </w:lvl>
    <w:lvl w:ilvl="4">
      <w:start w:val="0"/>
      <w:numFmt w:val="bullet"/>
      <w:lvlText w:val="•"/>
      <w:lvlJc w:val="left"/>
      <w:pPr>
        <w:ind w:left="2430" w:hanging="361"/>
      </w:pPr>
      <w:rPr>
        <w:rFonts w:hint="default"/>
      </w:rPr>
    </w:lvl>
    <w:lvl w:ilvl="5">
      <w:start w:val="0"/>
      <w:numFmt w:val="bullet"/>
      <w:lvlText w:val="•"/>
      <w:lvlJc w:val="left"/>
      <w:pPr>
        <w:ind w:left="2923" w:hanging="361"/>
      </w:pPr>
      <w:rPr>
        <w:rFonts w:hint="default"/>
      </w:rPr>
    </w:lvl>
    <w:lvl w:ilvl="6">
      <w:start w:val="0"/>
      <w:numFmt w:val="bullet"/>
      <w:lvlText w:val="•"/>
      <w:lvlJc w:val="left"/>
      <w:pPr>
        <w:ind w:left="3416" w:hanging="361"/>
      </w:pPr>
      <w:rPr>
        <w:rFonts w:hint="default"/>
      </w:rPr>
    </w:lvl>
    <w:lvl w:ilvl="7">
      <w:start w:val="0"/>
      <w:numFmt w:val="bullet"/>
      <w:lvlText w:val="•"/>
      <w:lvlJc w:val="left"/>
      <w:pPr>
        <w:ind w:left="3908" w:hanging="361"/>
      </w:pPr>
      <w:rPr>
        <w:rFonts w:hint="default"/>
      </w:rPr>
    </w:lvl>
    <w:lvl w:ilvl="8">
      <w:start w:val="0"/>
      <w:numFmt w:val="bullet"/>
      <w:lvlText w:val="•"/>
      <w:lvlJc w:val="left"/>
      <w:pPr>
        <w:ind w:left="4401" w:hanging="361"/>
      </w:pPr>
      <w:rPr>
        <w:rFonts w:hint="default"/>
      </w:rPr>
    </w:lvl>
  </w:abstractNum>
  <w:abstractNum w:abstractNumId="3">
    <w:multiLevelType w:val="hybridMultilevel"/>
    <w:lvl w:ilvl="0">
      <w:start w:val="3"/>
      <w:numFmt w:val="lowerLetter"/>
      <w:lvlText w:val="%1."/>
      <w:lvlJc w:val="left"/>
      <w:pPr>
        <w:ind w:left="827" w:hanging="360"/>
        <w:jc w:val="left"/>
      </w:pPr>
      <w:rPr>
        <w:rFonts w:hint="default" w:ascii="Arial" w:hAnsi="Arial" w:eastAsia="Arial" w:cs="Arial"/>
        <w:w w:val="100"/>
        <w:sz w:val="20"/>
        <w:szCs w:val="20"/>
      </w:rPr>
    </w:lvl>
    <w:lvl w:ilvl="1">
      <w:start w:val="0"/>
      <w:numFmt w:val="bullet"/>
      <w:lvlText w:val="•"/>
      <w:lvlJc w:val="left"/>
      <w:pPr>
        <w:ind w:left="1276" w:hanging="360"/>
      </w:pPr>
      <w:rPr>
        <w:rFonts w:hint="default"/>
      </w:rPr>
    </w:lvl>
    <w:lvl w:ilvl="2">
      <w:start w:val="0"/>
      <w:numFmt w:val="bullet"/>
      <w:lvlText w:val="•"/>
      <w:lvlJc w:val="left"/>
      <w:pPr>
        <w:ind w:left="1733" w:hanging="360"/>
      </w:pPr>
      <w:rPr>
        <w:rFonts w:hint="default"/>
      </w:rPr>
    </w:lvl>
    <w:lvl w:ilvl="3">
      <w:start w:val="0"/>
      <w:numFmt w:val="bullet"/>
      <w:lvlText w:val="•"/>
      <w:lvlJc w:val="left"/>
      <w:pPr>
        <w:ind w:left="2190" w:hanging="360"/>
      </w:pPr>
      <w:rPr>
        <w:rFonts w:hint="default"/>
      </w:rPr>
    </w:lvl>
    <w:lvl w:ilvl="4">
      <w:start w:val="0"/>
      <w:numFmt w:val="bullet"/>
      <w:lvlText w:val="•"/>
      <w:lvlJc w:val="left"/>
      <w:pPr>
        <w:ind w:left="2646" w:hanging="360"/>
      </w:pPr>
      <w:rPr>
        <w:rFonts w:hint="default"/>
      </w:rPr>
    </w:lvl>
    <w:lvl w:ilvl="5">
      <w:start w:val="0"/>
      <w:numFmt w:val="bullet"/>
      <w:lvlText w:val="•"/>
      <w:lvlJc w:val="left"/>
      <w:pPr>
        <w:ind w:left="3103" w:hanging="360"/>
      </w:pPr>
      <w:rPr>
        <w:rFonts w:hint="default"/>
      </w:rPr>
    </w:lvl>
    <w:lvl w:ilvl="6">
      <w:start w:val="0"/>
      <w:numFmt w:val="bullet"/>
      <w:lvlText w:val="•"/>
      <w:lvlJc w:val="left"/>
      <w:pPr>
        <w:ind w:left="3560" w:hanging="360"/>
      </w:pPr>
      <w:rPr>
        <w:rFonts w:hint="default"/>
      </w:rPr>
    </w:lvl>
    <w:lvl w:ilvl="7">
      <w:start w:val="0"/>
      <w:numFmt w:val="bullet"/>
      <w:lvlText w:val="•"/>
      <w:lvlJc w:val="left"/>
      <w:pPr>
        <w:ind w:left="4016" w:hanging="360"/>
      </w:pPr>
      <w:rPr>
        <w:rFonts w:hint="default"/>
      </w:rPr>
    </w:lvl>
    <w:lvl w:ilvl="8">
      <w:start w:val="0"/>
      <w:numFmt w:val="bullet"/>
      <w:lvlText w:val="•"/>
      <w:lvlJc w:val="left"/>
      <w:pPr>
        <w:ind w:left="4473" w:hanging="360"/>
      </w:pPr>
      <w:rPr>
        <w:rFonts w:hint="default"/>
      </w:rPr>
    </w:lvl>
  </w:abstractNum>
  <w:abstractNum w:abstractNumId="2">
    <w:multiLevelType w:val="hybridMultilevel"/>
    <w:lvl w:ilvl="0">
      <w:start w:val="2"/>
      <w:numFmt w:val="decimal"/>
      <w:lvlText w:val="%1."/>
      <w:lvlJc w:val="left"/>
      <w:pPr>
        <w:ind w:left="463" w:hanging="361"/>
        <w:jc w:val="left"/>
      </w:pPr>
      <w:rPr>
        <w:rFonts w:hint="default" w:ascii="Arial" w:hAnsi="Arial" w:eastAsia="Arial" w:cs="Arial"/>
        <w:b/>
        <w:bCs/>
        <w:w w:val="100"/>
        <w:sz w:val="20"/>
        <w:szCs w:val="20"/>
      </w:rPr>
    </w:lvl>
    <w:lvl w:ilvl="1">
      <w:start w:val="1"/>
      <w:numFmt w:val="lowerLetter"/>
      <w:lvlText w:val="%2."/>
      <w:lvlJc w:val="left"/>
      <w:pPr>
        <w:ind w:left="822" w:hanging="361"/>
        <w:jc w:val="left"/>
      </w:pPr>
      <w:rPr>
        <w:rFonts w:hint="default" w:ascii="Arial" w:hAnsi="Arial" w:eastAsia="Arial" w:cs="Arial"/>
        <w:w w:val="100"/>
        <w:sz w:val="20"/>
        <w:szCs w:val="20"/>
      </w:rPr>
    </w:lvl>
    <w:lvl w:ilvl="2">
      <w:start w:val="0"/>
      <w:numFmt w:val="bullet"/>
      <w:lvlText w:val="•"/>
      <w:lvlJc w:val="left"/>
      <w:pPr>
        <w:ind w:left="1317" w:hanging="361"/>
      </w:pPr>
      <w:rPr>
        <w:rFonts w:hint="default"/>
      </w:rPr>
    </w:lvl>
    <w:lvl w:ilvl="3">
      <w:start w:val="0"/>
      <w:numFmt w:val="bullet"/>
      <w:lvlText w:val="•"/>
      <w:lvlJc w:val="left"/>
      <w:pPr>
        <w:ind w:left="1815" w:hanging="361"/>
      </w:pPr>
      <w:rPr>
        <w:rFonts w:hint="default"/>
      </w:rPr>
    </w:lvl>
    <w:lvl w:ilvl="4">
      <w:start w:val="0"/>
      <w:numFmt w:val="bullet"/>
      <w:lvlText w:val="•"/>
      <w:lvlJc w:val="left"/>
      <w:pPr>
        <w:ind w:left="2312" w:hanging="361"/>
      </w:pPr>
      <w:rPr>
        <w:rFonts w:hint="default"/>
      </w:rPr>
    </w:lvl>
    <w:lvl w:ilvl="5">
      <w:start w:val="0"/>
      <w:numFmt w:val="bullet"/>
      <w:lvlText w:val="•"/>
      <w:lvlJc w:val="left"/>
      <w:pPr>
        <w:ind w:left="2810" w:hanging="361"/>
      </w:pPr>
      <w:rPr>
        <w:rFonts w:hint="default"/>
      </w:rPr>
    </w:lvl>
    <w:lvl w:ilvl="6">
      <w:start w:val="0"/>
      <w:numFmt w:val="bullet"/>
      <w:lvlText w:val="•"/>
      <w:lvlJc w:val="left"/>
      <w:pPr>
        <w:ind w:left="3307" w:hanging="361"/>
      </w:pPr>
      <w:rPr>
        <w:rFonts w:hint="default"/>
      </w:rPr>
    </w:lvl>
    <w:lvl w:ilvl="7">
      <w:start w:val="0"/>
      <w:numFmt w:val="bullet"/>
      <w:lvlText w:val="•"/>
      <w:lvlJc w:val="left"/>
      <w:pPr>
        <w:ind w:left="3805" w:hanging="361"/>
      </w:pPr>
      <w:rPr>
        <w:rFonts w:hint="default"/>
      </w:rPr>
    </w:lvl>
    <w:lvl w:ilvl="8">
      <w:start w:val="0"/>
      <w:numFmt w:val="bullet"/>
      <w:lvlText w:val="•"/>
      <w:lvlJc w:val="left"/>
      <w:pPr>
        <w:ind w:left="4302" w:hanging="361"/>
      </w:pPr>
      <w:rPr>
        <w:rFonts w:hint="default"/>
      </w:rPr>
    </w:lvl>
  </w:abstractNum>
  <w:abstractNum w:abstractNumId="1">
    <w:multiLevelType w:val="hybridMultilevel"/>
    <w:lvl w:ilvl="0">
      <w:start w:val="1"/>
      <w:numFmt w:val="decimal"/>
      <w:lvlText w:val="%1."/>
      <w:lvlJc w:val="left"/>
      <w:pPr>
        <w:ind w:left="468" w:hanging="361"/>
        <w:jc w:val="left"/>
      </w:pPr>
      <w:rPr>
        <w:rFonts w:hint="default" w:ascii="Arial" w:hAnsi="Arial" w:eastAsia="Arial" w:cs="Arial"/>
        <w:b/>
        <w:bCs/>
        <w:spacing w:val="-1"/>
        <w:w w:val="100"/>
        <w:sz w:val="20"/>
        <w:szCs w:val="20"/>
      </w:rPr>
    </w:lvl>
    <w:lvl w:ilvl="1">
      <w:start w:val="1"/>
      <w:numFmt w:val="lowerLetter"/>
      <w:lvlText w:val="%2."/>
      <w:lvlJc w:val="left"/>
      <w:pPr>
        <w:ind w:left="842" w:hanging="333"/>
        <w:jc w:val="left"/>
      </w:pPr>
      <w:rPr>
        <w:rFonts w:hint="default" w:ascii="Arial" w:hAnsi="Arial" w:eastAsia="Arial" w:cs="Arial"/>
        <w:spacing w:val="-1"/>
        <w:w w:val="100"/>
        <w:sz w:val="20"/>
        <w:szCs w:val="20"/>
      </w:rPr>
    </w:lvl>
    <w:lvl w:ilvl="2">
      <w:start w:val="0"/>
      <w:numFmt w:val="bullet"/>
      <w:lvlText w:val="•"/>
      <w:lvlJc w:val="left"/>
      <w:pPr>
        <w:ind w:left="1312" w:hanging="333"/>
      </w:pPr>
      <w:rPr>
        <w:rFonts w:hint="default"/>
      </w:rPr>
    </w:lvl>
    <w:lvl w:ilvl="3">
      <w:start w:val="0"/>
      <w:numFmt w:val="bullet"/>
      <w:lvlText w:val="•"/>
      <w:lvlJc w:val="left"/>
      <w:pPr>
        <w:ind w:left="1784" w:hanging="333"/>
      </w:pPr>
      <w:rPr>
        <w:rFonts w:hint="default"/>
      </w:rPr>
    </w:lvl>
    <w:lvl w:ilvl="4">
      <w:start w:val="0"/>
      <w:numFmt w:val="bullet"/>
      <w:lvlText w:val="•"/>
      <w:lvlJc w:val="left"/>
      <w:pPr>
        <w:ind w:left="2256" w:hanging="333"/>
      </w:pPr>
      <w:rPr>
        <w:rFonts w:hint="default"/>
      </w:rPr>
    </w:lvl>
    <w:lvl w:ilvl="5">
      <w:start w:val="0"/>
      <w:numFmt w:val="bullet"/>
      <w:lvlText w:val="•"/>
      <w:lvlJc w:val="left"/>
      <w:pPr>
        <w:ind w:left="2728" w:hanging="333"/>
      </w:pPr>
      <w:rPr>
        <w:rFonts w:hint="default"/>
      </w:rPr>
    </w:lvl>
    <w:lvl w:ilvl="6">
      <w:start w:val="0"/>
      <w:numFmt w:val="bullet"/>
      <w:lvlText w:val="•"/>
      <w:lvlJc w:val="left"/>
      <w:pPr>
        <w:ind w:left="3200" w:hanging="333"/>
      </w:pPr>
      <w:rPr>
        <w:rFonts w:hint="default"/>
      </w:rPr>
    </w:lvl>
    <w:lvl w:ilvl="7">
      <w:start w:val="0"/>
      <w:numFmt w:val="bullet"/>
      <w:lvlText w:val="•"/>
      <w:lvlJc w:val="left"/>
      <w:pPr>
        <w:ind w:left="3672" w:hanging="333"/>
      </w:pPr>
      <w:rPr>
        <w:rFonts w:hint="default"/>
      </w:rPr>
    </w:lvl>
    <w:lvl w:ilvl="8">
      <w:start w:val="0"/>
      <w:numFmt w:val="bullet"/>
      <w:lvlText w:val="•"/>
      <w:lvlJc w:val="left"/>
      <w:pPr>
        <w:ind w:left="4144" w:hanging="333"/>
      </w:pPr>
      <w:rPr>
        <w:rFonts w:hint="default"/>
      </w:rPr>
    </w:lvl>
  </w:abstractNum>
  <w:abstractNum w:abstractNumId="0">
    <w:multiLevelType w:val="hybridMultilevel"/>
    <w:lvl w:ilvl="0">
      <w:start w:val="0"/>
      <w:numFmt w:val="bullet"/>
      <w:lvlText w:val="•"/>
      <w:lvlJc w:val="left"/>
      <w:pPr>
        <w:ind w:left="1727" w:hanging="150"/>
      </w:pPr>
      <w:rPr>
        <w:rFonts w:hint="default" w:ascii="Arial Black" w:hAnsi="Arial Black" w:eastAsia="Arial Black" w:cs="Arial Black"/>
        <w:b/>
        <w:bCs/>
        <w:w w:val="100"/>
        <w:sz w:val="18"/>
        <w:szCs w:val="18"/>
      </w:rPr>
    </w:lvl>
    <w:lvl w:ilvl="1">
      <w:start w:val="0"/>
      <w:numFmt w:val="bullet"/>
      <w:lvlText w:val="•"/>
      <w:lvlJc w:val="left"/>
      <w:pPr>
        <w:ind w:left="2587" w:hanging="150"/>
      </w:pPr>
      <w:rPr>
        <w:rFonts w:hint="default"/>
      </w:rPr>
    </w:lvl>
    <w:lvl w:ilvl="2">
      <w:start w:val="0"/>
      <w:numFmt w:val="bullet"/>
      <w:lvlText w:val="•"/>
      <w:lvlJc w:val="left"/>
      <w:pPr>
        <w:ind w:left="3455" w:hanging="150"/>
      </w:pPr>
      <w:rPr>
        <w:rFonts w:hint="default"/>
      </w:rPr>
    </w:lvl>
    <w:lvl w:ilvl="3">
      <w:start w:val="0"/>
      <w:numFmt w:val="bullet"/>
      <w:lvlText w:val="•"/>
      <w:lvlJc w:val="left"/>
      <w:pPr>
        <w:ind w:left="4323" w:hanging="150"/>
      </w:pPr>
      <w:rPr>
        <w:rFonts w:hint="default"/>
      </w:rPr>
    </w:lvl>
    <w:lvl w:ilvl="4">
      <w:start w:val="0"/>
      <w:numFmt w:val="bullet"/>
      <w:lvlText w:val="•"/>
      <w:lvlJc w:val="left"/>
      <w:pPr>
        <w:ind w:left="5190" w:hanging="150"/>
      </w:pPr>
      <w:rPr>
        <w:rFonts w:hint="default"/>
      </w:rPr>
    </w:lvl>
    <w:lvl w:ilvl="5">
      <w:start w:val="0"/>
      <w:numFmt w:val="bullet"/>
      <w:lvlText w:val="•"/>
      <w:lvlJc w:val="left"/>
      <w:pPr>
        <w:ind w:left="6058" w:hanging="150"/>
      </w:pPr>
      <w:rPr>
        <w:rFonts w:hint="default"/>
      </w:rPr>
    </w:lvl>
    <w:lvl w:ilvl="6">
      <w:start w:val="0"/>
      <w:numFmt w:val="bullet"/>
      <w:lvlText w:val="•"/>
      <w:lvlJc w:val="left"/>
      <w:pPr>
        <w:ind w:left="6926" w:hanging="150"/>
      </w:pPr>
      <w:rPr>
        <w:rFonts w:hint="default"/>
      </w:rPr>
    </w:lvl>
    <w:lvl w:ilvl="7">
      <w:start w:val="0"/>
      <w:numFmt w:val="bullet"/>
      <w:lvlText w:val="•"/>
      <w:lvlJc w:val="left"/>
      <w:pPr>
        <w:ind w:left="7793" w:hanging="150"/>
      </w:pPr>
      <w:rPr>
        <w:rFonts w:hint="default"/>
      </w:rPr>
    </w:lvl>
    <w:lvl w:ilvl="8">
      <w:start w:val="0"/>
      <w:numFmt w:val="bullet"/>
      <w:lvlText w:val="•"/>
      <w:lvlJc w:val="left"/>
      <w:pPr>
        <w:ind w:left="8661" w:hanging="15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2017-11-20T19:08:25Z</dcterms:created>
  <dcterms:modified xsi:type="dcterms:W3CDTF">2017-11-20T19:08:25Z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2010-02-11T00:00:00Z</vt:filetime>
  </property>
  <property fmtid="{D5CDD505-2E9C-101B-9397-08002B2CF9AE}" pid="3" name="Creator">
    <vt:lpwstr>Acrobat PDFMaker 8.1 for Word</vt:lpwstr>
  </property>
  <property fmtid="{D5CDD505-2E9C-101B-9397-08002B2CF9AE}" pid="4" name="LastSaved">
    <vt:filetime>2017-11-20T00:00:00Z</vt:filetime>
  </property>
</Properties>
</file>