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844" w:right="1541" w:firstLine="0"/>
        <w:jc w:val="center"/>
        <w:rPr>
          <w:rFonts w:ascii="Arial Narrow"/>
          <w:sz w:val="18"/>
        </w:rPr>
      </w:pPr>
      <w:r>
        <w:rPr/>
        <w:pict>
          <v:group style="position:absolute;margin-left:41.279999pt;margin-top:-105.210442pt;width:542.4pt;height:107.85pt;mso-position-horizontal-relative:page;mso-position-vertical-relative:paragraph;z-index:-3400"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0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57</w:t>
                    </w:r>
                  </w:p>
                  <w:p>
                    <w:pPr>
                      <w:spacing w:before="44"/>
                      <w:ind w:left="0" w:right="0" w:firstLine="0"/>
                      <w:jc w:val="left"/>
                      <w:rPr>
                        <w:rFonts w:ascii="Arial Narrow"/>
                        <w:b/>
                        <w:sz w:val="20"/>
                      </w:rPr>
                    </w:pPr>
                    <w:r>
                      <w:rPr>
                        <w:rFonts w:ascii="Arial Narrow"/>
                        <w:b/>
                        <w:sz w:val="20"/>
                      </w:rPr>
                      <w:t>March 5, 2010</w:t>
                    </w:r>
                  </w:p>
                </w:txbxContent>
              </v:textbox>
              <w10:wrap type="none"/>
            </v:shape>
            <w10:wrap type="none"/>
          </v:group>
        </w:pict>
      </w:r>
      <w:hyperlink r:id="rId6">
        <w:r>
          <w:rPr>
            <w:rFonts w:ascii="Arial Narrow"/>
            <w:sz w:val="18"/>
          </w:rPr>
          <w:t>www.mass.gov/masshealth/pharmacy</w:t>
        </w:r>
      </w:hyperlink>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2"/>
        <w:gridCol w:w="5303"/>
        <w:gridCol w:w="400"/>
      </w:tblGrid>
      <w:tr>
        <w:trPr>
          <w:trHeight w:val="303" w:hRule="atLeast"/>
        </w:trPr>
        <w:tc>
          <w:tcPr>
            <w:tcW w:w="10595" w:type="dxa"/>
            <w:gridSpan w:val="2"/>
            <w:tcBorders>
              <w:top w:val="single" w:sz="8" w:space="0" w:color="000000"/>
              <w:bottom w:val="single" w:sz="8" w:space="0" w:color="000000"/>
            </w:tcBorders>
          </w:tcPr>
          <w:p>
            <w:pPr>
              <w:pStyle w:val="TableParagraph"/>
              <w:numPr>
                <w:ilvl w:val="0"/>
                <w:numId w:val="1"/>
              </w:numPr>
              <w:tabs>
                <w:tab w:pos="1818" w:val="left" w:leader="none"/>
              </w:tabs>
              <w:spacing w:line="240" w:lineRule="auto" w:before="0" w:after="0"/>
              <w:ind w:left="1817"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tc>
        <w:tc>
          <w:tcPr>
            <w:tcW w:w="400" w:type="dxa"/>
          </w:tcPr>
          <w:p>
            <w:pPr>
              <w:pStyle w:val="TableParagraph"/>
              <w:rPr>
                <w:rFonts w:ascii="Times New Roman"/>
                <w:sz w:val="20"/>
              </w:rPr>
            </w:pPr>
          </w:p>
        </w:tc>
      </w:tr>
      <w:tr>
        <w:trPr>
          <w:trHeight w:val="11932" w:hRule="atLeast"/>
        </w:trPr>
        <w:tc>
          <w:tcPr>
            <w:tcW w:w="5292" w:type="dxa"/>
            <w:tcBorders>
              <w:top w:val="single" w:sz="8" w:space="0" w:color="000000"/>
              <w:bottom w:val="single" w:sz="6" w:space="0" w:color="000000"/>
              <w:right w:val="single" w:sz="4" w:space="0" w:color="000000"/>
            </w:tcBorders>
          </w:tcPr>
          <w:p>
            <w:pPr>
              <w:pStyle w:val="TableParagraph"/>
              <w:spacing w:before="199"/>
              <w:ind w:left="90"/>
              <w:rPr>
                <w:rFonts w:ascii="Arial Black"/>
                <w:b/>
                <w:sz w:val="22"/>
              </w:rPr>
            </w:pPr>
            <w:r>
              <w:rPr>
                <w:rFonts w:ascii="Arial Black"/>
                <w:b/>
                <w:sz w:val="22"/>
              </w:rPr>
              <w:t>Blood Glucose Test Strip Update</w:t>
            </w:r>
          </w:p>
          <w:p>
            <w:pPr>
              <w:pStyle w:val="TableParagraph"/>
              <w:spacing w:before="144"/>
              <w:ind w:left="89" w:right="159"/>
              <w:rPr>
                <w:sz w:val="21"/>
              </w:rPr>
            </w:pPr>
            <w:r>
              <w:rPr>
                <w:sz w:val="21"/>
              </w:rPr>
              <w:t>Effective April 1, 2010, FreeStyle, FreeStyle Lite, and Precision Xtra test strips will be the preferred diabetes blood glucose test strips of the MassHealth Pharmacy Program.</w:t>
            </w:r>
          </w:p>
          <w:p>
            <w:pPr>
              <w:pStyle w:val="TableParagraph"/>
              <w:spacing w:before="120"/>
              <w:ind w:left="89" w:right="88"/>
              <w:rPr>
                <w:sz w:val="21"/>
              </w:rPr>
            </w:pPr>
            <w:r>
              <w:rPr>
                <w:sz w:val="21"/>
              </w:rPr>
              <w:t>Claims for new prescriptions of any other product will require prior authorization (PA). Keep in mind that any claim for any diabetes blood glucose test strip with a quantity &gt; 100/month will also require prior authorization. Current prescriptions for nonpreferred products will be honored and will not require prior authorization until existing refills have been exhausted.</w:t>
            </w:r>
          </w:p>
          <w:p>
            <w:pPr>
              <w:pStyle w:val="TableParagraph"/>
              <w:spacing w:before="120"/>
              <w:ind w:left="90" w:right="115"/>
              <w:rPr>
                <w:sz w:val="21"/>
              </w:rPr>
            </w:pPr>
            <w:r>
              <w:rPr>
                <w:sz w:val="21"/>
              </w:rPr>
              <w:t>Abbott Diabetes Care is required to provide replacement meters for MassHealth members requiring a new blood glucose monitor. Abbott ensures that members will receive their replacement meters either through direct delivery to the member or by the member picking up the monitor from their prescriber or pharmacy. Abbott will be providing these meters to prescribers and pharmacies at no cost to MassHealth, providers, or members. MassHealth strives to ensure a smooth implementation. Abbott Diabetes Care will soon be in touch with you about all conversion issues. Pharmacists can call Abbott at 866-216-5747 to ask questions about Abbott diabetes products or this conversion.</w:t>
            </w:r>
          </w:p>
          <w:p>
            <w:pPr>
              <w:pStyle w:val="TableParagraph"/>
              <w:spacing w:before="3"/>
              <w:rPr>
                <w:rFonts w:ascii="Arial Narrow"/>
                <w:sz w:val="17"/>
              </w:rPr>
            </w:pPr>
          </w:p>
          <w:p>
            <w:pPr>
              <w:pStyle w:val="TableParagraph"/>
              <w:ind w:left="90"/>
              <w:rPr>
                <w:rFonts w:ascii="Arial Black"/>
                <w:b/>
                <w:sz w:val="22"/>
              </w:rPr>
            </w:pPr>
            <w:r>
              <w:rPr>
                <w:rFonts w:ascii="Arial Black"/>
                <w:b/>
                <w:sz w:val="22"/>
              </w:rPr>
              <w:t>MHDL Update</w:t>
            </w:r>
          </w:p>
          <w:p>
            <w:pPr>
              <w:pStyle w:val="TableParagraph"/>
              <w:spacing w:before="143"/>
              <w:ind w:left="90" w:right="99"/>
              <w:rPr>
                <w:sz w:val="21"/>
              </w:rPr>
            </w:pPr>
            <w:r>
              <w:rPr>
                <w:sz w:val="21"/>
              </w:rPr>
              <w:t>Below are certain updates to the MassHealth Drug List (MHDL). The MHDL has a complete listing of updates.</w:t>
            </w:r>
          </w:p>
          <w:p>
            <w:pPr>
              <w:pStyle w:val="TableParagraph"/>
              <w:spacing w:before="6"/>
              <w:rPr>
                <w:rFonts w:ascii="Arial Narrow"/>
                <w:sz w:val="17"/>
              </w:rPr>
            </w:pPr>
          </w:p>
          <w:p>
            <w:pPr>
              <w:pStyle w:val="TableParagraph"/>
              <w:numPr>
                <w:ilvl w:val="0"/>
                <w:numId w:val="2"/>
              </w:numPr>
              <w:tabs>
                <w:tab w:pos="451" w:val="left" w:leader="none"/>
              </w:tabs>
              <w:spacing w:line="240" w:lineRule="auto" w:before="1" w:after="0"/>
              <w:ind w:left="450" w:right="0" w:hanging="360"/>
              <w:jc w:val="left"/>
              <w:rPr>
                <w:b/>
                <w:sz w:val="21"/>
              </w:rPr>
            </w:pPr>
            <w:r>
              <w:rPr>
                <w:b/>
                <w:sz w:val="21"/>
              </w:rPr>
              <w:t>Additions</w:t>
            </w:r>
          </w:p>
          <w:p>
            <w:pPr>
              <w:pStyle w:val="TableParagraph"/>
              <w:numPr>
                <w:ilvl w:val="1"/>
                <w:numId w:val="2"/>
              </w:numPr>
              <w:tabs>
                <w:tab w:pos="816" w:val="left" w:leader="none"/>
              </w:tabs>
              <w:spacing w:line="240" w:lineRule="auto" w:before="0" w:after="0"/>
              <w:ind w:left="824" w:right="607" w:hanging="360"/>
              <w:jc w:val="left"/>
              <w:rPr>
                <w:sz w:val="21"/>
              </w:rPr>
            </w:pPr>
            <w:r>
              <w:rPr>
                <w:sz w:val="21"/>
              </w:rPr>
              <w:t>The following newly marketed drugs</w:t>
            </w:r>
            <w:r>
              <w:rPr>
                <w:spacing w:val="-26"/>
                <w:sz w:val="21"/>
              </w:rPr>
              <w:t> </w:t>
            </w:r>
            <w:r>
              <w:rPr>
                <w:sz w:val="21"/>
              </w:rPr>
              <w:t>have been added to the MassHealth Drug</w:t>
            </w:r>
            <w:r>
              <w:rPr>
                <w:spacing w:val="-21"/>
                <w:sz w:val="21"/>
              </w:rPr>
              <w:t> </w:t>
            </w:r>
            <w:r>
              <w:rPr>
                <w:sz w:val="21"/>
              </w:rPr>
              <w:t>List.</w:t>
            </w:r>
          </w:p>
          <w:p>
            <w:pPr>
              <w:pStyle w:val="TableParagraph"/>
              <w:spacing w:before="78"/>
              <w:ind w:left="1061"/>
              <w:rPr>
                <w:b/>
                <w:sz w:val="21"/>
              </w:rPr>
            </w:pPr>
            <w:r>
              <w:rPr>
                <w:sz w:val="21"/>
              </w:rPr>
              <w:t>Fanapt (iloperidone) – </w:t>
            </w:r>
            <w:r>
              <w:rPr>
                <w:b/>
                <w:sz w:val="21"/>
              </w:rPr>
              <w:t>PA</w:t>
            </w:r>
          </w:p>
          <w:p>
            <w:pPr>
              <w:pStyle w:val="TableParagraph"/>
              <w:spacing w:before="20"/>
              <w:ind w:left="1061"/>
              <w:rPr>
                <w:sz w:val="21"/>
              </w:rPr>
            </w:pPr>
            <w:r>
              <w:rPr>
                <w:sz w:val="21"/>
              </w:rPr>
              <w:t>Invega Sustenna (paliperidone injection) –</w:t>
            </w:r>
          </w:p>
          <w:p>
            <w:pPr>
              <w:pStyle w:val="TableParagraph"/>
              <w:spacing w:before="21"/>
              <w:ind w:left="1457" w:right="100" w:hanging="252"/>
              <w:rPr>
                <w:b/>
                <w:sz w:val="21"/>
              </w:rPr>
            </w:pPr>
            <w:r>
              <w:rPr>
                <w:b/>
                <w:sz w:val="21"/>
              </w:rPr>
              <w:t>PA &gt; 2 units/mo. within the first 30 days of therapy;</w:t>
            </w:r>
          </w:p>
          <w:p>
            <w:pPr>
              <w:pStyle w:val="TableParagraph"/>
              <w:spacing w:line="240" w:lineRule="exact"/>
              <w:ind w:left="1205"/>
              <w:rPr>
                <w:b/>
                <w:sz w:val="21"/>
              </w:rPr>
            </w:pPr>
            <w:r>
              <w:rPr>
                <w:b/>
                <w:sz w:val="21"/>
              </w:rPr>
              <w:t>PA &gt; 1 unit/mo. after 30 days of therapy</w:t>
            </w:r>
          </w:p>
          <w:p>
            <w:pPr>
              <w:pStyle w:val="TableParagraph"/>
              <w:spacing w:line="241" w:lineRule="exact"/>
              <w:ind w:left="1062"/>
              <w:rPr>
                <w:b/>
                <w:sz w:val="21"/>
              </w:rPr>
            </w:pPr>
            <w:r>
              <w:rPr>
                <w:sz w:val="21"/>
              </w:rPr>
              <w:t>Saphris (asenapine) – </w:t>
            </w:r>
            <w:r>
              <w:rPr>
                <w:b/>
                <w:sz w:val="21"/>
              </w:rPr>
              <w:t>PA</w:t>
            </w:r>
          </w:p>
          <w:p>
            <w:pPr>
              <w:pStyle w:val="TableParagraph"/>
              <w:spacing w:before="21"/>
              <w:ind w:left="1062"/>
              <w:rPr>
                <w:sz w:val="21"/>
              </w:rPr>
            </w:pPr>
            <w:r>
              <w:rPr>
                <w:sz w:val="21"/>
              </w:rPr>
              <w:t>Zenpep (pancrelipase)</w:t>
            </w:r>
          </w:p>
        </w:tc>
        <w:tc>
          <w:tcPr>
            <w:tcW w:w="5303" w:type="dxa"/>
            <w:tcBorders>
              <w:top w:val="single" w:sz="8" w:space="0" w:color="000000"/>
              <w:left w:val="single" w:sz="4" w:space="0" w:color="000000"/>
              <w:bottom w:val="single" w:sz="6" w:space="0" w:color="000000"/>
            </w:tcBorders>
          </w:tcPr>
          <w:p>
            <w:pPr>
              <w:pStyle w:val="TableParagraph"/>
              <w:spacing w:before="4"/>
              <w:rPr>
                <w:rFonts w:ascii="Arial Narrow"/>
                <w:sz w:val="17"/>
              </w:rPr>
            </w:pPr>
          </w:p>
          <w:p>
            <w:pPr>
              <w:pStyle w:val="TableParagraph"/>
              <w:numPr>
                <w:ilvl w:val="0"/>
                <w:numId w:val="3"/>
              </w:numPr>
              <w:tabs>
                <w:tab w:pos="463" w:val="left" w:leader="none"/>
              </w:tabs>
              <w:spacing w:line="240" w:lineRule="auto" w:before="0" w:after="0"/>
              <w:ind w:left="462" w:right="0" w:hanging="359"/>
              <w:jc w:val="left"/>
              <w:rPr>
                <w:b/>
                <w:sz w:val="21"/>
              </w:rPr>
            </w:pPr>
            <w:r>
              <w:rPr>
                <w:b/>
                <w:sz w:val="21"/>
              </w:rPr>
              <w:t>Change in Prior-Authorization</w:t>
            </w:r>
            <w:r>
              <w:rPr>
                <w:b/>
                <w:spacing w:val="-4"/>
                <w:sz w:val="21"/>
              </w:rPr>
              <w:t> </w:t>
            </w:r>
            <w:r>
              <w:rPr>
                <w:b/>
                <w:sz w:val="21"/>
              </w:rPr>
              <w:t>Status</w:t>
            </w:r>
          </w:p>
          <w:p>
            <w:pPr>
              <w:pStyle w:val="TableParagraph"/>
              <w:numPr>
                <w:ilvl w:val="1"/>
                <w:numId w:val="3"/>
              </w:numPr>
              <w:tabs>
                <w:tab w:pos="771" w:val="left" w:leader="none"/>
              </w:tabs>
              <w:spacing w:line="240" w:lineRule="auto" w:before="121" w:after="0"/>
              <w:ind w:left="837" w:right="210" w:hanging="360"/>
              <w:jc w:val="left"/>
              <w:rPr>
                <w:sz w:val="21"/>
              </w:rPr>
            </w:pPr>
            <w:r>
              <w:rPr>
                <w:sz w:val="21"/>
              </w:rPr>
              <w:t>The following drug will require PA effective March 1, 2010, as announced in the  February 4, 2010, MassHealth Drug List rollout. Please see Table 24 of the MHDL</w:t>
            </w:r>
            <w:r>
              <w:rPr>
                <w:spacing w:val="-27"/>
                <w:sz w:val="21"/>
              </w:rPr>
              <w:t> </w:t>
            </w:r>
            <w:r>
              <w:rPr>
                <w:sz w:val="21"/>
              </w:rPr>
              <w:t>and applicable PA request forms for PA requirements for the atypical</w:t>
            </w:r>
            <w:r>
              <w:rPr>
                <w:spacing w:val="-10"/>
                <w:sz w:val="21"/>
              </w:rPr>
              <w:t> </w:t>
            </w:r>
            <w:r>
              <w:rPr>
                <w:sz w:val="21"/>
              </w:rPr>
              <w:t>antipsychotics.</w:t>
            </w:r>
          </w:p>
          <w:p>
            <w:pPr>
              <w:pStyle w:val="TableParagraph"/>
              <w:spacing w:before="121"/>
              <w:ind w:left="1200"/>
              <w:rPr>
                <w:b/>
                <w:sz w:val="21"/>
              </w:rPr>
            </w:pPr>
            <w:r>
              <w:rPr>
                <w:sz w:val="21"/>
              </w:rPr>
              <w:t>Invega (paliperidone) – </w:t>
            </w:r>
            <w:r>
              <w:rPr>
                <w:b/>
                <w:sz w:val="21"/>
              </w:rPr>
              <w:t>PA</w:t>
            </w:r>
          </w:p>
          <w:p>
            <w:pPr>
              <w:pStyle w:val="TableParagraph"/>
              <w:numPr>
                <w:ilvl w:val="1"/>
                <w:numId w:val="3"/>
              </w:numPr>
              <w:tabs>
                <w:tab w:pos="838" w:val="left" w:leader="none"/>
              </w:tabs>
              <w:spacing w:line="240" w:lineRule="auto" w:before="120" w:after="0"/>
              <w:ind w:left="837" w:right="502" w:hanging="356"/>
              <w:jc w:val="left"/>
              <w:rPr>
                <w:sz w:val="21"/>
              </w:rPr>
            </w:pPr>
            <w:r>
              <w:rPr>
                <w:sz w:val="21"/>
              </w:rPr>
              <w:t>The following change in</w:t>
            </w:r>
            <w:r>
              <w:rPr>
                <w:spacing w:val="-29"/>
                <w:sz w:val="21"/>
              </w:rPr>
              <w:t> </w:t>
            </w:r>
            <w:r>
              <w:rPr>
                <w:sz w:val="21"/>
              </w:rPr>
              <w:t>prior-authorization status will be effective March 1,</w:t>
            </w:r>
            <w:r>
              <w:rPr>
                <w:spacing w:val="-12"/>
                <w:sz w:val="21"/>
              </w:rPr>
              <w:t> </w:t>
            </w:r>
            <w:r>
              <w:rPr>
                <w:sz w:val="21"/>
              </w:rPr>
              <w:t>2010.</w:t>
            </w:r>
          </w:p>
          <w:p>
            <w:pPr>
              <w:pStyle w:val="TableParagraph"/>
              <w:spacing w:before="120"/>
              <w:ind w:left="1200"/>
              <w:rPr>
                <w:sz w:val="21"/>
              </w:rPr>
            </w:pPr>
            <w:r>
              <w:rPr>
                <w:sz w:val="21"/>
              </w:rPr>
              <w:t>Methylin (methylphenidate oral solution) –</w:t>
            </w:r>
          </w:p>
          <w:p>
            <w:pPr>
              <w:pStyle w:val="TableParagraph"/>
              <w:ind w:left="1380"/>
              <w:rPr>
                <w:b/>
                <w:sz w:val="21"/>
              </w:rPr>
            </w:pPr>
            <w:r>
              <w:rPr>
                <w:b/>
                <w:sz w:val="21"/>
              </w:rPr>
              <w:t>PA &gt; 900 ml/month</w:t>
            </w:r>
          </w:p>
          <w:p>
            <w:pPr>
              <w:pStyle w:val="TableParagraph"/>
              <w:numPr>
                <w:ilvl w:val="1"/>
                <w:numId w:val="3"/>
              </w:numPr>
              <w:tabs>
                <w:tab w:pos="838" w:val="left" w:leader="none"/>
              </w:tabs>
              <w:spacing w:line="240" w:lineRule="auto" w:before="120" w:after="0"/>
              <w:ind w:left="837" w:right="420" w:hanging="357"/>
              <w:jc w:val="left"/>
              <w:rPr>
                <w:sz w:val="21"/>
              </w:rPr>
            </w:pPr>
            <w:r>
              <w:rPr>
                <w:sz w:val="21"/>
              </w:rPr>
              <w:t>The following will require prior authorization effective April 1,</w:t>
            </w:r>
            <w:r>
              <w:rPr>
                <w:spacing w:val="-2"/>
                <w:sz w:val="21"/>
              </w:rPr>
              <w:t> </w:t>
            </w:r>
            <w:r>
              <w:rPr>
                <w:sz w:val="21"/>
              </w:rPr>
              <w:t>2010.</w:t>
            </w:r>
          </w:p>
          <w:p>
            <w:pPr>
              <w:pStyle w:val="TableParagraph"/>
              <w:spacing w:before="120"/>
              <w:ind w:left="1380" w:right="115" w:hanging="180"/>
              <w:rPr>
                <w:b/>
                <w:sz w:val="21"/>
              </w:rPr>
            </w:pPr>
            <w:r>
              <w:rPr>
                <w:sz w:val="21"/>
              </w:rPr>
              <w:t>FreeStyle, FreeStyle Light, and Precision Xtra brand blood glucose testing reagent strips used for the management of diabetes – </w:t>
            </w:r>
            <w:r>
              <w:rPr>
                <w:b/>
                <w:sz w:val="21"/>
              </w:rPr>
              <w:t>PA &gt; 100 units/month</w:t>
            </w:r>
          </w:p>
          <w:p>
            <w:pPr>
              <w:pStyle w:val="TableParagraph"/>
              <w:spacing w:before="120"/>
              <w:ind w:left="836" w:right="274" w:firstLine="3"/>
              <w:rPr>
                <w:sz w:val="21"/>
              </w:rPr>
            </w:pPr>
            <w:r>
              <w:rPr>
                <w:sz w:val="21"/>
              </w:rPr>
              <w:t>All other brands of blood glucose testing reagent strips used for the management of diabetes will require prior authorization for all quantities.</w:t>
            </w:r>
          </w:p>
          <w:p>
            <w:pPr>
              <w:pStyle w:val="TableParagraph"/>
              <w:numPr>
                <w:ilvl w:val="1"/>
                <w:numId w:val="3"/>
              </w:numPr>
              <w:tabs>
                <w:tab w:pos="832" w:val="left" w:leader="none"/>
              </w:tabs>
              <w:spacing w:line="240" w:lineRule="auto" w:before="120" w:after="0"/>
              <w:ind w:left="836" w:right="273" w:hanging="356"/>
              <w:jc w:val="left"/>
              <w:rPr>
                <w:sz w:val="21"/>
              </w:rPr>
            </w:pPr>
            <w:r>
              <w:rPr>
                <w:sz w:val="21"/>
              </w:rPr>
              <w:t>The following drug will no longer require prior authorization.</w:t>
            </w:r>
          </w:p>
          <w:p>
            <w:pPr>
              <w:pStyle w:val="TableParagraph"/>
              <w:spacing w:before="121"/>
              <w:ind w:left="1200"/>
              <w:rPr>
                <w:sz w:val="21"/>
              </w:rPr>
            </w:pPr>
            <w:r>
              <w:rPr>
                <w:sz w:val="21"/>
              </w:rPr>
              <w:t>Zyprexa IM (olanzapine injection)</w:t>
            </w:r>
          </w:p>
        </w:tc>
        <w:tc>
          <w:tcPr>
            <w:tcW w:w="400" w:type="dxa"/>
            <w:tcBorders>
              <w:bottom w:val="single" w:sz="6" w:space="0" w:color="000000"/>
            </w:tcBorders>
          </w:tcPr>
          <w:p>
            <w:pPr>
              <w:pStyle w:val="TableParagraph"/>
              <w:rPr>
                <w:rFonts w:ascii="Times New Roman"/>
                <w:sz w:val="20"/>
              </w:rPr>
            </w:pPr>
          </w:p>
        </w:tc>
      </w:tr>
    </w:tbl>
    <w:p>
      <w:pPr>
        <w:pStyle w:val="BodyText"/>
        <w:spacing w:line="20" w:lineRule="exact"/>
        <w:ind w:left="113"/>
        <w:rPr>
          <w:rFonts w:ascii="Arial Narrow"/>
          <w:sz w:val="2"/>
        </w:rPr>
      </w:pPr>
      <w:r>
        <w:rPr>
          <w:rFonts w:ascii="Arial Narrow"/>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Narrow"/>
          <w:sz w:val="2"/>
        </w:rPr>
      </w:r>
    </w:p>
    <w:p>
      <w:pPr>
        <w:pStyle w:val="BodyText"/>
        <w:spacing w:before="94"/>
        <w:ind w:left="1740" w:right="1541"/>
        <w:jc w:val="center"/>
      </w:pPr>
      <w:r>
        <w:rPr/>
        <w:t>Please direct any questions or comments (or to be taken off of this fax distribution) to</w:t>
      </w:r>
    </w:p>
    <w:p>
      <w:pPr>
        <w:spacing w:before="0"/>
        <w:ind w:left="1739" w:right="1541" w:firstLine="0"/>
        <w:jc w:val="center"/>
        <w:rPr>
          <w:sz w:val="21"/>
        </w:rPr>
      </w:pPr>
      <w:r>
        <w:rPr>
          <w:rFonts w:ascii="Arial Black"/>
          <w:b/>
          <w:sz w:val="21"/>
        </w:rPr>
        <w:t>Victor Moquin </w:t>
      </w:r>
      <w:r>
        <w:rPr>
          <w:sz w:val="21"/>
        </w:rPr>
        <w:t>of ACS at 617-423-9830.</w:t>
      </w:r>
    </w:p>
    <w:sectPr>
      <w:type w:val="continuous"/>
      <w:pgSz w:w="12240" w:h="15840"/>
      <w:pgMar w:top="380" w:bottom="0" w:left="78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462" w:hanging="360"/>
        <w:jc w:val="left"/>
      </w:pPr>
      <w:rPr>
        <w:rFonts w:hint="default" w:ascii="Arial" w:hAnsi="Arial" w:eastAsia="Arial" w:cs="Arial"/>
        <w:b/>
        <w:bCs/>
        <w:spacing w:val="-1"/>
        <w:w w:val="100"/>
        <w:sz w:val="21"/>
        <w:szCs w:val="21"/>
        <w:lang w:val="en-us" w:eastAsia="en-us" w:bidi="en-us"/>
      </w:rPr>
    </w:lvl>
    <w:lvl w:ilvl="1">
      <w:start w:val="1"/>
      <w:numFmt w:val="lowerLetter"/>
      <w:lvlText w:val="%2."/>
      <w:lvlJc w:val="left"/>
      <w:pPr>
        <w:ind w:left="837" w:hanging="293"/>
        <w:jc w:val="left"/>
      </w:pPr>
      <w:rPr>
        <w:rFonts w:hint="default" w:ascii="Arial" w:hAnsi="Arial" w:eastAsia="Arial" w:cs="Arial"/>
        <w:spacing w:val="-2"/>
        <w:w w:val="99"/>
        <w:sz w:val="21"/>
        <w:szCs w:val="21"/>
        <w:lang w:val="en-us" w:eastAsia="en-us" w:bidi="en-us"/>
      </w:rPr>
    </w:lvl>
    <w:lvl w:ilvl="2">
      <w:start w:val="0"/>
      <w:numFmt w:val="bullet"/>
      <w:lvlText w:val="•"/>
      <w:lvlJc w:val="left"/>
      <w:pPr>
        <w:ind w:left="1335" w:hanging="293"/>
      </w:pPr>
      <w:rPr>
        <w:rFonts w:hint="default"/>
        <w:lang w:val="en-us" w:eastAsia="en-us" w:bidi="en-us"/>
      </w:rPr>
    </w:lvl>
    <w:lvl w:ilvl="3">
      <w:start w:val="0"/>
      <w:numFmt w:val="bullet"/>
      <w:lvlText w:val="•"/>
      <w:lvlJc w:val="left"/>
      <w:pPr>
        <w:ind w:left="1830" w:hanging="293"/>
      </w:pPr>
      <w:rPr>
        <w:rFonts w:hint="default"/>
        <w:lang w:val="en-us" w:eastAsia="en-us" w:bidi="en-us"/>
      </w:rPr>
    </w:lvl>
    <w:lvl w:ilvl="4">
      <w:start w:val="0"/>
      <w:numFmt w:val="bullet"/>
      <w:lvlText w:val="•"/>
      <w:lvlJc w:val="left"/>
      <w:pPr>
        <w:ind w:left="2326" w:hanging="293"/>
      </w:pPr>
      <w:rPr>
        <w:rFonts w:hint="default"/>
        <w:lang w:val="en-us" w:eastAsia="en-us" w:bidi="en-us"/>
      </w:rPr>
    </w:lvl>
    <w:lvl w:ilvl="5">
      <w:start w:val="0"/>
      <w:numFmt w:val="bullet"/>
      <w:lvlText w:val="•"/>
      <w:lvlJc w:val="left"/>
      <w:pPr>
        <w:ind w:left="2821" w:hanging="293"/>
      </w:pPr>
      <w:rPr>
        <w:rFonts w:hint="default"/>
        <w:lang w:val="en-us" w:eastAsia="en-us" w:bidi="en-us"/>
      </w:rPr>
    </w:lvl>
    <w:lvl w:ilvl="6">
      <w:start w:val="0"/>
      <w:numFmt w:val="bullet"/>
      <w:lvlText w:val="•"/>
      <w:lvlJc w:val="left"/>
      <w:pPr>
        <w:ind w:left="3316" w:hanging="293"/>
      </w:pPr>
      <w:rPr>
        <w:rFonts w:hint="default"/>
        <w:lang w:val="en-us" w:eastAsia="en-us" w:bidi="en-us"/>
      </w:rPr>
    </w:lvl>
    <w:lvl w:ilvl="7">
      <w:start w:val="0"/>
      <w:numFmt w:val="bullet"/>
      <w:lvlText w:val="•"/>
      <w:lvlJc w:val="left"/>
      <w:pPr>
        <w:ind w:left="3812" w:hanging="293"/>
      </w:pPr>
      <w:rPr>
        <w:rFonts w:hint="default"/>
        <w:lang w:val="en-us" w:eastAsia="en-us" w:bidi="en-us"/>
      </w:rPr>
    </w:lvl>
    <w:lvl w:ilvl="8">
      <w:start w:val="0"/>
      <w:numFmt w:val="bullet"/>
      <w:lvlText w:val="•"/>
      <w:lvlJc w:val="left"/>
      <w:pPr>
        <w:ind w:left="4307" w:hanging="293"/>
      </w:pPr>
      <w:rPr>
        <w:rFonts w:hint="default"/>
        <w:lang w:val="en-us" w:eastAsia="en-us" w:bidi="en-us"/>
      </w:rPr>
    </w:lvl>
  </w:abstractNum>
  <w:abstractNum w:abstractNumId="1">
    <w:multiLevelType w:val="hybridMultilevel"/>
    <w:lvl w:ilvl="0">
      <w:start w:val="1"/>
      <w:numFmt w:val="decimal"/>
      <w:lvlText w:val="%1."/>
      <w:lvlJc w:val="left"/>
      <w:pPr>
        <w:ind w:left="450" w:hanging="361"/>
        <w:jc w:val="left"/>
      </w:pPr>
      <w:rPr>
        <w:rFonts w:hint="default" w:ascii="Arial" w:hAnsi="Arial" w:eastAsia="Arial" w:cs="Arial"/>
        <w:b/>
        <w:bCs/>
        <w:w w:val="100"/>
        <w:sz w:val="21"/>
        <w:szCs w:val="21"/>
        <w:lang w:val="en-us" w:eastAsia="en-us" w:bidi="en-us"/>
      </w:rPr>
    </w:lvl>
    <w:lvl w:ilvl="1">
      <w:start w:val="1"/>
      <w:numFmt w:val="lowerLetter"/>
      <w:lvlText w:val="%2."/>
      <w:lvlJc w:val="left"/>
      <w:pPr>
        <w:ind w:left="824" w:hanging="352"/>
        <w:jc w:val="left"/>
      </w:pPr>
      <w:rPr>
        <w:rFonts w:hint="default" w:ascii="Arial" w:hAnsi="Arial" w:eastAsia="Arial" w:cs="Arial"/>
        <w:spacing w:val="-2"/>
        <w:w w:val="99"/>
        <w:sz w:val="21"/>
        <w:szCs w:val="21"/>
        <w:lang w:val="en-us" w:eastAsia="en-us" w:bidi="en-us"/>
      </w:rPr>
    </w:lvl>
    <w:lvl w:ilvl="2">
      <w:start w:val="0"/>
      <w:numFmt w:val="bullet"/>
      <w:lvlText w:val="•"/>
      <w:lvlJc w:val="left"/>
      <w:pPr>
        <w:ind w:left="1316" w:hanging="352"/>
      </w:pPr>
      <w:rPr>
        <w:rFonts w:hint="default"/>
        <w:lang w:val="en-us" w:eastAsia="en-us" w:bidi="en-us"/>
      </w:rPr>
    </w:lvl>
    <w:lvl w:ilvl="3">
      <w:start w:val="0"/>
      <w:numFmt w:val="bullet"/>
      <w:lvlText w:val="•"/>
      <w:lvlJc w:val="left"/>
      <w:pPr>
        <w:ind w:left="1812" w:hanging="352"/>
      </w:pPr>
      <w:rPr>
        <w:rFonts w:hint="default"/>
        <w:lang w:val="en-us" w:eastAsia="en-us" w:bidi="en-us"/>
      </w:rPr>
    </w:lvl>
    <w:lvl w:ilvl="4">
      <w:start w:val="0"/>
      <w:numFmt w:val="bullet"/>
      <w:lvlText w:val="•"/>
      <w:lvlJc w:val="left"/>
      <w:pPr>
        <w:ind w:left="2309" w:hanging="352"/>
      </w:pPr>
      <w:rPr>
        <w:rFonts w:hint="default"/>
        <w:lang w:val="en-us" w:eastAsia="en-us" w:bidi="en-us"/>
      </w:rPr>
    </w:lvl>
    <w:lvl w:ilvl="5">
      <w:start w:val="0"/>
      <w:numFmt w:val="bullet"/>
      <w:lvlText w:val="•"/>
      <w:lvlJc w:val="left"/>
      <w:pPr>
        <w:ind w:left="2805" w:hanging="352"/>
      </w:pPr>
      <w:rPr>
        <w:rFonts w:hint="default"/>
        <w:lang w:val="en-us" w:eastAsia="en-us" w:bidi="en-us"/>
      </w:rPr>
    </w:lvl>
    <w:lvl w:ilvl="6">
      <w:start w:val="0"/>
      <w:numFmt w:val="bullet"/>
      <w:lvlText w:val="•"/>
      <w:lvlJc w:val="left"/>
      <w:pPr>
        <w:ind w:left="3301" w:hanging="352"/>
      </w:pPr>
      <w:rPr>
        <w:rFonts w:hint="default"/>
        <w:lang w:val="en-us" w:eastAsia="en-us" w:bidi="en-us"/>
      </w:rPr>
    </w:lvl>
    <w:lvl w:ilvl="7">
      <w:start w:val="0"/>
      <w:numFmt w:val="bullet"/>
      <w:lvlText w:val="•"/>
      <w:lvlJc w:val="left"/>
      <w:pPr>
        <w:ind w:left="3798" w:hanging="352"/>
      </w:pPr>
      <w:rPr>
        <w:rFonts w:hint="default"/>
        <w:lang w:val="en-us" w:eastAsia="en-us" w:bidi="en-us"/>
      </w:rPr>
    </w:lvl>
    <w:lvl w:ilvl="8">
      <w:start w:val="0"/>
      <w:numFmt w:val="bullet"/>
      <w:lvlText w:val="•"/>
      <w:lvlJc w:val="left"/>
      <w:pPr>
        <w:ind w:left="4294" w:hanging="352"/>
      </w:pPr>
      <w:rPr>
        <w:rFonts w:hint="default"/>
        <w:lang w:val="en-us" w:eastAsia="en-us" w:bidi="en-us"/>
      </w:rPr>
    </w:lvl>
  </w:abstractNum>
  <w:abstractNum w:abstractNumId="0">
    <w:multiLevelType w:val="hybridMultilevel"/>
    <w:lvl w:ilvl="0">
      <w:start w:val="0"/>
      <w:numFmt w:val="bullet"/>
      <w:lvlText w:val="•"/>
      <w:lvlJc w:val="left"/>
      <w:pPr>
        <w:ind w:left="1817" w:hanging="150"/>
      </w:pPr>
      <w:rPr>
        <w:rFonts w:hint="default" w:ascii="Arial Black" w:hAnsi="Arial Black" w:eastAsia="Arial Black" w:cs="Arial Black"/>
        <w:b/>
        <w:bCs/>
        <w:w w:val="100"/>
        <w:sz w:val="18"/>
        <w:szCs w:val="18"/>
        <w:lang w:val="en-us" w:eastAsia="en-us" w:bidi="en-us"/>
      </w:rPr>
    </w:lvl>
    <w:lvl w:ilvl="1">
      <w:start w:val="0"/>
      <w:numFmt w:val="bullet"/>
      <w:lvlText w:val="•"/>
      <w:lvlJc w:val="left"/>
      <w:pPr>
        <w:ind w:left="2697" w:hanging="150"/>
      </w:pPr>
      <w:rPr>
        <w:rFonts w:hint="default"/>
        <w:lang w:val="en-us" w:eastAsia="en-us" w:bidi="en-us"/>
      </w:rPr>
    </w:lvl>
    <w:lvl w:ilvl="2">
      <w:start w:val="0"/>
      <w:numFmt w:val="bullet"/>
      <w:lvlText w:val="•"/>
      <w:lvlJc w:val="left"/>
      <w:pPr>
        <w:ind w:left="3575" w:hanging="150"/>
      </w:pPr>
      <w:rPr>
        <w:rFonts w:hint="default"/>
        <w:lang w:val="en-us" w:eastAsia="en-us" w:bidi="en-us"/>
      </w:rPr>
    </w:lvl>
    <w:lvl w:ilvl="3">
      <w:start w:val="0"/>
      <w:numFmt w:val="bullet"/>
      <w:lvlText w:val="•"/>
      <w:lvlJc w:val="left"/>
      <w:pPr>
        <w:ind w:left="4452" w:hanging="150"/>
      </w:pPr>
      <w:rPr>
        <w:rFonts w:hint="default"/>
        <w:lang w:val="en-us" w:eastAsia="en-us" w:bidi="en-us"/>
      </w:rPr>
    </w:lvl>
    <w:lvl w:ilvl="4">
      <w:start w:val="0"/>
      <w:numFmt w:val="bullet"/>
      <w:lvlText w:val="•"/>
      <w:lvlJc w:val="left"/>
      <w:pPr>
        <w:ind w:left="5330" w:hanging="150"/>
      </w:pPr>
      <w:rPr>
        <w:rFonts w:hint="default"/>
        <w:lang w:val="en-us" w:eastAsia="en-us" w:bidi="en-us"/>
      </w:rPr>
    </w:lvl>
    <w:lvl w:ilvl="5">
      <w:start w:val="0"/>
      <w:numFmt w:val="bullet"/>
      <w:lvlText w:val="•"/>
      <w:lvlJc w:val="left"/>
      <w:pPr>
        <w:ind w:left="6207" w:hanging="150"/>
      </w:pPr>
      <w:rPr>
        <w:rFonts w:hint="default"/>
        <w:lang w:val="en-us" w:eastAsia="en-us" w:bidi="en-us"/>
      </w:rPr>
    </w:lvl>
    <w:lvl w:ilvl="6">
      <w:start w:val="0"/>
      <w:numFmt w:val="bullet"/>
      <w:lvlText w:val="•"/>
      <w:lvlJc w:val="left"/>
      <w:pPr>
        <w:ind w:left="7085" w:hanging="150"/>
      </w:pPr>
      <w:rPr>
        <w:rFonts w:hint="default"/>
        <w:lang w:val="en-us" w:eastAsia="en-us" w:bidi="en-us"/>
      </w:rPr>
    </w:lvl>
    <w:lvl w:ilvl="7">
      <w:start w:val="0"/>
      <w:numFmt w:val="bullet"/>
      <w:lvlText w:val="•"/>
      <w:lvlJc w:val="left"/>
      <w:pPr>
        <w:ind w:left="7962" w:hanging="150"/>
      </w:pPr>
      <w:rPr>
        <w:rFonts w:hint="default"/>
        <w:lang w:val="en-us" w:eastAsia="en-us" w:bidi="en-us"/>
      </w:rPr>
    </w:lvl>
    <w:lvl w:ilvl="8">
      <w:start w:val="0"/>
      <w:numFmt w:val="bullet"/>
      <w:lvlText w:val="•"/>
      <w:lvlJc w:val="left"/>
      <w:pPr>
        <w:ind w:left="8840" w:hanging="15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1"/>
      <w:szCs w:val="21"/>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2017-11-24T18:46:49Z</dcterms:created>
  <dcterms:modified xsi:type="dcterms:W3CDTF">2017-11-24T18:46:49Z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2010-03-05T00:00:00Z</vt:filetime>
  </property>
  <property fmtid="{D5CDD505-2E9C-101B-9397-08002B2CF9AE}" pid="3" name="Creator">
    <vt:lpwstr>Acrobat PDFMaker 8.1 for Word</vt:lpwstr>
  </property>
  <property fmtid="{D5CDD505-2E9C-101B-9397-08002B2CF9AE}" pid="4" name="LastSaved">
    <vt:filetime>2017-11-24T00:00:00Z</vt:filetime>
  </property>
</Properties>
</file>