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0" w:after="2"/>
        <w:ind w:left="864" w:right="1541" w:firstLine="0"/>
        <w:jc w:val="center"/>
        <w:rPr>
          <w:rFonts w:ascii="Arial Narrow"/>
          <w:sz w:val="18"/>
        </w:rPr>
      </w:pPr>
      <w:r>
        <w:rPr/>
        <w:pict>
          <v:group style="position:absolute;margin-left:41.279999pt;margin-top:-105.210442pt;width:542.4pt;height:107.85pt;mso-position-horizontal-relative:page;mso-position-vertical-relative:paragraph;z-index:-5392" coordorigin="826,-2104" coordsize="10848,2157">
            <v:shape style="position:absolute;left:825;top:-2105;width:10848;height:215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4;top:-1160;width:1079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58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April 28, 2010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6">
        <w:r>
          <w:rPr>
            <w:rFonts w:ascii="Arial Narrow"/>
            <w:sz w:val="18"/>
          </w:rPr>
          <w:t>www.mass.gov/masshealth/pharmacy</w:t>
        </w:r>
      </w:hyperlink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2"/>
        <w:gridCol w:w="5303"/>
        <w:gridCol w:w="400"/>
      </w:tblGrid>
      <w:tr>
        <w:trPr>
          <w:trHeight w:val="303" w:hRule="atLeast"/>
        </w:trPr>
        <w:tc>
          <w:tcPr>
            <w:tcW w:w="105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818" w:val="left" w:leader="none"/>
              </w:tabs>
              <w:spacing w:line="240" w:lineRule="auto" w:before="0" w:after="0"/>
              <w:ind w:left="1817" w:right="0" w:hanging="149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Nancy Schiff</w:t>
            </w:r>
            <w:r>
              <w:rPr>
                <w:rFonts w:ascii="Arial Narrow" w:hAnsi="Arial Narrow"/>
                <w:spacing w:val="15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32" w:hRule="atLeast"/>
        </w:trPr>
        <w:tc>
          <w:tcPr>
            <w:tcW w:w="5292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MHDL Update</w:t>
            </w:r>
          </w:p>
          <w:p>
            <w:pPr>
              <w:pStyle w:val="TableParagraph"/>
              <w:spacing w:before="141"/>
              <w:ind w:left="90" w:right="341"/>
              <w:rPr>
                <w:sz w:val="20"/>
              </w:rPr>
            </w:pPr>
            <w:r>
              <w:rPr>
                <w:sz w:val="20"/>
              </w:rPr>
              <w:t>Below are certain updates to the MassHealth Drug List (MHDL). The MHDL has a complete listing of updates.</w:t>
            </w:r>
          </w:p>
          <w:p>
            <w:pPr>
              <w:pStyle w:val="TableParagraph"/>
              <w:spacing w:before="6"/>
              <w:rPr>
                <w:rFonts w:ascii="Arial Narrow"/>
                <w:sz w:val="17"/>
              </w:rPr>
            </w:pPr>
          </w:p>
          <w:p>
            <w:pPr>
              <w:pStyle w:val="TableParagraph"/>
              <w:spacing w:before="1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1. Additions</w:t>
            </w:r>
          </w:p>
          <w:p>
            <w:pPr>
              <w:pStyle w:val="TableParagraph"/>
              <w:spacing w:before="10"/>
              <w:rPr>
                <w:rFonts w:ascii="Arial Narrow"/>
                <w:sz w:val="26"/>
              </w:rPr>
            </w:pPr>
          </w:p>
          <w:p>
            <w:pPr>
              <w:pStyle w:val="TableParagraph"/>
              <w:ind w:left="433" w:right="298"/>
              <w:rPr>
                <w:sz w:val="20"/>
              </w:rPr>
            </w:pPr>
            <w:r>
              <w:rPr>
                <w:sz w:val="20"/>
              </w:rPr>
              <w:t>The following newly marketed drugs have been added to the MassHealth Drug List effective May 3, 2010.</w:t>
            </w:r>
          </w:p>
          <w:p>
            <w:pPr>
              <w:pStyle w:val="TableParagraph"/>
              <w:spacing w:line="261" w:lineRule="auto"/>
              <w:ind w:left="848" w:right="1840"/>
              <w:rPr>
                <w:b/>
                <w:sz w:val="20"/>
              </w:rPr>
            </w:pPr>
            <w:r>
              <w:rPr>
                <w:sz w:val="20"/>
              </w:rPr>
              <w:t>Actemra (toclizumab)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Ampyra (dalfampridine)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Arzerra (ofatumumab)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28" w:lineRule="exact"/>
              <w:ind w:left="848"/>
              <w:rPr>
                <w:b/>
                <w:sz w:val="20"/>
              </w:rPr>
            </w:pPr>
            <w:r>
              <w:rPr>
                <w:sz w:val="20"/>
              </w:rPr>
              <w:t>Dysport (abobotulinumtoxin A)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20"/>
              <w:ind w:left="848"/>
              <w:rPr>
                <w:sz w:val="20"/>
              </w:rPr>
            </w:pPr>
            <w:r>
              <w:rPr>
                <w:sz w:val="20"/>
              </w:rPr>
              <w:t>Enemeez enema (docusate)</w:t>
            </w:r>
          </w:p>
          <w:p>
            <w:pPr>
              <w:pStyle w:val="TableParagraph"/>
              <w:spacing w:line="230" w:lineRule="exact" w:before="21"/>
              <w:ind w:left="848"/>
              <w:rPr>
                <w:sz w:val="20"/>
              </w:rPr>
            </w:pPr>
            <w:r>
              <w:rPr>
                <w:sz w:val="20"/>
              </w:rPr>
              <w:t>Fluzone HD (influenza virus vaccine, high dose)</w:t>
            </w:r>
          </w:p>
          <w:p>
            <w:pPr>
              <w:pStyle w:val="TableParagraph"/>
              <w:spacing w:line="230" w:lineRule="exact"/>
              <w:ind w:left="1097"/>
              <w:rPr>
                <w:b/>
                <w:sz w:val="20"/>
              </w:rPr>
            </w:pPr>
            <w:r>
              <w:rPr>
                <w:sz w:val="20"/>
              </w:rPr>
              <w:t>– </w:t>
            </w:r>
            <w:r>
              <w:rPr>
                <w:b/>
                <w:sz w:val="20"/>
              </w:rPr>
              <w:t>PA &lt; 65 years</w:t>
            </w:r>
          </w:p>
          <w:p>
            <w:pPr>
              <w:pStyle w:val="TableParagraph"/>
              <w:spacing w:before="19"/>
              <w:ind w:left="1097" w:right="974" w:hanging="250"/>
              <w:rPr>
                <w:sz w:val="20"/>
              </w:rPr>
            </w:pPr>
            <w:r>
              <w:rPr>
                <w:sz w:val="20"/>
              </w:rPr>
              <w:t>Menveo–A/C/Y/W-135 (meningococcal quadrivalent vaccine)</w:t>
            </w:r>
          </w:p>
          <w:p>
            <w:pPr>
              <w:pStyle w:val="TableParagraph"/>
              <w:spacing w:line="261" w:lineRule="auto" w:before="20"/>
              <w:ind w:left="848" w:right="1472"/>
              <w:rPr>
                <w:sz w:val="20"/>
              </w:rPr>
            </w:pPr>
            <w:r>
              <w:rPr>
                <w:sz w:val="20"/>
              </w:rPr>
              <w:t>Nalfon 400 mg (fenoprofen)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Norvir (ritonavir) tablet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Oforta (fludaribine)</w:t>
            </w:r>
          </w:p>
          <w:p>
            <w:pPr>
              <w:pStyle w:val="TableParagraph"/>
              <w:ind w:left="1097" w:right="228" w:hanging="250"/>
              <w:rPr>
                <w:sz w:val="20"/>
              </w:rPr>
            </w:pPr>
            <w:r>
              <w:rPr>
                <w:sz w:val="20"/>
              </w:rPr>
              <w:t>Prevnar 13 (pneumococcal 13-valent conjugate vaccine)</w:t>
            </w:r>
          </w:p>
          <w:p>
            <w:pPr>
              <w:pStyle w:val="TableParagraph"/>
              <w:spacing w:before="18"/>
              <w:ind w:left="848"/>
              <w:rPr>
                <w:b/>
                <w:sz w:val="20"/>
              </w:rPr>
            </w:pPr>
            <w:r>
              <w:rPr>
                <w:sz w:val="20"/>
              </w:rPr>
              <w:t>Urocit-K (potassium citrate) 15 meq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21"/>
              <w:ind w:left="848"/>
              <w:rPr>
                <w:b/>
                <w:sz w:val="20"/>
              </w:rPr>
            </w:pPr>
            <w:r>
              <w:rPr>
                <w:sz w:val="20"/>
              </w:rPr>
              <w:t>Victoza (liraglutide)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20"/>
              <w:ind w:left="848"/>
              <w:rPr>
                <w:sz w:val="20"/>
              </w:rPr>
            </w:pPr>
            <w:r>
              <w:rPr>
                <w:sz w:val="20"/>
              </w:rPr>
              <w:t>Votrient (pazopanib)</w:t>
            </w:r>
          </w:p>
          <w:p>
            <w:pPr>
              <w:pStyle w:val="TableParagraph"/>
              <w:spacing w:before="19"/>
              <w:ind w:left="848"/>
              <w:rPr>
                <w:sz w:val="20"/>
              </w:rPr>
            </w:pPr>
            <w:r>
              <w:rPr>
                <w:sz w:val="20"/>
              </w:rPr>
              <w:t>Welchol (colesevelam) powder for suspension –</w:t>
            </w:r>
          </w:p>
          <w:p>
            <w:pPr>
              <w:pStyle w:val="TableParagraph"/>
              <w:spacing w:before="2"/>
              <w:ind w:left="1097"/>
              <w:rPr>
                <w:b/>
                <w:sz w:val="20"/>
              </w:rPr>
            </w:pP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18"/>
              <w:ind w:left="1097" w:right="673" w:hanging="250"/>
              <w:rPr>
                <w:sz w:val="20"/>
              </w:rPr>
            </w:pPr>
            <w:r>
              <w:rPr>
                <w:sz w:val="20"/>
              </w:rPr>
              <w:t>Wilate (von Willebrand Factor/Coagulation Factor VIII Complex)</w:t>
            </w:r>
          </w:p>
          <w:p>
            <w:pPr>
              <w:pStyle w:val="TableParagraph"/>
              <w:spacing w:before="20"/>
              <w:ind w:left="1097" w:right="473" w:hanging="250"/>
              <w:rPr>
                <w:b/>
                <w:sz w:val="20"/>
              </w:rPr>
            </w:pPr>
            <w:r>
              <w:rPr>
                <w:sz w:val="20"/>
              </w:rPr>
              <w:t>Zyprexa Relprevv (olanzapine pamoate) 210 mg, 300 mg – </w:t>
            </w:r>
            <w:r>
              <w:rPr>
                <w:b/>
                <w:sz w:val="20"/>
              </w:rPr>
              <w:t>PA &gt; 2 injections/month</w:t>
            </w:r>
          </w:p>
          <w:p>
            <w:pPr>
              <w:pStyle w:val="TableParagraph"/>
              <w:spacing w:before="20"/>
              <w:ind w:left="847"/>
              <w:rPr>
                <w:sz w:val="20"/>
              </w:rPr>
            </w:pPr>
            <w:r>
              <w:rPr>
                <w:sz w:val="20"/>
              </w:rPr>
              <w:t>Zyprexa Relprevv (olanzapine pamoate) 405 mg</w:t>
            </w:r>
          </w:p>
          <w:p>
            <w:pPr>
              <w:pStyle w:val="TableParagraph"/>
              <w:spacing w:before="1"/>
              <w:ind w:left="1097"/>
              <w:rPr>
                <w:b/>
                <w:sz w:val="20"/>
              </w:rPr>
            </w:pPr>
            <w:r>
              <w:rPr>
                <w:sz w:val="20"/>
              </w:rPr>
              <w:t>– </w:t>
            </w:r>
            <w:r>
              <w:rPr>
                <w:b/>
                <w:sz w:val="20"/>
              </w:rPr>
              <w:t>PA &gt; 1 injection/month</w:t>
            </w:r>
          </w:p>
          <w:p>
            <w:pPr>
              <w:pStyle w:val="TableParagraph"/>
              <w:spacing w:before="7"/>
              <w:rPr>
                <w:rFonts w:ascii="Arial Narrow"/>
                <w:sz w:val="23"/>
              </w:rPr>
            </w:pPr>
          </w:p>
          <w:p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2. New FDA “A”-Rated Generic Drug</w:t>
            </w:r>
          </w:p>
          <w:p>
            <w:pPr>
              <w:pStyle w:val="TableParagraph"/>
              <w:spacing w:before="2"/>
              <w:rPr>
                <w:rFonts w:ascii="Arial Narrow"/>
                <w:sz w:val="24"/>
              </w:rPr>
            </w:pPr>
          </w:p>
          <w:p>
            <w:pPr>
              <w:pStyle w:val="TableParagraph"/>
              <w:spacing w:before="1"/>
              <w:ind w:left="463" w:right="201"/>
              <w:rPr>
                <w:sz w:val="20"/>
              </w:rPr>
            </w:pPr>
            <w:r>
              <w:rPr>
                <w:sz w:val="20"/>
              </w:rPr>
              <w:t>The following FDA “A”-rated generic drugs have been added to the MassHealth Drug List. The brand name is listed with a # symbol to indicate that prior authorization is required for the brand.</w:t>
            </w:r>
          </w:p>
          <w:p>
            <w:pPr>
              <w:pStyle w:val="TableParagraph"/>
              <w:spacing w:before="7"/>
              <w:rPr>
                <w:rFonts w:ascii="Arial Narrow"/>
                <w:sz w:val="17"/>
              </w:rPr>
            </w:pPr>
          </w:p>
          <w:p>
            <w:pPr>
              <w:pStyle w:val="TableParagraph"/>
              <w:spacing w:line="230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w:t>New FDA “A”-Rated</w:t>
            </w:r>
          </w:p>
          <w:p>
            <w:pPr>
              <w:pStyle w:val="TableParagraph"/>
              <w:tabs>
                <w:tab w:pos="2773" w:val="left" w:leader="none"/>
              </w:tabs>
              <w:spacing w:line="230" w:lineRule="exact"/>
              <w:ind w:left="449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Generic</w:t>
            </w:r>
            <w:r>
              <w:rPr>
                <w:b/>
                <w:spacing w:val="-2"/>
                <w:sz w:val="20"/>
                <w:u w:val="thick"/>
              </w:rPr>
              <w:t> </w:t>
            </w:r>
            <w:r>
              <w:rPr>
                <w:b/>
                <w:sz w:val="20"/>
                <w:u w:val="thick"/>
              </w:rPr>
              <w:t>Drug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thick"/>
              </w:rPr>
              <w:t>Generic Equivalent</w:t>
            </w:r>
            <w:r>
              <w:rPr>
                <w:b/>
                <w:spacing w:val="-5"/>
                <w:sz w:val="20"/>
                <w:u w:val="thick"/>
              </w:rPr>
              <w:t> </w:t>
            </w:r>
            <w:r>
              <w:rPr>
                <w:b/>
                <w:sz w:val="20"/>
                <w:u w:val="thick"/>
              </w:rPr>
              <w:t>of</w:t>
            </w:r>
          </w:p>
          <w:p>
            <w:pPr>
              <w:pStyle w:val="TableParagraph"/>
              <w:tabs>
                <w:tab w:pos="2748" w:val="left" w:leader="none"/>
              </w:tabs>
              <w:spacing w:before="38"/>
              <w:ind w:left="450"/>
              <w:rPr>
                <w:sz w:val="20"/>
              </w:rPr>
            </w:pPr>
            <w:r>
              <w:rPr>
                <w:sz w:val="20"/>
              </w:rPr>
              <w:t>calcitonin,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salmon</w:t>
              <w:tab/>
              <w:t>Miacalcin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</w:t>
            </w:r>
          </w:p>
          <w:p>
            <w:pPr>
              <w:pStyle w:val="TableParagraph"/>
              <w:tabs>
                <w:tab w:pos="2748" w:val="left" w:leader="none"/>
              </w:tabs>
              <w:spacing w:before="1"/>
              <w:ind w:left="450"/>
              <w:rPr>
                <w:sz w:val="20"/>
              </w:rPr>
            </w:pPr>
            <w:r>
              <w:rPr>
                <w:sz w:val="20"/>
              </w:rPr>
              <w:t>ursodiol</w:t>
              <w:tab/>
              <w:t>Urso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#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Arial Narrow"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4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Change in Prior-Authorization (PA)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Status</w:t>
            </w:r>
          </w:p>
          <w:p>
            <w:pPr>
              <w:pStyle w:val="TableParagraph"/>
              <w:spacing w:before="10"/>
              <w:rPr>
                <w:rFonts w:ascii="Arial Narrow"/>
                <w:sz w:val="24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3" w:val="left" w:leader="none"/>
              </w:tabs>
              <w:spacing w:line="240" w:lineRule="auto" w:before="1" w:after="0"/>
              <w:ind w:left="823" w:right="171" w:hanging="360"/>
              <w:jc w:val="left"/>
              <w:rPr>
                <w:sz w:val="20"/>
              </w:rPr>
            </w:pPr>
            <w:r>
              <w:rPr>
                <w:sz w:val="20"/>
              </w:rPr>
              <w:t>The PA requirements for Hepatitis antiviral agents are changing. The following PA requirements are effective May 17, 2010.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Please see Table 44 and applicable PA request forms for PA requirements for the Hepatitis antiviral agents.</w:t>
            </w:r>
          </w:p>
          <w:p>
            <w:pPr>
              <w:pStyle w:val="TableParagraph"/>
              <w:spacing w:before="80"/>
              <w:ind w:left="1020"/>
              <w:rPr>
                <w:b/>
                <w:sz w:val="19"/>
              </w:rPr>
            </w:pPr>
            <w:r>
              <w:rPr>
                <w:sz w:val="19"/>
              </w:rPr>
              <w:t>Pegasys (peginterfereon alfa-2a) – </w:t>
            </w:r>
            <w:r>
              <w:rPr>
                <w:b/>
                <w:sz w:val="19"/>
              </w:rPr>
              <w:t>PA</w:t>
            </w:r>
          </w:p>
          <w:p>
            <w:pPr>
              <w:pStyle w:val="TableParagraph"/>
              <w:ind w:left="1020"/>
              <w:rPr>
                <w:b/>
                <w:sz w:val="19"/>
              </w:rPr>
            </w:pPr>
            <w:r>
              <w:rPr>
                <w:sz w:val="19"/>
              </w:rPr>
              <w:t>PEG-Intron (peginterfereon alfa-2b) – </w:t>
            </w:r>
            <w:r>
              <w:rPr>
                <w:b/>
                <w:sz w:val="19"/>
              </w:rPr>
              <w:t>PA</w:t>
            </w:r>
          </w:p>
          <w:p>
            <w:pPr>
              <w:pStyle w:val="TableParagraph"/>
              <w:rPr>
                <w:rFonts w:ascii="Arial Narrow"/>
                <w:sz w:val="19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4" w:val="left" w:leader="none"/>
              </w:tabs>
              <w:spacing w:line="240" w:lineRule="auto" w:before="0" w:after="0"/>
              <w:ind w:left="823" w:right="271" w:hanging="342"/>
              <w:jc w:val="left"/>
              <w:rPr>
                <w:sz w:val="20"/>
              </w:rPr>
            </w:pPr>
            <w:r>
              <w:rPr>
                <w:sz w:val="20"/>
              </w:rPr>
              <w:t>The following drug will require PA effective May 17, 2010. Please see Table 13 and applicable PA request forms for PA requirements for the lipid lowering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agents.</w:t>
            </w:r>
          </w:p>
          <w:p>
            <w:pPr>
              <w:pStyle w:val="TableParagraph"/>
              <w:spacing w:before="80"/>
              <w:ind w:left="1024"/>
              <w:rPr>
                <w:b/>
                <w:sz w:val="20"/>
              </w:rPr>
            </w:pPr>
            <w:r>
              <w:rPr>
                <w:sz w:val="20"/>
              </w:rPr>
              <w:t>Welchol (colesevelam) tablet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11"/>
              <w:rPr>
                <w:rFonts w:ascii="Arial Narrow"/>
                <w:sz w:val="20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171" w:hanging="360"/>
              <w:jc w:val="left"/>
              <w:rPr>
                <w:sz w:val="20"/>
              </w:rPr>
            </w:pPr>
            <w:r>
              <w:rPr>
                <w:sz w:val="20"/>
              </w:rPr>
              <w:t>The following PA requirements are effective May 17, 2010. Please see Table 40 for the PA requirements for Leukotriene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modifiers.</w:t>
            </w:r>
          </w:p>
          <w:p>
            <w:pPr>
              <w:pStyle w:val="TableParagraph"/>
              <w:spacing w:before="79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Accolate (zafirlukast)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before="1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Singulair (montelukast)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rPr>
                <w:rFonts w:ascii="Arial Narrow"/>
                <w:sz w:val="27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3" w:val="left" w:leader="none"/>
              </w:tabs>
              <w:spacing w:line="240" w:lineRule="auto" w:before="0" w:after="0"/>
              <w:ind w:left="822" w:right="395" w:hanging="360"/>
              <w:jc w:val="left"/>
              <w:rPr>
                <w:sz w:val="20"/>
              </w:rPr>
            </w:pPr>
            <w:r>
              <w:rPr>
                <w:sz w:val="20"/>
              </w:rPr>
              <w:t>The following will require PA effective May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17, 2010.</w:t>
            </w:r>
          </w:p>
          <w:p>
            <w:pPr>
              <w:pStyle w:val="TableParagraph"/>
              <w:spacing w:before="80"/>
              <w:ind w:left="1024" w:right="941"/>
              <w:rPr>
                <w:b/>
                <w:sz w:val="20"/>
              </w:rPr>
            </w:pPr>
            <w:r>
              <w:rPr>
                <w:sz w:val="20"/>
              </w:rPr>
              <w:t>Cerezyme (imiglucerase)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Fosamax (alendronate) solution – </w:t>
            </w:r>
            <w:r>
              <w:rPr>
                <w:b/>
                <w:sz w:val="20"/>
              </w:rPr>
              <w:t>PA </w:t>
            </w:r>
            <w:r>
              <w:rPr>
                <w:sz w:val="20"/>
              </w:rPr>
              <w:t>Kristalose (lactulose)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 w:before="1"/>
              <w:ind w:left="1024"/>
              <w:rPr>
                <w:b/>
                <w:sz w:val="20"/>
              </w:rPr>
            </w:pPr>
            <w:r>
              <w:rPr>
                <w:sz w:val="20"/>
              </w:rPr>
              <w:t>Vancocin (vancomycin) tablet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ind w:left="1024"/>
              <w:rPr>
                <w:b/>
                <w:sz w:val="20"/>
              </w:rPr>
            </w:pPr>
            <w:r>
              <w:rPr>
                <w:sz w:val="20"/>
              </w:rPr>
              <w:t>Viread (tenofovir) – </w:t>
            </w:r>
            <w:r>
              <w:rPr>
                <w:b/>
                <w:sz w:val="20"/>
              </w:rPr>
              <w:t>PA &gt; 30 units/month</w:t>
            </w:r>
          </w:p>
          <w:p>
            <w:pPr>
              <w:pStyle w:val="TableParagraph"/>
              <w:spacing w:before="1"/>
              <w:rPr>
                <w:rFonts w:ascii="Arial Narrow"/>
                <w:sz w:val="27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4" w:val="left" w:leader="none"/>
              </w:tabs>
              <w:spacing w:line="240" w:lineRule="auto" w:before="0" w:after="0"/>
              <w:ind w:left="822" w:right="269" w:hanging="360"/>
              <w:jc w:val="left"/>
              <w:rPr>
                <w:sz w:val="20"/>
              </w:rPr>
            </w:pPr>
            <w:r>
              <w:rPr>
                <w:sz w:val="20"/>
              </w:rPr>
              <w:t>The following agent was previously restricted to inpatient hospital use. MassHealth will now pay for this drug to be dispensed through the retail pharmacy or physician’s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office.</w:t>
            </w:r>
          </w:p>
          <w:p>
            <w:pPr>
              <w:pStyle w:val="TableParagraph"/>
              <w:spacing w:before="80"/>
              <w:ind w:left="1024"/>
              <w:rPr>
                <w:sz w:val="20"/>
              </w:rPr>
            </w:pPr>
            <w:r>
              <w:rPr>
                <w:sz w:val="20"/>
              </w:rPr>
              <w:t>Folotyn (pralatrexate)</w:t>
            </w:r>
          </w:p>
          <w:p>
            <w:pPr>
              <w:pStyle w:val="TableParagraph"/>
              <w:spacing w:before="11"/>
              <w:rPr>
                <w:rFonts w:ascii="Arial Narrow"/>
                <w:sz w:val="19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2" w:val="left" w:leader="none"/>
                <w:tab w:pos="823" w:val="left" w:leader="none"/>
              </w:tabs>
              <w:spacing w:line="310" w:lineRule="atLeast" w:before="0" w:after="0"/>
              <w:ind w:left="1024" w:right="461" w:hanging="562"/>
              <w:jc w:val="left"/>
              <w:rPr>
                <w:sz w:val="20"/>
              </w:rPr>
            </w:pPr>
            <w:r>
              <w:rPr>
                <w:sz w:val="20"/>
              </w:rPr>
              <w:t>The following drugs will no longer require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PA. Angeliq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(drospirenone/estradiol)</w:t>
            </w:r>
          </w:p>
          <w:p>
            <w:pPr>
              <w:pStyle w:val="TableParagraph"/>
              <w:ind w:left="1024"/>
              <w:rPr>
                <w:sz w:val="20"/>
              </w:rPr>
            </w:pPr>
            <w:r>
              <w:rPr>
                <w:sz w:val="20"/>
              </w:rPr>
              <w:t>Femtrace (estradiol)</w:t>
            </w:r>
          </w:p>
        </w:tc>
        <w:tc>
          <w:tcPr>
            <w:tcW w:w="4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0" w:lineRule="exact"/>
        <w:ind w:left="133"/>
        <w:rPr>
          <w:rFonts w:ascii="Arial Narrow"/>
          <w:sz w:val="2"/>
        </w:rPr>
      </w:pPr>
      <w:r>
        <w:rPr>
          <w:rFonts w:ascii="Arial Narrow"/>
          <w:sz w:val="2"/>
        </w:rPr>
        <w:pict>
          <v:group style="width:549pt;height:.7pt;mso-position-horizontal-relative:char;mso-position-vertical-relative:line" coordorigin="0,0" coordsize="10980,14">
            <v:line style="position:absolute" from="0,7" to="10980,7" stroked="true" strokeweight=".66pt" strokecolor="#000000">
              <v:stroke dashstyle="solid"/>
            </v:line>
          </v:group>
        </w:pict>
      </w:r>
      <w:r>
        <w:rPr>
          <w:rFonts w:ascii="Arial Narrow"/>
          <w:sz w:val="2"/>
        </w:rPr>
      </w:r>
    </w:p>
    <w:p>
      <w:pPr>
        <w:spacing w:after="0" w:line="20" w:lineRule="exact"/>
        <w:rPr>
          <w:rFonts w:ascii="Arial Narrow"/>
          <w:sz w:val="2"/>
        </w:rPr>
        <w:sectPr>
          <w:type w:val="continuous"/>
          <w:pgSz w:w="12240" w:h="15840"/>
          <w:pgMar w:top="380" w:bottom="280" w:left="760" w:right="260"/>
        </w:sectPr>
      </w:pPr>
    </w:p>
    <w:p>
      <w:pPr>
        <w:tabs>
          <w:tab w:pos="9758" w:val="left" w:leader="none"/>
        </w:tabs>
        <w:spacing w:before="72"/>
        <w:ind w:left="104" w:right="0" w:firstLine="0"/>
        <w:jc w:val="left"/>
        <w:rPr>
          <w:rFonts w:ascii="Arial Black"/>
          <w:b/>
          <w:sz w:val="18"/>
        </w:rPr>
      </w:pPr>
      <w:r>
        <w:rPr/>
        <w:pict>
          <v:group style="position:absolute;margin-left:36pt;margin-top:36pt;width:549pt;height:694.05pt;mso-position-horizontal-relative:page;mso-position-vertical-relative:page;z-index:-5368" coordorigin="720,720" coordsize="10980,13881">
            <v:shape style="position:absolute;left:898;top:729;width:10749;height:2" coordorigin="899,730" coordsize="10749,0" path="m899,730l6286,730m6286,730l11647,730e" filled="false" stroked="true" strokeweight=".96pt" strokecolor="#000000">
              <v:path arrowok="t"/>
              <v:stroke dashstyle="solid"/>
            </v:shape>
            <v:line style="position:absolute" from="6290,739" to="6290,14580" stroked="true" strokeweight=".48pt" strokecolor="#000000">
              <v:stroke dashstyle="solid"/>
            </v:line>
            <v:shape style="position:absolute;left:720;top:14566;width:10980;height:28" coordorigin="720,14566" coordsize="10980,28" path="m720,14566l11700,14566m720,14594l11700,14594e" filled="false" stroked="true" strokeweight=".66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Black"/>
          <w:b/>
          <w:sz w:val="18"/>
        </w:rPr>
        <w:t>Pharmacy Facts,</w:t>
      </w:r>
      <w:r>
        <w:rPr>
          <w:rFonts w:ascii="Arial Black"/>
          <w:b/>
          <w:spacing w:val="-3"/>
          <w:sz w:val="18"/>
        </w:rPr>
        <w:t> </w:t>
      </w:r>
      <w:r>
        <w:rPr>
          <w:rFonts w:ascii="Arial Black"/>
          <w:b/>
          <w:sz w:val="18"/>
        </w:rPr>
        <w:t>Number</w:t>
      </w:r>
      <w:r>
        <w:rPr>
          <w:rFonts w:ascii="Arial Black"/>
          <w:b/>
          <w:spacing w:val="-2"/>
          <w:sz w:val="18"/>
        </w:rPr>
        <w:t> </w:t>
      </w:r>
      <w:r>
        <w:rPr>
          <w:rFonts w:ascii="Arial Black"/>
          <w:b/>
          <w:sz w:val="18"/>
        </w:rPr>
        <w:t>58</w:t>
        <w:tab/>
        <w:t>Page 2 of</w:t>
      </w:r>
      <w:r>
        <w:rPr>
          <w:rFonts w:ascii="Arial Black"/>
          <w:b/>
          <w:spacing w:val="-3"/>
          <w:sz w:val="18"/>
        </w:rPr>
        <w:t> </w:t>
      </w:r>
      <w:r>
        <w:rPr>
          <w:rFonts w:ascii="Arial Black"/>
          <w:b/>
          <w:sz w:val="18"/>
        </w:rPr>
        <w:t>2</w:t>
      </w:r>
    </w:p>
    <w:p>
      <w:pPr>
        <w:pStyle w:val="BodyText"/>
        <w:spacing w:before="3"/>
        <w:rPr>
          <w:rFonts w:ascii="Arial Black"/>
          <w:b/>
          <w:sz w:val="11"/>
        </w:rPr>
      </w:pPr>
    </w:p>
    <w:p>
      <w:pPr>
        <w:pStyle w:val="Heading1"/>
        <w:numPr>
          <w:ilvl w:val="0"/>
          <w:numId w:val="3"/>
        </w:numPr>
        <w:tabs>
          <w:tab w:pos="608" w:val="left" w:leader="none"/>
        </w:tabs>
        <w:spacing w:line="240" w:lineRule="auto" w:before="94" w:after="0"/>
        <w:ind w:left="607" w:right="0" w:hanging="361"/>
        <w:jc w:val="left"/>
        <w:rPr>
          <w:u w:val="none"/>
        </w:rPr>
      </w:pPr>
      <w:r>
        <w:rPr>
          <w:u w:val="none"/>
        </w:rPr>
        <w:t>Deletions</w:t>
      </w:r>
    </w:p>
    <w:p>
      <w:pPr>
        <w:pStyle w:val="BodyText"/>
        <w:spacing w:before="6"/>
        <w:rPr>
          <w:b/>
          <w:sz w:val="22"/>
        </w:rPr>
      </w:pPr>
    </w:p>
    <w:p>
      <w:pPr>
        <w:spacing w:before="1"/>
        <w:ind w:left="621" w:right="5792" w:firstLine="0"/>
        <w:jc w:val="left"/>
        <w:rPr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-31"/>
          <w:w w:val="95"/>
          <w:sz w:val="20"/>
        </w:rPr>
        <w:t> </w:t>
      </w:r>
      <w:r>
        <w:rPr>
          <w:b/>
          <w:w w:val="95"/>
          <w:sz w:val="20"/>
        </w:rPr>
        <w:t>following</w:t>
      </w:r>
      <w:r>
        <w:rPr>
          <w:b/>
          <w:spacing w:val="-31"/>
          <w:w w:val="95"/>
          <w:sz w:val="20"/>
        </w:rPr>
        <w:t> </w:t>
      </w:r>
      <w:r>
        <w:rPr>
          <w:b/>
          <w:w w:val="95"/>
          <w:sz w:val="20"/>
        </w:rPr>
        <w:t>“A”-rated</w:t>
      </w:r>
      <w:r>
        <w:rPr>
          <w:b/>
          <w:spacing w:val="-31"/>
          <w:w w:val="95"/>
          <w:sz w:val="20"/>
        </w:rPr>
        <w:t> </w:t>
      </w:r>
      <w:r>
        <w:rPr>
          <w:b/>
          <w:w w:val="95"/>
          <w:sz w:val="20"/>
        </w:rPr>
        <w:t>generic</w:t>
      </w:r>
      <w:r>
        <w:rPr>
          <w:b/>
          <w:spacing w:val="-31"/>
          <w:w w:val="95"/>
          <w:sz w:val="20"/>
        </w:rPr>
        <w:t> </w:t>
      </w:r>
      <w:r>
        <w:rPr>
          <w:b/>
          <w:w w:val="95"/>
          <w:sz w:val="20"/>
        </w:rPr>
        <w:t>has</w:t>
      </w:r>
      <w:r>
        <w:rPr>
          <w:b/>
          <w:spacing w:val="-31"/>
          <w:w w:val="95"/>
          <w:sz w:val="20"/>
        </w:rPr>
        <w:t> </w:t>
      </w:r>
      <w:r>
        <w:rPr>
          <w:b/>
          <w:w w:val="95"/>
          <w:sz w:val="20"/>
        </w:rPr>
        <w:t>been</w:t>
      </w:r>
      <w:r>
        <w:rPr>
          <w:b/>
          <w:spacing w:val="-31"/>
          <w:w w:val="95"/>
          <w:sz w:val="20"/>
        </w:rPr>
        <w:t> </w:t>
      </w:r>
      <w:r>
        <w:rPr>
          <w:b/>
          <w:w w:val="95"/>
          <w:sz w:val="20"/>
        </w:rPr>
        <w:t>discontinued </w:t>
      </w:r>
      <w:r>
        <w:rPr>
          <w:sz w:val="20"/>
        </w:rPr>
        <w:t>by the manufacturer. PA will no longer be required for the brand name</w:t>
      </w:r>
      <w:r>
        <w:rPr>
          <w:spacing w:val="-4"/>
          <w:sz w:val="20"/>
        </w:rPr>
        <w:t> </w:t>
      </w:r>
      <w:r>
        <w:rPr>
          <w:sz w:val="20"/>
        </w:rPr>
        <w:t>formulation.</w:t>
      </w:r>
    </w:p>
    <w:p>
      <w:pPr>
        <w:pStyle w:val="BodyText"/>
        <w:tabs>
          <w:tab w:pos="3502" w:val="left" w:leader="none"/>
        </w:tabs>
        <w:spacing w:before="80"/>
        <w:ind w:left="624"/>
      </w:pPr>
      <w:r>
        <w:rPr/>
        <w:t>ethinyl</w:t>
      </w:r>
      <w:r>
        <w:rPr>
          <w:spacing w:val="-3"/>
        </w:rPr>
        <w:t> </w:t>
      </w:r>
      <w:r>
        <w:rPr/>
        <w:t>estradiol/norgestimate</w:t>
        <w:tab/>
        <w:t>Ortho Tri-Cyclen Lo</w:t>
      </w:r>
      <w:r>
        <w:rPr>
          <w:spacing w:val="-4"/>
        </w:rPr>
        <w:t> </w:t>
      </w:r>
      <w:r>
        <w:rPr/>
        <w:t>#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3"/>
        </w:numPr>
        <w:tabs>
          <w:tab w:pos="607" w:val="left" w:leader="none"/>
        </w:tabs>
        <w:spacing w:line="240" w:lineRule="auto" w:before="1" w:after="0"/>
        <w:ind w:left="606" w:right="0" w:hanging="360"/>
        <w:jc w:val="left"/>
        <w:rPr>
          <w:u w:val="none"/>
        </w:rPr>
      </w:pPr>
      <w:r>
        <w:rPr>
          <w:u w:val="none"/>
        </w:rPr>
        <w:t>Name</w:t>
      </w:r>
      <w:r>
        <w:rPr>
          <w:spacing w:val="-2"/>
          <w:u w:val="none"/>
        </w:rPr>
        <w:t> </w:t>
      </w:r>
      <w:r>
        <w:rPr>
          <w:u w:val="none"/>
        </w:rPr>
        <w:t>Change</w:t>
      </w:r>
    </w:p>
    <w:p>
      <w:pPr>
        <w:pStyle w:val="BodyText"/>
        <w:spacing w:before="6"/>
        <w:rPr>
          <w:b/>
          <w:sz w:val="22"/>
        </w:rPr>
      </w:pPr>
    </w:p>
    <w:p>
      <w:pPr>
        <w:spacing w:before="0"/>
        <w:ind w:left="620" w:right="5792" w:firstLine="0"/>
        <w:jc w:val="left"/>
        <w:rPr>
          <w:sz w:val="20"/>
        </w:rPr>
      </w:pPr>
      <w:r>
        <w:rPr>
          <w:b/>
          <w:sz w:val="20"/>
        </w:rPr>
        <w:t>The manufacturer of the following drug is now </w:t>
      </w:r>
      <w:r>
        <w:rPr>
          <w:sz w:val="20"/>
        </w:rPr>
        <w:t>marketing the product under a new trade name. The MassHealth Drug List has been updated to reflect this change.</w:t>
      </w:r>
    </w:p>
    <w:p>
      <w:pPr>
        <w:pStyle w:val="Heading1"/>
        <w:tabs>
          <w:tab w:pos="3082" w:val="left" w:leader="none"/>
        </w:tabs>
        <w:spacing w:before="81"/>
        <w:ind w:left="648" w:firstLine="0"/>
        <w:rPr>
          <w:u w:val="none"/>
        </w:rPr>
      </w:pPr>
      <w:r>
        <w:rPr>
          <w:u w:val="thick"/>
        </w:rPr>
        <w:t>Previous</w:t>
      </w:r>
      <w:r>
        <w:rPr>
          <w:spacing w:val="-4"/>
          <w:u w:val="thick"/>
        </w:rPr>
        <w:t> </w:t>
      </w:r>
      <w:r>
        <w:rPr>
          <w:u w:val="thick"/>
        </w:rPr>
        <w:t>Trade</w:t>
      </w:r>
      <w:r>
        <w:rPr>
          <w:spacing w:val="-5"/>
          <w:u w:val="thick"/>
        </w:rPr>
        <w:t> </w:t>
      </w:r>
      <w:r>
        <w:rPr>
          <w:u w:val="thick"/>
        </w:rPr>
        <w:t>Name</w:t>
      </w:r>
      <w:r>
        <w:rPr>
          <w:u w:val="none"/>
        </w:rPr>
        <w:tab/>
      </w:r>
      <w:r>
        <w:rPr>
          <w:u w:val="thick"/>
        </w:rPr>
        <w:t>New Trade</w:t>
      </w:r>
      <w:r>
        <w:rPr>
          <w:spacing w:val="1"/>
          <w:u w:val="thick"/>
        </w:rPr>
        <w:t> </w:t>
      </w:r>
      <w:r>
        <w:rPr>
          <w:u w:val="thick"/>
        </w:rPr>
        <w:t>name</w:t>
      </w:r>
    </w:p>
    <w:p>
      <w:pPr>
        <w:pStyle w:val="BodyText"/>
        <w:spacing w:line="230" w:lineRule="exact" w:before="39"/>
        <w:ind w:left="662"/>
      </w:pPr>
      <w:r>
        <w:rPr/>
        <w:t>Kapidex (deslansoprazole) Dexilant</w:t>
      </w:r>
    </w:p>
    <w:p>
      <w:pPr>
        <w:pStyle w:val="BodyText"/>
        <w:spacing w:line="230" w:lineRule="exact"/>
        <w:ind w:left="3274"/>
      </w:pPr>
      <w:r>
        <w:rPr/>
        <w:t>(deslansoprazole)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608" w:val="left" w:leader="none"/>
        </w:tabs>
        <w:spacing w:line="240" w:lineRule="auto" w:before="0" w:after="0"/>
        <w:ind w:left="607" w:right="0" w:hanging="361"/>
        <w:jc w:val="left"/>
        <w:rPr>
          <w:u w:val="none"/>
        </w:rPr>
      </w:pPr>
      <w:r>
        <w:rPr>
          <w:u w:val="none"/>
        </w:rPr>
        <w:t>Corrections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967" w:val="left" w:leader="none"/>
        </w:tabs>
        <w:spacing w:line="240" w:lineRule="auto" w:before="0" w:after="0"/>
        <w:ind w:left="966" w:right="5839" w:hanging="360"/>
        <w:jc w:val="left"/>
        <w:rPr>
          <w:sz w:val="20"/>
        </w:rPr>
      </w:pPr>
      <w:r>
        <w:rPr>
          <w:sz w:val="20"/>
        </w:rPr>
        <w:t>The following drugs have been added to the MassHealth Drug List. They were omitted in error. These changes do not reflect any change in MassHealth</w:t>
      </w:r>
      <w:r>
        <w:rPr>
          <w:spacing w:val="-2"/>
          <w:sz w:val="20"/>
        </w:rPr>
        <w:t> </w:t>
      </w:r>
      <w:r>
        <w:rPr>
          <w:sz w:val="20"/>
        </w:rPr>
        <w:t>policy.</w:t>
      </w:r>
    </w:p>
    <w:p>
      <w:pPr>
        <w:spacing w:before="82"/>
        <w:ind w:left="1164" w:right="6572" w:firstLine="0"/>
        <w:jc w:val="left"/>
        <w:rPr>
          <w:sz w:val="19"/>
        </w:rPr>
      </w:pPr>
      <w:r>
        <w:rPr>
          <w:sz w:val="19"/>
        </w:rPr>
        <w:t>Pancrease MT (amylase/lipase/protease) Urso Forte (ursodiol)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3"/>
        </w:numPr>
        <w:tabs>
          <w:tab w:pos="968" w:val="left" w:leader="none"/>
        </w:tabs>
        <w:spacing w:line="240" w:lineRule="auto" w:before="0" w:after="0"/>
        <w:ind w:left="966" w:right="5828" w:hanging="342"/>
        <w:jc w:val="left"/>
        <w:rPr>
          <w:sz w:val="20"/>
        </w:rPr>
      </w:pPr>
      <w:r>
        <w:rPr>
          <w:sz w:val="20"/>
        </w:rPr>
        <w:t>The following drug has been added to the MassHealth OTC List. It was omitted in error. This change does not reflect any change in MassHealth</w:t>
      </w:r>
      <w:r>
        <w:rPr>
          <w:spacing w:val="-2"/>
          <w:sz w:val="20"/>
        </w:rPr>
        <w:t> </w:t>
      </w:r>
      <w:r>
        <w:rPr>
          <w:sz w:val="20"/>
        </w:rPr>
        <w:t>policy.</w:t>
      </w:r>
    </w:p>
    <w:p>
      <w:pPr>
        <w:pStyle w:val="BodyText"/>
        <w:spacing w:before="80"/>
        <w:ind w:left="1164"/>
      </w:pPr>
      <w:r>
        <w:rPr/>
        <w:t>triple antibiotic ointment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spacing w:before="93"/>
        <w:ind w:left="1760" w:right="1541" w:firstLine="0"/>
        <w:jc w:val="center"/>
        <w:rPr>
          <w:sz w:val="21"/>
        </w:rPr>
      </w:pPr>
      <w:r>
        <w:rPr>
          <w:sz w:val="21"/>
        </w:rPr>
        <w:t>Please direct any questions or comments (or to be taken off of this fax distribution) to</w:t>
      </w:r>
    </w:p>
    <w:p>
      <w:pPr>
        <w:spacing w:before="1"/>
        <w:ind w:left="1758" w:right="154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pgSz w:w="12240" w:h="15840"/>
      <w:pgMar w:top="360" w:bottom="280" w:left="7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607" w:hanging="361"/>
        <w:jc w:val="left"/>
      </w:pPr>
      <w:rPr>
        <w:rFonts w:hint="default" w:ascii="Arial" w:hAnsi="Arial" w:eastAsia="Arial" w:cs="Arial"/>
        <w:b/>
        <w:b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966" w:hanging="360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21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463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31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0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17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697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75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52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30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7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5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2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0" w:hanging="15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607" w:hanging="361"/>
      <w:outlineLvl w:val="1"/>
    </w:pPr>
    <w:rPr>
      <w:rFonts w:ascii="Arial" w:hAnsi="Arial" w:eastAsia="Arial" w:cs="Arial"/>
      <w:b/>
      <w:bCs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607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2017-11-24T18:41:59Z</dcterms:created>
  <dcterms:modified xsi:type="dcterms:W3CDTF">2017-11-24T18:41:59Z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2017-11-24T00:00:00Z</vt:filetime>
  </property>
</Properties>
</file>