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3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42.2pt;height:86.35pt;mso-position-horizontal-relative:char;mso-position-vertical-relative:line" coordorigin="0,0" coordsize="10844,1727">
            <v:shape style="position:absolute;left:134;top:1515;width:384;height:134" type="#_x0000_t75" stroked="false">
              <v:imagedata r:id="rId5" o:title=""/>
            </v:shape>
            <v:shape style="position:absolute;left:50;top:1265;width:530;height:221" type="#_x0000_t75" stroked="false">
              <v:imagedata r:id="rId6" o:title=""/>
            </v:shape>
            <v:shape style="position:absolute;left:97;top:815;width:265;height:424" coordorigin="98,816" coordsize="265,424" path="m234,850l223,832,204,820,179,816,151,820,126,832,107,849,98,869,98,891,106,905,118,915,134,922,153,925,168,974,201,1082,233,1190,248,1239,362,1198,339,1152,287,1051,235,951,212,905,224,893,232,879,236,864,234,850xe" filled="false" stroked="true" strokeweight=".85001pt" strokecolor="#231f20">
              <v:path arrowok="t"/>
              <v:stroke dashstyle="solid"/>
            </v:shape>
            <v:shape style="position:absolute;left:133;top:972;width:369;height:335" type="#_x0000_t75" stroked="false">
              <v:imagedata r:id="rId7" o:title=""/>
            </v:shape>
            <v:shape style="position:absolute;left:8895;top:0;width:1948;height:956" type="#_x0000_t75" stroked="false">
              <v:imagedata r:id="rId8" o:title=""/>
            </v:shape>
            <v:line style="position:absolute" from="10,526" to="10378,526" stroked="true" strokeweight=".99998pt" strokecolor="#231f20">
              <v:stroke dashstyle="solid"/>
            </v:line>
            <v:rect style="position:absolute;left:15;top:748;width:602;height:960" filled="false" stroked="true" strokeweight=".49999pt" strokecolor="#231f2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;top:170;width:6802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 Narrow"/>
                        <w:i/>
                        <w:sz w:val="24"/>
                      </w:rPr>
                    </w:pPr>
                    <w:r>
                      <w:rPr>
                        <w:rFonts w:ascii="Arial Narrow"/>
                        <w:i/>
                        <w:color w:val="231F20"/>
                        <w:sz w:val="24"/>
                      </w:rPr>
                      <w:t>Current information for pharmacists about the MassHealth Pharmacy program</w:t>
                    </w:r>
                  </w:p>
                </w:txbxContent>
              </v:textbox>
              <w10:wrap type="none"/>
            </v:shape>
            <v:shape style="position:absolute;left:9024;top:553;width:1502;height:147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rFonts w:ascii="Lucida Sans"/>
                        <w:sz w:val="14"/>
                      </w:rPr>
                    </w:pPr>
                    <w:r>
                      <w:rPr>
                        <w:rFonts w:ascii="Lucida Sans"/>
                        <w:color w:val="231F20"/>
                        <w:sz w:val="14"/>
                      </w:rPr>
                      <w:t>PHARMACY PROGRAM</w:t>
                    </w:r>
                  </w:p>
                </w:txbxContent>
              </v:textbox>
              <w10:wrap type="none"/>
            </v:shape>
            <v:shape style="position:absolute;left:732;top:757;width:1242;height:950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color w:val="231F20"/>
                        <w:sz w:val="20"/>
                      </w:rPr>
                      <w:t>Number 6</w:t>
                    </w:r>
                  </w:p>
                  <w:p>
                    <w:pPr>
                      <w:spacing w:before="130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color w:val="231F20"/>
                        <w:sz w:val="20"/>
                      </w:rPr>
                      <w:t>Page 1</w:t>
                    </w:r>
                  </w:p>
                  <w:p>
                    <w:pPr>
                      <w:spacing w:before="130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color w:val="231F20"/>
                        <w:sz w:val="20"/>
                      </w:rPr>
                      <w:t>January 5, 2005</w:t>
                    </w:r>
                  </w:p>
                </w:txbxContent>
              </v:textbox>
              <w10:wrap type="none"/>
            </v:shape>
            <v:shape style="position:absolute;left:3072;top:595;width:4264;height:113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b/>
                        <w:sz w:val="48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z w:val="48"/>
                      </w:rPr>
                      <w:t>Pharmacy Facts</w:t>
                    </w:r>
                  </w:p>
                  <w:p>
                    <w:pPr>
                      <w:spacing w:before="115"/>
                      <w:ind w:left="51" w:right="0" w:firstLine="0"/>
                      <w:jc w:val="left"/>
                      <w:rPr>
                        <w:rFonts w:ascii="Arial Black"/>
                        <w:b/>
                        <w:sz w:val="24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z w:val="24"/>
                      </w:rPr>
                      <w:t>MassHealth Pharmacy Program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0"/>
        </w:rPr>
      </w:pPr>
      <w:r>
        <w:rPr/>
        <w:pict>
          <v:line style="position:absolute;mso-position-horizontal-relative:page;mso-position-vertical-relative:paragraph;z-index:1144;mso-wrap-distance-left:0;mso-wrap-distance-right:0" from="65.066299pt,8.23917pt" to="583.466299pt,8.23917pt" stroked="true" strokeweight="1pt" strokecolor="#231f20">
            <v:stroke dashstyle="solid"/>
            <w10:wrap type="topAndBottom"/>
          </v:line>
        </w:pict>
      </w:r>
    </w:p>
    <w:p>
      <w:pPr>
        <w:tabs>
          <w:tab w:pos="2838" w:val="left" w:leader="none"/>
          <w:tab w:pos="10509" w:val="left" w:leader="none"/>
        </w:tabs>
        <w:spacing w:before="10"/>
        <w:ind w:left="141" w:right="0" w:firstLine="0"/>
        <w:jc w:val="left"/>
        <w:rPr>
          <w:rFonts w:ascii="Arial Black" w:hAnsi="Arial Black"/>
          <w:b/>
          <w:sz w:val="20"/>
        </w:rPr>
      </w:pPr>
      <w:r>
        <w:rPr>
          <w:rFonts w:ascii="Times New Roman" w:hAnsi="Times New Roman"/>
          <w:color w:val="231F20"/>
          <w:sz w:val="20"/>
          <w:u w:val="single" w:color="231F20"/>
        </w:rPr>
        <w:t> </w:t>
        <w:tab/>
      </w:r>
      <w:r>
        <w:rPr>
          <w:rFonts w:ascii="Arial Black" w:hAnsi="Arial Black"/>
          <w:b/>
          <w:color w:val="231F20"/>
          <w:sz w:val="20"/>
          <w:u w:val="single" w:color="231F20"/>
        </w:rPr>
        <w:t>• </w:t>
      </w:r>
      <w:r>
        <w:rPr>
          <w:rFonts w:ascii="Arial Narrow" w:hAnsi="Arial Narrow"/>
          <w:color w:val="231F20"/>
          <w:sz w:val="18"/>
          <w:u w:val="single" w:color="231F20"/>
        </w:rPr>
        <w:t>Editor: Vic </w:t>
      </w:r>
      <w:r>
        <w:rPr>
          <w:rFonts w:ascii="Arial Narrow" w:hAnsi="Arial Narrow"/>
          <w:color w:val="231F20"/>
          <w:spacing w:val="-3"/>
          <w:sz w:val="18"/>
          <w:u w:val="single" w:color="231F20"/>
        </w:rPr>
        <w:t>Vangel  </w:t>
      </w:r>
      <w:r>
        <w:rPr>
          <w:rFonts w:ascii="Arial Narrow" w:hAnsi="Arial Narrow"/>
          <w:color w:val="231F20"/>
          <w:sz w:val="18"/>
          <w:u w:val="single" w:color="231F20"/>
        </w:rPr>
        <w:t>Contributors: Chris Burke, Gary Gilmore, Paul Jeffrey</w:t>
      </w:r>
      <w:r>
        <w:rPr>
          <w:rFonts w:ascii="Arial Narrow" w:hAnsi="Arial Narrow"/>
          <w:color w:val="231F20"/>
          <w:spacing w:val="-27"/>
          <w:sz w:val="18"/>
          <w:u w:val="single" w:color="231F20"/>
        </w:rPr>
        <w:t> </w:t>
      </w:r>
      <w:r>
        <w:rPr>
          <w:rFonts w:ascii="Arial Black" w:hAnsi="Arial Black"/>
          <w:b/>
          <w:color w:val="231F20"/>
          <w:sz w:val="20"/>
          <w:u w:val="single" w:color="231F20"/>
        </w:rPr>
        <w:t>•</w:t>
        <w:tab/>
      </w:r>
    </w:p>
    <w:p>
      <w:pPr>
        <w:pStyle w:val="BodyText"/>
        <w:spacing w:before="5"/>
        <w:rPr>
          <w:rFonts w:ascii="Arial Black"/>
          <w:b/>
          <w:sz w:val="7"/>
        </w:rPr>
      </w:pPr>
    </w:p>
    <w:p>
      <w:pPr>
        <w:spacing w:after="0"/>
        <w:rPr>
          <w:rFonts w:ascii="Arial Black"/>
          <w:sz w:val="7"/>
        </w:rPr>
        <w:sectPr>
          <w:type w:val="continuous"/>
          <w:pgSz w:w="12960" w:h="16560"/>
          <w:pgMar w:top="780" w:bottom="280" w:left="1160" w:right="720"/>
        </w:sectPr>
      </w:pPr>
    </w:p>
    <w:p>
      <w:pPr>
        <w:pStyle w:val="Heading1"/>
        <w:spacing w:before="100"/>
        <w:rPr>
          <w:b/>
        </w:rPr>
      </w:pPr>
      <w:r>
        <w:rPr>
          <w:b/>
          <w:color w:val="231F20"/>
        </w:rPr>
        <w:t>Pharmacy Program Regulations</w:t>
      </w:r>
    </w:p>
    <w:p>
      <w:pPr>
        <w:pStyle w:val="BodyText"/>
        <w:spacing w:line="280" w:lineRule="auto" w:before="143"/>
        <w:ind w:left="106" w:right="358"/>
      </w:pPr>
      <w:r>
        <w:rPr>
          <w:color w:val="231F20"/>
        </w:rPr>
        <w:t>Pharmacies have been mailed a transmittal letter that contains an update to the Pharmacy Manual. This document can also be found</w:t>
      </w:r>
    </w:p>
    <w:p>
      <w:pPr>
        <w:pStyle w:val="BodyText"/>
        <w:spacing w:line="266" w:lineRule="auto"/>
        <w:ind w:left="106" w:right="247" w:hanging="1"/>
        <w:rPr>
          <w:rFonts w:ascii="Tahoma" w:hAnsi="Tahoma"/>
        </w:rPr>
      </w:pPr>
      <w:r>
        <w:rPr>
          <w:color w:val="231F20"/>
        </w:rPr>
        <w:t>at: </w:t>
      </w:r>
      <w:hyperlink r:id="rId9">
        <w:r>
          <w:rPr>
            <w:rFonts w:ascii="Tahoma" w:hAnsi="Tahoma"/>
            <w:color w:val="0050A3"/>
            <w:u w:val="single" w:color="0050A3"/>
          </w:rPr>
          <w:t>www.mass.gov/masshealthpubs</w:t>
        </w:r>
        <w:r>
          <w:rPr>
            <w:rFonts w:ascii="Tahoma" w:hAnsi="Tahoma"/>
            <w:color w:val="231F20"/>
          </w:rPr>
          <w:t>. </w:t>
        </w:r>
      </w:hyperlink>
      <w:r>
        <w:rPr>
          <w:rFonts w:ascii="Tahoma" w:hAnsi="Tahoma"/>
          <w:color w:val="231F20"/>
        </w:rPr>
        <w:t>Click on “Provider </w:t>
      </w:r>
      <w:r>
        <w:rPr>
          <w:rFonts w:ascii="Tahoma" w:hAnsi="Tahoma"/>
          <w:color w:val="231F20"/>
          <w:spacing w:val="-6"/>
        </w:rPr>
        <w:t>Library,” </w:t>
      </w:r>
      <w:r>
        <w:rPr>
          <w:rFonts w:ascii="Tahoma" w:hAnsi="Tahoma"/>
          <w:color w:val="231F20"/>
        </w:rPr>
        <w:t>then on </w:t>
      </w:r>
      <w:r>
        <w:rPr>
          <w:rFonts w:ascii="Tahoma" w:hAnsi="Tahoma"/>
          <w:color w:val="231F20"/>
          <w:spacing w:val="-3"/>
        </w:rPr>
        <w:t>“Transmittal </w:t>
      </w:r>
      <w:r>
        <w:rPr>
          <w:rFonts w:ascii="Tahoma" w:hAnsi="Tahoma"/>
          <w:color w:val="231F20"/>
          <w:spacing w:val="-4"/>
        </w:rPr>
        <w:t>Letters,” </w:t>
      </w:r>
      <w:r>
        <w:rPr>
          <w:rFonts w:ascii="Tahoma" w:hAnsi="Tahoma"/>
          <w:color w:val="231F20"/>
        </w:rPr>
        <w:t>then on “2004 </w:t>
      </w:r>
      <w:r>
        <w:rPr>
          <w:rFonts w:ascii="Tahoma" w:hAnsi="Tahoma"/>
          <w:color w:val="231F20"/>
          <w:spacing w:val="-3"/>
        </w:rPr>
        <w:t>Transmittal </w:t>
      </w:r>
      <w:r>
        <w:rPr>
          <w:rFonts w:ascii="Tahoma" w:hAnsi="Tahoma"/>
          <w:color w:val="231F20"/>
          <w:spacing w:val="-4"/>
        </w:rPr>
        <w:t>Letters,” </w:t>
      </w:r>
      <w:r>
        <w:rPr>
          <w:rFonts w:ascii="Tahoma" w:hAnsi="Tahoma"/>
          <w:color w:val="231F20"/>
        </w:rPr>
        <w:t>then on </w:t>
      </w:r>
      <w:r>
        <w:rPr>
          <w:rFonts w:ascii="Tahoma" w:hAnsi="Tahoma"/>
          <w:color w:val="231F20"/>
          <w:spacing w:val="-4"/>
        </w:rPr>
        <w:t>“PHM-51.”</w:t>
      </w:r>
    </w:p>
    <w:p>
      <w:pPr>
        <w:pStyle w:val="BodyText"/>
        <w:spacing w:line="280" w:lineRule="auto" w:before="150"/>
        <w:ind w:left="106"/>
      </w:pPr>
      <w:r>
        <w:rPr>
          <w:color w:val="231F20"/>
        </w:rPr>
        <w:t>One change that will be of particular interest to pharmacists is that effective 1/1/05 MassHealth will pay for prescription refills for up to one</w:t>
      </w:r>
    </w:p>
    <w:p>
      <w:pPr>
        <w:pStyle w:val="BodyText"/>
        <w:spacing w:line="280" w:lineRule="auto"/>
        <w:ind w:left="106"/>
      </w:pPr>
      <w:r>
        <w:rPr>
          <w:color w:val="231F20"/>
        </w:rPr>
        <w:t>year from the written date of the prescription. MassHealth will now pay for a maximum of 11 monthly refills.</w:t>
      </w:r>
    </w:p>
    <w:p>
      <w:pPr>
        <w:pStyle w:val="BodyText"/>
        <w:spacing w:before="6"/>
        <w:rPr>
          <w:sz w:val="23"/>
        </w:rPr>
      </w:pPr>
    </w:p>
    <w:p>
      <w:pPr>
        <w:pStyle w:val="Heading1"/>
        <w:spacing w:before="0"/>
        <w:rPr>
          <w:b/>
        </w:rPr>
      </w:pPr>
      <w:r>
        <w:rPr>
          <w:b/>
          <w:color w:val="231F20"/>
        </w:rPr>
        <w:t>MassHealth Drug List</w:t>
      </w:r>
    </w:p>
    <w:p>
      <w:pPr>
        <w:pStyle w:val="BodyText"/>
        <w:spacing w:line="280" w:lineRule="auto" w:before="143"/>
        <w:ind w:left="106"/>
      </w:pPr>
      <w:r>
        <w:rPr>
          <w:color w:val="231F20"/>
        </w:rPr>
        <w:t>On 1/18/05 there will be a change in coverage for ranitidine. Ranitidine 150 and 300mg capsules</w:t>
      </w:r>
      <w:r>
        <w:rPr>
          <w:color w:val="231F20"/>
          <w:spacing w:val="-33"/>
        </w:rPr>
        <w:t> </w:t>
      </w:r>
      <w:r>
        <w:rPr>
          <w:color w:val="231F20"/>
        </w:rPr>
        <w:t>will require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PA.</w:t>
      </w:r>
    </w:p>
    <w:p>
      <w:pPr>
        <w:pStyle w:val="BodyText"/>
        <w:spacing w:line="280" w:lineRule="auto" w:before="123"/>
        <w:ind w:left="106"/>
      </w:pPr>
      <w:r>
        <w:rPr>
          <w:color w:val="231F20"/>
        </w:rPr>
        <w:t>Please remember that the MHDL and its updates can be found at: </w:t>
      </w:r>
      <w:hyperlink r:id="rId10">
        <w:r>
          <w:rPr>
            <w:color w:val="0050A3"/>
            <w:u w:val="single" w:color="0050A3"/>
          </w:rPr>
          <w:t>www.mass.gov/druglist</w:t>
        </w:r>
        <w:r>
          <w:rPr>
            <w:color w:val="231F20"/>
          </w:rPr>
          <w:t>.</w:t>
        </w:r>
      </w:hyperlink>
    </w:p>
    <w:p>
      <w:pPr>
        <w:pStyle w:val="BodyText"/>
        <w:spacing w:before="6"/>
        <w:rPr>
          <w:sz w:val="23"/>
        </w:rPr>
      </w:pPr>
    </w:p>
    <w:p>
      <w:pPr>
        <w:pStyle w:val="Heading1"/>
        <w:rPr>
          <w:b/>
        </w:rPr>
      </w:pPr>
      <w:r>
        <w:rPr>
          <w:b/>
          <w:color w:val="231F20"/>
        </w:rPr>
        <w:t>Patient Locations</w:t>
      </w:r>
    </w:p>
    <w:p>
      <w:pPr>
        <w:pStyle w:val="BodyText"/>
        <w:spacing w:line="280" w:lineRule="auto" w:before="144"/>
        <w:ind w:left="106" w:right="53"/>
      </w:pPr>
      <w:r>
        <w:rPr>
          <w:color w:val="231F20"/>
        </w:rPr>
        <w:t>There seems to be some confusion among pharmacists concerning the transmittal of patient location codes on a pharmacy claim submitted through the Pharmacy Online Processing System (POPS). Members that reside in assisted living facilities, rest homes, or “group homes” are considered to have patient location 1 -home. A member cannot be considered a long-term care or nursing home resident unless the place of residence has around-the-clock nursing care.</w:t>
      </w:r>
    </w:p>
    <w:p>
      <w:pPr>
        <w:pStyle w:val="Heading1"/>
        <w:spacing w:before="100"/>
        <w:rPr>
          <w:b/>
        </w:rPr>
      </w:pPr>
      <w:r>
        <w:rPr>
          <w:b w:val="0"/>
        </w:rPr>
        <w:br w:type="column"/>
      </w:r>
      <w:r>
        <w:rPr>
          <w:b/>
          <w:color w:val="231F20"/>
        </w:rPr>
        <w:t>Prescriber DEA Numbers</w:t>
      </w:r>
    </w:p>
    <w:p>
      <w:pPr>
        <w:pStyle w:val="BodyText"/>
        <w:spacing w:line="280" w:lineRule="auto" w:before="144"/>
        <w:ind w:left="106" w:right="904"/>
      </w:pPr>
      <w:r>
        <w:rPr/>
        <w:pict>
          <v:line style="position:absolute;mso-position-horizontal-relative:page;mso-position-vertical-relative:paragraph;z-index:1192" from="322.266296pt,-22.003721pt" to="322.266296pt,559.139129pt" stroked="true" strokeweight="1pt" strokecolor="#231f20">
            <v:stroke dashstyle="solid"/>
            <w10:wrap type="none"/>
          </v:line>
        </w:pict>
      </w:r>
      <w:r>
        <w:rPr>
          <w:color w:val="231F20"/>
        </w:rPr>
        <w:t>Please remember that MassHealth will only  pay for claims that contain a valid prescriber DEA </w:t>
      </w:r>
      <w:r>
        <w:rPr>
          <w:color w:val="231F20"/>
          <w:spacing w:val="-3"/>
        </w:rPr>
        <w:t>number. </w:t>
      </w:r>
      <w:r>
        <w:rPr>
          <w:color w:val="231F20"/>
        </w:rPr>
        <w:t>The Pharmacy Online</w:t>
      </w:r>
      <w:r>
        <w:rPr>
          <w:color w:val="231F20"/>
          <w:spacing w:val="-13"/>
        </w:rPr>
        <w:t> </w:t>
      </w:r>
      <w:r>
        <w:rPr>
          <w:color w:val="231F20"/>
        </w:rPr>
        <w:t>Processing</w:t>
      </w:r>
    </w:p>
    <w:p>
      <w:pPr>
        <w:pStyle w:val="BodyText"/>
        <w:spacing w:line="280" w:lineRule="auto" w:before="1"/>
        <w:ind w:left="106" w:right="622"/>
      </w:pPr>
      <w:r>
        <w:rPr>
          <w:color w:val="231F20"/>
        </w:rPr>
        <w:t>System (POPS) will only allow a claim to pay if the DEA # submitted matches a DEA # in the POPS prescriber file. This DEA # has to have a name and address associated with that prescriber in the prescriber file.</w:t>
      </w:r>
    </w:p>
    <w:p>
      <w:pPr>
        <w:pStyle w:val="BodyText"/>
        <w:spacing w:before="6"/>
        <w:rPr>
          <w:sz w:val="23"/>
        </w:rPr>
      </w:pPr>
    </w:p>
    <w:p>
      <w:pPr>
        <w:pStyle w:val="Heading1"/>
        <w:rPr>
          <w:b/>
        </w:rPr>
      </w:pPr>
      <w:r>
        <w:rPr>
          <w:b/>
          <w:color w:val="231F20"/>
        </w:rPr>
        <w:t>Claims Issue</w:t>
      </w:r>
    </w:p>
    <w:p>
      <w:pPr>
        <w:pStyle w:val="BodyText"/>
        <w:spacing w:line="280" w:lineRule="auto" w:before="144"/>
        <w:ind w:left="106" w:right="622"/>
      </w:pPr>
      <w:r>
        <w:rPr>
          <w:color w:val="231F20"/>
        </w:rPr>
        <w:t>The Center for Medicare and Medicaid Services (CMS) has informed Medicaid programs that effective 1/1/05 over 300 NDC #s will be excluded from the federal rebate program. In accordance with federal law and MassHealth regulations,</w:t>
      </w:r>
    </w:p>
    <w:p>
      <w:pPr>
        <w:pStyle w:val="BodyText"/>
        <w:spacing w:line="280" w:lineRule="auto" w:before="1"/>
        <w:ind w:left="106" w:right="859"/>
      </w:pPr>
      <w:r>
        <w:rPr>
          <w:color w:val="231F20"/>
        </w:rPr>
        <w:t>MassHealth will no longer pay for claims that are submitted with these NDCs. See 130 CMR 406.412(A)(1). The affected NDCs can be</w:t>
      </w:r>
      <w:r>
        <w:rPr>
          <w:color w:val="231F20"/>
          <w:spacing w:val="-27"/>
        </w:rPr>
        <w:t> </w:t>
      </w:r>
      <w:r>
        <w:rPr>
          <w:color w:val="231F20"/>
        </w:rPr>
        <w:t>found at </w:t>
      </w:r>
      <w:hyperlink r:id="rId11">
        <w:r>
          <w:rPr>
            <w:color w:val="0050A3"/>
            <w:u w:val="single" w:color="0050A3"/>
          </w:rPr>
          <w:t>www.cms.hhs.gov/medicaid/drugs/drug1.asp</w:t>
        </w:r>
        <w:r>
          <w:rPr>
            <w:color w:val="231F20"/>
          </w:rPr>
          <w:t>.</w:t>
        </w:r>
      </w:hyperlink>
      <w:r>
        <w:rPr>
          <w:color w:val="231F20"/>
        </w:rPr>
        <w:t> (Select 2004, then select</w:t>
      </w:r>
      <w:r>
        <w:rPr>
          <w:color w:val="231F20"/>
          <w:spacing w:val="-17"/>
        </w:rPr>
        <w:t> </w:t>
      </w:r>
      <w:r>
        <w:rPr>
          <w:color w:val="231F20"/>
        </w:rPr>
        <w:t>R135.)</w:t>
      </w:r>
    </w:p>
    <w:p>
      <w:pPr>
        <w:spacing w:after="0" w:line="280" w:lineRule="auto"/>
        <w:sectPr>
          <w:type w:val="continuous"/>
          <w:pgSz w:w="12960" w:h="16560"/>
          <w:pgMar w:top="780" w:bottom="280" w:left="1160" w:right="720"/>
          <w:cols w:num="2" w:equalWidth="0">
            <w:col w:w="4985" w:space="451"/>
            <w:col w:w="564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519.4pt;height:1pt;mso-position-horizontal-relative:char;mso-position-vertical-relative:line" coordorigin="0,0" coordsize="10388,20">
            <v:line style="position:absolute" from="10,10" to="10378,10" stroked="true" strokeweight="1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spacing w:before="93"/>
        <w:ind w:left="141"/>
      </w:pPr>
      <w:r>
        <w:rPr>
          <w:color w:val="231F20"/>
        </w:rPr>
        <w:t>Please direct any questions or comments (or to be taken off of this fax distribution) to</w:t>
      </w:r>
    </w:p>
    <w:p>
      <w:pPr>
        <w:spacing w:before="6"/>
        <w:ind w:left="141" w:right="0" w:firstLine="0"/>
        <w:jc w:val="left"/>
        <w:rPr>
          <w:sz w:val="22"/>
        </w:rPr>
      </w:pPr>
      <w:r>
        <w:rPr>
          <w:rFonts w:ascii="Arial Black"/>
          <w:b/>
          <w:color w:val="231F20"/>
          <w:sz w:val="22"/>
        </w:rPr>
        <w:t>Victor Moquin </w:t>
      </w:r>
      <w:r>
        <w:rPr>
          <w:color w:val="231F20"/>
          <w:sz w:val="22"/>
        </w:rPr>
        <w:t>of ACS at 617-423-9830</w:t>
      </w:r>
    </w:p>
    <w:sectPr>
      <w:type w:val="continuous"/>
      <w:pgSz w:w="12960" w:h="16560"/>
      <w:pgMar w:top="780" w:bottom="280" w:left="11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"/>
      <w:ind w:left="106"/>
      <w:outlineLvl w:val="1"/>
    </w:pPr>
    <w:rPr>
      <w:rFonts w:ascii="Arial Black" w:hAnsi="Arial Black" w:eastAsia="Arial Black" w:cs="Arial Black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mass.gov/masshealthpubs" TargetMode="External"/><Relationship Id="rId10" Type="http://schemas.openxmlformats.org/officeDocument/2006/relationships/hyperlink" Target="http://www.mass.gov/druglist" TargetMode="External"/><Relationship Id="rId11" Type="http://schemas.openxmlformats.org/officeDocument/2006/relationships/hyperlink" Target="http://www.cms.hhs.gov/medicaid/drugs/drug1.asp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2017-11-16T09:02:34Z</dcterms:created>
  <dcterms:modified xsi:type="dcterms:W3CDTF">2017-11-16T09:02:34Z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2005-01-03T00:00:00Z</vt:filetime>
  </property>
  <property fmtid="{D5CDD505-2E9C-101B-9397-08002B2CF9AE}" pid="3" name="Creator">
    <vt:lpwstr>Adobe InDesign 2.0</vt:lpwstr>
  </property>
  <property fmtid="{D5CDD505-2E9C-101B-9397-08002B2CF9AE}" pid="4" name="LastSaved">
    <vt:filetime>2017-11-16T00:00:00Z</vt:filetime>
  </property>
</Properties>
</file>