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before="0" w:after="2"/>
        <w:ind w:left="900" w:right="1257" w:firstLine="0"/>
        <w:jc w:val="center"/>
        <w:rPr>
          <w:rFonts w:ascii="Arial Narrow"/>
          <w:sz w:val="18"/>
        </w:rPr>
      </w:pPr>
      <w:r>
        <w:rPr/>
        <w:pict>
          <v:group style="position:absolute;margin-left:50.279999pt;margin-top:-105.210442pt;width:542.4pt;height:107.85pt;mso-position-horizontal-relative:page;mso-position-vertical-relative:paragraph;z-index:-5344" coordorigin="1006,-2104" coordsize="10848,2157">
            <v:shape style="position:absolute;left:1005;top:-2105;width:10848;height:215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64;top:-1160;width:1033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60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July 30, 2010</w:t>
                    </w:r>
                  </w:p>
                </w:txbxContent>
              </v:textbox>
              <w10:wrap type="none"/>
            </v:shape>
            <v:shape style="position:absolute;left:10340;top:-260;width:1120;height:25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b/>
                        <w:sz w:val="18"/>
                      </w:rPr>
                    </w:pPr>
                    <w:r>
                      <w:rPr>
                        <w:rFonts w:ascii="Arial Black"/>
                        <w:b/>
                        <w:sz w:val="18"/>
                      </w:rPr>
                      <w:t>Page 1 of 2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6">
        <w:r>
          <w:rPr>
            <w:rFonts w:ascii="Arial Narrow"/>
            <w:sz w:val="18"/>
          </w:rPr>
          <w:t>www.mass.gov/masshealth/pharmacy</w:t>
        </w:r>
      </w:hyperlink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0"/>
        <w:gridCol w:w="5302"/>
        <w:gridCol w:w="230"/>
      </w:tblGrid>
      <w:tr>
        <w:trPr>
          <w:trHeight w:val="303" w:hRule="atLeast"/>
        </w:trPr>
        <w:tc>
          <w:tcPr>
            <w:tcW w:w="1039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725" w:val="left" w:leader="none"/>
              </w:tabs>
              <w:spacing w:line="240" w:lineRule="auto" w:before="0" w:after="0"/>
              <w:ind w:left="1724" w:right="0" w:hanging="150"/>
              <w:jc w:val="left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>Editor: Vic Vangel </w:t>
            </w:r>
            <w:r>
              <w:rPr>
                <w:rFonts w:ascii="Arial Black" w:hAnsi="Arial Black"/>
                <w:b/>
                <w:sz w:val="18"/>
              </w:rPr>
              <w:t>• </w:t>
            </w:r>
            <w:r>
              <w:rPr>
                <w:rFonts w:ascii="Arial Narrow" w:hAnsi="Arial Narrow"/>
                <w:sz w:val="18"/>
              </w:rPr>
              <w:t>Contributors: Chris Burke, Gary Gilmore, Paul Jeffrey, James Monahan, Nancy Schiff</w:t>
            </w:r>
            <w:r>
              <w:rPr>
                <w:rFonts w:ascii="Arial Narrow" w:hAnsi="Arial Narrow"/>
                <w:spacing w:val="13"/>
                <w:sz w:val="18"/>
              </w:rPr>
              <w:t> </w:t>
            </w:r>
            <w:r>
              <w:rPr>
                <w:rFonts w:ascii="Arial Black" w:hAnsi="Arial Black"/>
                <w:b/>
                <w:sz w:val="18"/>
              </w:rPr>
              <w:t>•</w:t>
            </w:r>
          </w:p>
        </w:tc>
        <w:tc>
          <w:tcPr>
            <w:tcW w:w="2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2248" w:hRule="atLeast"/>
        </w:trPr>
        <w:tc>
          <w:tcPr>
            <w:tcW w:w="5090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104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MHDL Updates</w:t>
            </w:r>
          </w:p>
          <w:p>
            <w:pPr>
              <w:pStyle w:val="TableParagraph"/>
              <w:spacing w:before="121"/>
              <w:ind w:left="122" w:right="126" w:hanging="19"/>
              <w:rPr>
                <w:sz w:val="20"/>
              </w:rPr>
            </w:pPr>
            <w:r>
              <w:rPr>
                <w:sz w:val="20"/>
              </w:rPr>
              <w:t>Below are certain updates to the MassHealth Drug List (MHDL). See the MHDL for a complete listing of updates.</w:t>
            </w:r>
          </w:p>
          <w:p>
            <w:pPr>
              <w:pStyle w:val="TableParagraph"/>
              <w:spacing w:before="6"/>
              <w:ind w:left="0"/>
              <w:rPr>
                <w:rFonts w:ascii="Arial Narrow"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</w:tabs>
              <w:spacing w:line="230" w:lineRule="exact" w:before="1" w:after="0"/>
              <w:ind w:left="464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Additions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40" w:val="left" w:leader="none"/>
              </w:tabs>
              <w:spacing w:line="240" w:lineRule="auto" w:before="0" w:after="0"/>
              <w:ind w:left="838" w:right="564" w:hanging="360"/>
              <w:jc w:val="left"/>
              <w:rPr>
                <w:sz w:val="20"/>
              </w:rPr>
            </w:pPr>
            <w:r>
              <w:rPr>
                <w:sz w:val="20"/>
              </w:rPr>
              <w:t>The following newly marketed drugs have been added to the MassHealth Drug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List.</w:t>
            </w:r>
          </w:p>
          <w:p>
            <w:pPr>
              <w:pStyle w:val="TableParagraph"/>
              <w:spacing w:before="119"/>
              <w:ind w:left="1256" w:right="361" w:hanging="180"/>
              <w:rPr>
                <w:b/>
                <w:sz w:val="20"/>
              </w:rPr>
            </w:pPr>
            <w:r>
              <w:rPr>
                <w:sz w:val="20"/>
              </w:rPr>
              <w:t>ActoPlus Met XR (pioglitazone/metformin extended-release) – </w:t>
            </w: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Berinert (C1 inhibitor, human) ^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Exalgo (hydromorphone, extended release)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24" w:val="left" w:leader="none"/>
              </w:tabs>
              <w:spacing w:line="229" w:lineRule="exact" w:before="2" w:after="0"/>
              <w:ind w:left="1423" w:right="0" w:hanging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Hizentra (immune globulin, subcutaneous)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24" w:val="left" w:leader="none"/>
              </w:tabs>
              <w:spacing w:line="229" w:lineRule="exact" w:before="2" w:after="0"/>
              <w:ind w:left="1423" w:right="0" w:hanging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Kalbitor (encallatide) ^</w:t>
            </w:r>
          </w:p>
          <w:p>
            <w:pPr>
              <w:pStyle w:val="TableParagraph"/>
              <w:ind w:right="787"/>
              <w:rPr>
                <w:sz w:val="20"/>
              </w:rPr>
            </w:pPr>
            <w:r>
              <w:rPr>
                <w:sz w:val="20"/>
              </w:rPr>
              <w:t>Metvixia (methyl aminolevulinate) ^ Mirapex ER (pramipexole extended-</w:t>
            </w:r>
          </w:p>
          <w:p>
            <w:pPr>
              <w:pStyle w:val="TableParagraph"/>
              <w:spacing w:line="230" w:lineRule="exact"/>
              <w:ind w:left="1256"/>
              <w:rPr>
                <w:b/>
                <w:sz w:val="20"/>
              </w:rPr>
            </w:pPr>
            <w:r>
              <w:rPr>
                <w:sz w:val="20"/>
              </w:rPr>
              <w:t>release)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1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>Pennsaid (diclofenac topical solution) </w:t>
            </w:r>
            <w:r>
              <w:rPr>
                <w:b/>
                <w:sz w:val="20"/>
              </w:rPr>
              <w:t>– PA </w:t>
            </w:r>
            <w:r>
              <w:rPr>
                <w:sz w:val="20"/>
              </w:rPr>
              <w:t>Qutenza (capsaicin, high dose patch) </w:t>
            </w:r>
            <w:r>
              <w:rPr>
                <w:b/>
                <w:sz w:val="20"/>
              </w:rPr>
              <w:t>– PA </w:t>
            </w:r>
            <w:r>
              <w:rPr>
                <w:sz w:val="20"/>
              </w:rPr>
              <w:t>Revatio IV (sildenafil) </w:t>
            </w:r>
            <w:r>
              <w:rPr>
                <w:sz w:val="20"/>
                <w:vertAlign w:val="superscript"/>
              </w:rPr>
              <w:t>H</w:t>
            </w:r>
          </w:p>
          <w:p>
            <w:pPr>
              <w:pStyle w:val="TableParagraph"/>
              <w:spacing w:line="230" w:lineRule="exact" w:before="2"/>
              <w:ind w:left="1256" w:hanging="360"/>
              <w:rPr>
                <w:b/>
                <w:sz w:val="20"/>
              </w:rPr>
            </w:pPr>
            <w:r>
              <w:rPr>
                <w:position w:val="10"/>
                <w:sz w:val="13"/>
              </w:rPr>
              <w:t>` </w:t>
            </w:r>
            <w:r>
              <w:rPr>
                <w:sz w:val="20"/>
              </w:rPr>
              <w:t>Rybix ODT (tramadol, orally disintegrating tablet)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sz w:val="20"/>
              </w:rPr>
              <w:t>Tirosint (levothyroxine)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>Vibativ (televancin)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sz w:val="20"/>
              </w:rPr>
              <w:t>Vpriv (velaglucerase alfa)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ind w:left="1256" w:right="1187" w:hanging="180"/>
              <w:rPr>
                <w:b/>
                <w:sz w:val="20"/>
              </w:rPr>
            </w:pPr>
            <w:r>
              <w:rPr>
                <w:sz w:val="20"/>
              </w:rPr>
              <w:t>Xiaflex (collagenase clostridium histolyticum)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1"/>
              <w:ind w:right="1732" w:hanging="1"/>
              <w:rPr>
                <w:b/>
                <w:sz w:val="20"/>
              </w:rPr>
            </w:pPr>
            <w:r>
              <w:rPr>
                <w:sz w:val="20"/>
              </w:rPr>
              <w:t>Zirgan (ganciclovir) Zyclara (imiquimod)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88" w:lineRule="auto" w:before="119"/>
              <w:ind w:left="716" w:right="253" w:hanging="181"/>
              <w:rPr>
                <w:sz w:val="16"/>
              </w:rPr>
            </w:pPr>
            <w:r>
              <w:rPr>
                <w:sz w:val="16"/>
              </w:rPr>
              <w:t>^ This drug is available through the health-care professional who administers the drug. Masshealth does not pay for this drug to be dispensed through a retail pharmacy.</w:t>
            </w:r>
          </w:p>
          <w:p>
            <w:pPr>
              <w:pStyle w:val="TableParagraph"/>
              <w:spacing w:line="288" w:lineRule="auto" w:before="66"/>
              <w:ind w:left="716" w:hanging="181"/>
              <w:rPr>
                <w:sz w:val="16"/>
              </w:rPr>
            </w:pPr>
            <w:r>
              <w:rPr>
                <w:position w:val="7"/>
                <w:sz w:val="10"/>
              </w:rPr>
              <w:t>H </w:t>
            </w:r>
            <w:r>
              <w:rPr>
                <w:sz w:val="16"/>
              </w:rPr>
              <w:t>This drug is available only in an inpatient hospital setting. MassHealth does not pay for this drug to be dispensed through the retail pharmacy or the physician’s office.</w:t>
            </w:r>
          </w:p>
          <w:p>
            <w:pPr>
              <w:pStyle w:val="TableParagraph"/>
              <w:spacing w:before="5"/>
              <w:ind w:left="0"/>
              <w:rPr>
                <w:rFonts w:ascii="Arial Narrow"/>
                <w:sz w:val="17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2. New FDA “A”-Rated Generics</w:t>
            </w:r>
          </w:p>
          <w:p>
            <w:pPr>
              <w:pStyle w:val="TableParagraph"/>
              <w:spacing w:before="80"/>
              <w:ind w:left="122" w:right="102" w:hanging="19"/>
              <w:rPr>
                <w:sz w:val="20"/>
              </w:rPr>
            </w:pPr>
            <w:r>
              <w:rPr>
                <w:sz w:val="20"/>
              </w:rPr>
              <w:t>The following FDA “A”-rated generic drugs have been added to the MassHealth Drug List. The brand name is listed with a # symbol, to indicate that PA is required for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brand.</w:t>
            </w:r>
          </w:p>
          <w:p>
            <w:pPr>
              <w:pStyle w:val="TableParagraph"/>
              <w:spacing w:before="5"/>
              <w:ind w:left="0"/>
              <w:rPr>
                <w:rFonts w:ascii="Arial Narrow"/>
                <w:sz w:val="17"/>
              </w:rPr>
            </w:pPr>
          </w:p>
          <w:p>
            <w:pPr>
              <w:pStyle w:val="TableParagraph"/>
              <w:spacing w:line="207" w:lineRule="exact"/>
              <w:ind w:left="464"/>
              <w:rPr>
                <w:b/>
                <w:sz w:val="18"/>
              </w:rPr>
            </w:pPr>
            <w:r>
              <w:rPr>
                <w:b/>
                <w:sz w:val="18"/>
              </w:rPr>
              <w:t>New FDA “A”-Rated</w:t>
            </w:r>
          </w:p>
          <w:p>
            <w:pPr>
              <w:pStyle w:val="TableParagraph"/>
              <w:tabs>
                <w:tab w:pos="2954" w:val="left" w:leader="none"/>
              </w:tabs>
              <w:spacing w:line="207" w:lineRule="exact"/>
              <w:ind w:left="46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Generic</w:t>
            </w:r>
            <w:r>
              <w:rPr>
                <w:b/>
                <w:spacing w:val="-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Drug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>Generic</w:t>
            </w:r>
            <w:r>
              <w:rPr>
                <w:b/>
                <w:spacing w:val="-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Equivalent</w:t>
            </w:r>
          </w:p>
          <w:p>
            <w:pPr>
              <w:pStyle w:val="TableParagraph"/>
              <w:tabs>
                <w:tab w:pos="2983" w:val="left" w:leader="none"/>
              </w:tabs>
              <w:spacing w:before="41"/>
              <w:ind w:left="536"/>
              <w:rPr>
                <w:sz w:val="20"/>
              </w:rPr>
            </w:pPr>
            <w:r>
              <w:rPr>
                <w:sz w:val="20"/>
              </w:rPr>
              <w:t>pramipexole</w:t>
              <w:tab/>
              <w:t>Mirapex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Arial Narrow"/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</w:tabs>
              <w:spacing w:line="240" w:lineRule="auto" w:before="0" w:after="0"/>
              <w:ind w:left="463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Change in Prior-Authorization (PA)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Status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24" w:val="left" w:leader="none"/>
              </w:tabs>
              <w:spacing w:line="240" w:lineRule="auto" w:before="80" w:after="0"/>
              <w:ind w:left="823" w:right="467" w:hanging="360"/>
              <w:jc w:val="left"/>
              <w:rPr>
                <w:sz w:val="20"/>
              </w:rPr>
            </w:pPr>
            <w:r>
              <w:rPr>
                <w:sz w:val="20"/>
              </w:rPr>
              <w:t>The PA requirements for butalbital containing medications are changing. The following will require PA effective August 16,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2010.</w:t>
            </w:r>
          </w:p>
          <w:p>
            <w:pPr>
              <w:pStyle w:val="TableParagraph"/>
              <w:spacing w:before="121"/>
              <w:ind w:left="1201" w:right="157" w:hanging="180"/>
              <w:rPr>
                <w:b/>
                <w:sz w:val="19"/>
              </w:rPr>
            </w:pPr>
            <w:r>
              <w:rPr>
                <w:sz w:val="19"/>
              </w:rPr>
              <w:t>Anolor-300 (butalbital/acetaminophen/caffeine)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spacing w:before="2"/>
              <w:ind w:left="1201" w:right="591" w:hanging="180"/>
              <w:rPr>
                <w:b/>
                <w:sz w:val="19"/>
              </w:rPr>
            </w:pPr>
            <w:r>
              <w:rPr>
                <w:sz w:val="19"/>
              </w:rPr>
              <w:t>Ascomp/codeine (butalbital/aspirin/codeine/ caffeine)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spacing w:line="217" w:lineRule="exact"/>
              <w:ind w:left="1021"/>
              <w:rPr>
                <w:b/>
                <w:sz w:val="19"/>
              </w:rPr>
            </w:pPr>
            <w:r>
              <w:rPr>
                <w:sz w:val="19"/>
              </w:rPr>
              <w:t>butalbital/acetaminophen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1" w:right="522" w:hanging="180"/>
              <w:rPr>
                <w:b/>
                <w:sz w:val="19"/>
              </w:rPr>
            </w:pPr>
            <w:r>
              <w:rPr>
                <w:sz w:val="19"/>
              </w:rPr>
              <w:t>butalbital/acetaminophen/caffeine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021"/>
              <w:rPr>
                <w:b/>
                <w:sz w:val="19"/>
              </w:rPr>
            </w:pPr>
            <w:r>
              <w:rPr>
                <w:sz w:val="19"/>
              </w:rPr>
              <w:t>butalbital/acetaminophen/codeine/caffeine </w:t>
            </w:r>
            <w:r>
              <w:rPr>
                <w:b/>
                <w:sz w:val="19"/>
              </w:rPr>
              <w:t>– PA</w:t>
            </w:r>
          </w:p>
          <w:p>
            <w:pPr>
              <w:pStyle w:val="TableParagraph"/>
              <w:ind w:left="1200"/>
              <w:rPr>
                <w:b/>
                <w:sz w:val="19"/>
              </w:rPr>
            </w:pPr>
            <w:r>
              <w:rPr>
                <w:b/>
                <w:sz w:val="19"/>
              </w:rPr>
              <w:t>&gt; 60 units/month</w:t>
            </w:r>
          </w:p>
          <w:p>
            <w:pPr>
              <w:pStyle w:val="TableParagraph"/>
              <w:ind w:left="1021"/>
              <w:rPr>
                <w:b/>
                <w:sz w:val="19"/>
              </w:rPr>
            </w:pPr>
            <w:r>
              <w:rPr>
                <w:sz w:val="19"/>
              </w:rPr>
              <w:t>butalbital/aspirin/caffeine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0" w:right="544" w:hanging="180"/>
              <w:rPr>
                <w:b/>
                <w:sz w:val="19"/>
              </w:rPr>
            </w:pPr>
            <w:r>
              <w:rPr>
                <w:sz w:val="19"/>
              </w:rPr>
              <w:t>butalbital/aspirin/codeine/caffeine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0" w:right="465" w:hanging="180"/>
              <w:rPr>
                <w:b/>
                <w:sz w:val="19"/>
              </w:rPr>
            </w:pPr>
            <w:r>
              <w:rPr>
                <w:sz w:val="19"/>
              </w:rPr>
              <w:t>Esgic # (butalbital/acetaminophen/caffeine)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0" w:right="307" w:hanging="181"/>
              <w:rPr>
                <w:b/>
                <w:sz w:val="19"/>
              </w:rPr>
            </w:pPr>
            <w:r>
              <w:rPr>
                <w:sz w:val="19"/>
              </w:rPr>
              <w:t>Fioricet # (butalbital/acetaminophen/caffeine)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spacing w:before="2"/>
              <w:ind w:left="1200" w:right="242" w:hanging="180"/>
              <w:rPr>
                <w:b/>
                <w:sz w:val="19"/>
              </w:rPr>
            </w:pPr>
            <w:r>
              <w:rPr>
                <w:sz w:val="19"/>
              </w:rPr>
              <w:t>Fioricet/codeine # (butalbital/acetaminophen/codeine/caffeine)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0" w:right="301" w:hanging="180"/>
              <w:rPr>
                <w:b/>
                <w:sz w:val="19"/>
              </w:rPr>
            </w:pPr>
            <w:r>
              <w:rPr>
                <w:sz w:val="19"/>
              </w:rPr>
              <w:t>Fiorinal # (butalbital/aspirin/caffeine)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0" w:right="496" w:hanging="180"/>
              <w:rPr>
                <w:b/>
                <w:sz w:val="19"/>
              </w:rPr>
            </w:pPr>
            <w:r>
              <w:rPr>
                <w:sz w:val="19"/>
              </w:rPr>
              <w:t>Fiorinal/codeine # (butalbital/aspirin/codeine/ caffeine)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0" w:right="248" w:hanging="180"/>
              <w:rPr>
                <w:b/>
                <w:sz w:val="19"/>
              </w:rPr>
            </w:pPr>
            <w:r>
              <w:rPr>
                <w:sz w:val="19"/>
              </w:rPr>
              <w:t>Marten-tab # (butalbital/acetaminophen)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0" w:right="164" w:hanging="180"/>
              <w:rPr>
                <w:b/>
                <w:sz w:val="19"/>
              </w:rPr>
            </w:pPr>
            <w:r>
              <w:rPr>
                <w:sz w:val="19"/>
              </w:rPr>
              <w:t>Phrenilin # (butalbital/acetaminophen)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ind w:left="1200" w:right="369" w:hanging="180"/>
              <w:rPr>
                <w:b/>
                <w:sz w:val="19"/>
              </w:rPr>
            </w:pPr>
            <w:r>
              <w:rPr>
                <w:sz w:val="19"/>
              </w:rPr>
              <w:t>Repan # (butalbital/acetaminophen/caffeine) </w:t>
            </w:r>
            <w:r>
              <w:rPr>
                <w:b/>
                <w:sz w:val="19"/>
              </w:rPr>
              <w:t>– PA &gt; 60 units/month</w:t>
            </w:r>
          </w:p>
          <w:p>
            <w:pPr>
              <w:pStyle w:val="TableParagraph"/>
              <w:spacing w:line="218" w:lineRule="exact"/>
              <w:ind w:left="1024"/>
              <w:rPr>
                <w:b/>
                <w:sz w:val="19"/>
              </w:rPr>
            </w:pPr>
            <w:r>
              <w:rPr>
                <w:sz w:val="19"/>
              </w:rPr>
              <w:t>Zebutal # (butalbital/acetaminophen/caffeine) </w:t>
            </w:r>
            <w:r>
              <w:rPr>
                <w:b/>
                <w:sz w:val="19"/>
              </w:rPr>
              <w:t>–</w:t>
            </w:r>
          </w:p>
          <w:p>
            <w:pPr>
              <w:pStyle w:val="TableParagraph"/>
              <w:spacing w:line="218" w:lineRule="exact"/>
              <w:ind w:left="1211"/>
              <w:rPr>
                <w:b/>
                <w:sz w:val="19"/>
              </w:rPr>
            </w:pPr>
            <w:r>
              <w:rPr>
                <w:b/>
                <w:sz w:val="19"/>
              </w:rPr>
              <w:t>PA &gt; 60 units/month</w:t>
            </w:r>
          </w:p>
          <w:p>
            <w:pPr>
              <w:pStyle w:val="TableParagraph"/>
              <w:spacing w:before="2"/>
              <w:ind w:left="0"/>
              <w:rPr>
                <w:rFonts w:ascii="Arial Narrow"/>
                <w:sz w:val="17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39" w:val="left" w:leader="none"/>
              </w:tabs>
              <w:spacing w:line="240" w:lineRule="auto" w:before="1" w:after="0"/>
              <w:ind w:left="837" w:right="233" w:hanging="360"/>
              <w:jc w:val="left"/>
              <w:rPr>
                <w:sz w:val="20"/>
              </w:rPr>
            </w:pPr>
            <w:r>
              <w:rPr>
                <w:sz w:val="20"/>
              </w:rPr>
              <w:t>The following intravenous antibiotics will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 PA effective August 16,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2010.</w:t>
            </w:r>
          </w:p>
          <w:p>
            <w:pPr>
              <w:pStyle w:val="TableParagraph"/>
              <w:spacing w:before="80"/>
              <w:ind w:left="1021"/>
              <w:rPr>
                <w:b/>
                <w:sz w:val="20"/>
              </w:rPr>
            </w:pPr>
            <w:r>
              <w:rPr>
                <w:sz w:val="20"/>
              </w:rPr>
              <w:t>Cubicin (daptomycin)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30" w:lineRule="exact"/>
              <w:ind w:left="1021"/>
              <w:rPr>
                <w:b/>
                <w:sz w:val="20"/>
              </w:rPr>
            </w:pPr>
            <w:r>
              <w:rPr>
                <w:sz w:val="20"/>
              </w:rPr>
              <w:t>Synercid (dalfopristin/quinpristin)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30" w:lineRule="exact"/>
              <w:ind w:left="1021"/>
              <w:rPr>
                <w:b/>
                <w:sz w:val="20"/>
              </w:rPr>
            </w:pPr>
            <w:r>
              <w:rPr>
                <w:sz w:val="20"/>
              </w:rPr>
              <w:t>Tygacil (tigecycline)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1"/>
              <w:ind w:left="1024"/>
              <w:rPr>
                <w:b/>
                <w:sz w:val="20"/>
              </w:rPr>
            </w:pPr>
            <w:r>
              <w:rPr>
                <w:sz w:val="20"/>
              </w:rPr>
              <w:t>Zyvox (linezolid), injection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4"/>
              <w:ind w:left="0"/>
              <w:rPr>
                <w:rFonts w:ascii="Arial Narrow"/>
                <w:sz w:val="17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603" w:hanging="360"/>
              <w:jc w:val="left"/>
              <w:rPr>
                <w:sz w:val="20"/>
              </w:rPr>
            </w:pPr>
            <w:r>
              <w:rPr>
                <w:sz w:val="20"/>
              </w:rPr>
              <w:t>The following drugs will require PA effective August 16,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2010.</w:t>
            </w:r>
          </w:p>
          <w:p>
            <w:pPr>
              <w:pStyle w:val="TableParagraph"/>
              <w:spacing w:before="121"/>
              <w:ind w:left="1021" w:right="1499"/>
              <w:rPr>
                <w:b/>
                <w:sz w:val="20"/>
              </w:rPr>
            </w:pPr>
            <w:r>
              <w:rPr>
                <w:sz w:val="20"/>
              </w:rPr>
              <w:t>Lotemax (loteprednol) </w:t>
            </w:r>
            <w:r>
              <w:rPr>
                <w:b/>
                <w:sz w:val="20"/>
              </w:rPr>
              <w:t>– PA </w:t>
            </w:r>
            <w:r>
              <w:rPr>
                <w:sz w:val="20"/>
              </w:rPr>
              <w:t>Ontak (denileukin diftitox) </w:t>
            </w:r>
            <w:r>
              <w:rPr>
                <w:b/>
                <w:sz w:val="20"/>
              </w:rPr>
              <w:t>– PA </w:t>
            </w:r>
            <w:r>
              <w:rPr>
                <w:sz w:val="20"/>
              </w:rPr>
              <w:t>Zmax (azithromycin) </w:t>
            </w:r>
            <w:r>
              <w:rPr>
                <w:b/>
                <w:sz w:val="20"/>
              </w:rPr>
              <w:t>– PA</w:t>
            </w:r>
          </w:p>
        </w:tc>
        <w:tc>
          <w:tcPr>
            <w:tcW w:w="2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380" w:bottom="280" w:left="760" w:right="580"/>
        </w:sectPr>
      </w:pPr>
    </w:p>
    <w:p>
      <w:pPr>
        <w:tabs>
          <w:tab w:pos="9677" w:val="left" w:leader="none"/>
        </w:tabs>
        <w:spacing w:before="72"/>
        <w:ind w:left="111" w:right="0" w:firstLine="0"/>
        <w:jc w:val="left"/>
        <w:rPr>
          <w:rFonts w:ascii="Arial Black"/>
          <w:b/>
          <w:sz w:val="18"/>
        </w:rPr>
      </w:pPr>
      <w:r>
        <w:rPr/>
        <w:pict>
          <v:group style="position:absolute;margin-left:39.959999pt;margin-top:36pt;width:537.450pt;height:694.05pt;mso-position-horizontal-relative:page;mso-position-vertical-relative:page;z-index:-5320" coordorigin="799,720" coordsize="10749,13881">
            <v:shape style="position:absolute;left:799;top:729;width:10749;height:2" coordorigin="799,730" coordsize="10749,0" path="m799,730l6186,730m6186,730l11548,730e" filled="false" stroked="true" strokeweight=".96pt" strokecolor="#000000">
              <v:path arrowok="t"/>
              <v:stroke dashstyle="solid"/>
            </v:shape>
            <v:line style="position:absolute" from="6191,739" to="6191,14600" stroked="true" strokeweight=".48pt" strokecolor="#000000">
              <v:stroke dashstyle="solid"/>
            </v:line>
            <w10:wrap type="none"/>
          </v:group>
        </w:pict>
      </w:r>
      <w:r>
        <w:rPr>
          <w:rFonts w:ascii="Arial Black"/>
          <w:b/>
          <w:sz w:val="18"/>
        </w:rPr>
        <w:t>Pharmacy Facts,</w:t>
      </w:r>
      <w:r>
        <w:rPr>
          <w:rFonts w:ascii="Arial Black"/>
          <w:b/>
          <w:spacing w:val="-5"/>
          <w:sz w:val="18"/>
        </w:rPr>
        <w:t> </w:t>
      </w:r>
      <w:r>
        <w:rPr>
          <w:rFonts w:ascii="Arial Black"/>
          <w:b/>
          <w:sz w:val="18"/>
        </w:rPr>
        <w:t>Number</w:t>
      </w:r>
      <w:r>
        <w:rPr>
          <w:rFonts w:ascii="Arial Black"/>
          <w:b/>
          <w:spacing w:val="-3"/>
          <w:sz w:val="18"/>
        </w:rPr>
        <w:t> </w:t>
      </w:r>
      <w:r>
        <w:rPr>
          <w:rFonts w:ascii="Arial Black"/>
          <w:b/>
          <w:sz w:val="18"/>
        </w:rPr>
        <w:t>60</w:t>
        <w:tab/>
        <w:t>Page 2 of</w:t>
      </w:r>
      <w:r>
        <w:rPr>
          <w:rFonts w:ascii="Arial Black"/>
          <w:b/>
          <w:spacing w:val="-5"/>
          <w:sz w:val="18"/>
        </w:rPr>
        <w:t> </w:t>
      </w:r>
      <w:r>
        <w:rPr>
          <w:rFonts w:ascii="Arial Black"/>
          <w:b/>
          <w:sz w:val="18"/>
        </w:rPr>
        <w:t>2</w:t>
      </w:r>
    </w:p>
    <w:p>
      <w:pPr>
        <w:pStyle w:val="BodyText"/>
        <w:spacing w:before="3"/>
        <w:rPr>
          <w:rFonts w:ascii="Arial Black"/>
          <w:b/>
          <w:sz w:val="11"/>
        </w:rPr>
      </w:pPr>
    </w:p>
    <w:p>
      <w:pPr>
        <w:pStyle w:val="ListParagraph"/>
        <w:numPr>
          <w:ilvl w:val="0"/>
          <w:numId w:val="5"/>
        </w:numPr>
        <w:tabs>
          <w:tab w:pos="883" w:val="left" w:leader="none"/>
        </w:tabs>
        <w:spacing w:line="240" w:lineRule="auto" w:before="94" w:after="0"/>
        <w:ind w:left="881" w:right="5602" w:hanging="360"/>
        <w:jc w:val="left"/>
        <w:rPr>
          <w:sz w:val="20"/>
        </w:rPr>
      </w:pPr>
      <w:r>
        <w:rPr>
          <w:sz w:val="20"/>
        </w:rPr>
        <w:t>The following agent previously required prior authorization (PA). Effective August 16, 2010, this agent will be available only through a provider who administers the</w:t>
      </w:r>
      <w:r>
        <w:rPr>
          <w:spacing w:val="-5"/>
          <w:sz w:val="20"/>
        </w:rPr>
        <w:t> </w:t>
      </w:r>
      <w:r>
        <w:rPr>
          <w:sz w:val="20"/>
        </w:rPr>
        <w:t>drug.</w:t>
      </w:r>
    </w:p>
    <w:p>
      <w:pPr>
        <w:pStyle w:val="BodyText"/>
        <w:spacing w:before="119"/>
        <w:ind w:left="1047"/>
      </w:pPr>
      <w:r>
        <w:rPr/>
        <w:t>Cinryze (C1 inhibitor, human) ^</w:t>
      </w:r>
    </w:p>
    <w:p>
      <w:pPr>
        <w:spacing w:line="288" w:lineRule="auto" w:before="120"/>
        <w:ind w:left="1241" w:right="5938" w:hanging="188"/>
        <w:jc w:val="left"/>
        <w:rPr>
          <w:sz w:val="16"/>
        </w:rPr>
      </w:pPr>
      <w:r>
        <w:rPr>
          <w:sz w:val="16"/>
        </w:rPr>
        <w:t>^ This drug is available through the health-care professional who administers the drug. Masshealth does not pay for this drug to be dispensed through a retail pharmacy.</w:t>
      </w:r>
    </w:p>
    <w:p>
      <w:pPr>
        <w:pStyle w:val="ListParagraph"/>
        <w:numPr>
          <w:ilvl w:val="0"/>
          <w:numId w:val="5"/>
        </w:numPr>
        <w:tabs>
          <w:tab w:pos="882" w:val="left" w:leader="none"/>
        </w:tabs>
        <w:spacing w:line="240" w:lineRule="auto" w:before="121" w:after="0"/>
        <w:ind w:left="881" w:right="5658" w:hanging="360"/>
        <w:jc w:val="both"/>
        <w:rPr>
          <w:sz w:val="20"/>
        </w:rPr>
      </w:pPr>
      <w:r>
        <w:rPr>
          <w:sz w:val="20"/>
        </w:rPr>
        <w:t>The following agent previously required PA for all quantities. Effective August 4, 2010, the following quantity limits will be</w:t>
      </w:r>
      <w:r>
        <w:rPr>
          <w:spacing w:val="-7"/>
          <w:sz w:val="20"/>
        </w:rPr>
        <w:t> </w:t>
      </w:r>
      <w:r>
        <w:rPr>
          <w:sz w:val="20"/>
        </w:rPr>
        <w:t>effective.</w:t>
      </w:r>
    </w:p>
    <w:p>
      <w:pPr>
        <w:spacing w:before="0"/>
        <w:ind w:left="1227" w:right="5969" w:hanging="180"/>
        <w:jc w:val="left"/>
        <w:rPr>
          <w:b/>
          <w:sz w:val="20"/>
        </w:rPr>
      </w:pPr>
      <w:r>
        <w:rPr>
          <w:sz w:val="20"/>
        </w:rPr>
        <w:t>Voltaren Gel (diclofenac) </w:t>
      </w:r>
      <w:r>
        <w:rPr>
          <w:b/>
          <w:sz w:val="20"/>
        </w:rPr>
        <w:t>– PA&gt;100 grams/ month</w:t>
      </w:r>
    </w:p>
    <w:p>
      <w:pPr>
        <w:pStyle w:val="ListParagraph"/>
        <w:numPr>
          <w:ilvl w:val="0"/>
          <w:numId w:val="5"/>
        </w:numPr>
        <w:tabs>
          <w:tab w:pos="866" w:val="left" w:leader="none"/>
          <w:tab w:pos="867" w:val="left" w:leader="none"/>
        </w:tabs>
        <w:spacing w:line="240" w:lineRule="auto" w:before="119" w:after="0"/>
        <w:ind w:left="866" w:right="5692" w:hanging="360"/>
        <w:jc w:val="left"/>
        <w:rPr>
          <w:color w:val="000080"/>
          <w:sz w:val="20"/>
        </w:rPr>
      </w:pPr>
      <w:r>
        <w:rPr>
          <w:sz w:val="20"/>
        </w:rPr>
        <w:t>The following agent previously required PA for quantities greater than one tube/month and three tubes/lifetime. Effective August 16, 2010, this agent will require PA for all</w:t>
      </w:r>
      <w:r>
        <w:rPr>
          <w:spacing w:val="-13"/>
          <w:sz w:val="20"/>
        </w:rPr>
        <w:t> </w:t>
      </w:r>
      <w:r>
        <w:rPr>
          <w:sz w:val="20"/>
        </w:rPr>
        <w:t>quantities.</w:t>
      </w:r>
    </w:p>
    <w:p>
      <w:pPr>
        <w:pStyle w:val="BodyText"/>
        <w:spacing w:before="121"/>
        <w:ind w:left="1046"/>
        <w:rPr>
          <w:b/>
        </w:rPr>
      </w:pPr>
      <w:r>
        <w:rPr/>
        <w:t>Regranex (becaplermin) </w:t>
      </w:r>
      <w:r>
        <w:rPr>
          <w:b/>
        </w:rPr>
        <w:t>– PA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67" w:val="left" w:leader="none"/>
        </w:tabs>
        <w:spacing w:line="240" w:lineRule="auto" w:before="0" w:after="0"/>
        <w:ind w:left="881" w:right="5813" w:hanging="360"/>
        <w:jc w:val="left"/>
        <w:rPr>
          <w:color w:val="000080"/>
          <w:sz w:val="20"/>
        </w:rPr>
      </w:pPr>
      <w:r>
        <w:rPr>
          <w:sz w:val="20"/>
        </w:rPr>
        <w:t>The following agent previously required prior authorization for quantities greater than 64 units/month. The following quantity limits will be effective August 16,</w:t>
      </w:r>
      <w:r>
        <w:rPr>
          <w:spacing w:val="-5"/>
          <w:sz w:val="20"/>
        </w:rPr>
        <w:t> </w:t>
      </w:r>
      <w:r>
        <w:rPr>
          <w:sz w:val="20"/>
        </w:rPr>
        <w:t>2010.</w:t>
      </w:r>
    </w:p>
    <w:p>
      <w:pPr>
        <w:spacing w:before="80"/>
        <w:ind w:left="1226" w:right="5737" w:hanging="180"/>
        <w:jc w:val="left"/>
        <w:rPr>
          <w:b/>
          <w:sz w:val="20"/>
        </w:rPr>
      </w:pPr>
      <w:r>
        <w:rPr>
          <w:sz w:val="20"/>
        </w:rPr>
        <w:t>Restasis (cyclosporine, ophthalmic) – </w:t>
      </w:r>
      <w:r>
        <w:rPr>
          <w:b/>
          <w:sz w:val="20"/>
        </w:rPr>
        <w:t>PA &gt; 60 units/month</w:t>
      </w:r>
    </w:p>
    <w:p>
      <w:pPr>
        <w:pStyle w:val="ListParagraph"/>
        <w:numPr>
          <w:ilvl w:val="0"/>
          <w:numId w:val="5"/>
        </w:numPr>
        <w:tabs>
          <w:tab w:pos="867" w:val="left" w:leader="none"/>
        </w:tabs>
        <w:spacing w:line="240" w:lineRule="auto" w:before="80" w:after="0"/>
        <w:ind w:left="866" w:right="5939" w:hanging="360"/>
        <w:jc w:val="left"/>
        <w:rPr>
          <w:color w:val="000080"/>
          <w:sz w:val="20"/>
        </w:rPr>
      </w:pPr>
      <w:r>
        <w:rPr>
          <w:sz w:val="20"/>
        </w:rPr>
        <w:t>The following drugs will no longer require prior authorization:</w:t>
      </w:r>
    </w:p>
    <w:p>
      <w:pPr>
        <w:pStyle w:val="BodyText"/>
        <w:spacing w:before="80"/>
        <w:ind w:left="1064"/>
      </w:pPr>
      <w:r>
        <w:rPr/>
        <w:t>Lialda (mesalamine)</w:t>
      </w:r>
    </w:p>
    <w:p>
      <w:pPr>
        <w:pStyle w:val="BodyText"/>
        <w:spacing w:before="1"/>
        <w:ind w:left="1064"/>
      </w:pPr>
      <w:r>
        <w:rPr/>
        <w:t>Percocet # (oxycodone/acetaminophen)</w:t>
      </w:r>
    </w:p>
    <w:p>
      <w:pPr>
        <w:pStyle w:val="BodyText"/>
        <w:ind w:left="1068"/>
      </w:pPr>
      <w:r>
        <w:rPr/>
        <w:t>Topiramate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867" w:val="left" w:leader="none"/>
          <w:tab w:pos="868" w:val="left" w:leader="none"/>
        </w:tabs>
        <w:spacing w:line="240" w:lineRule="auto" w:before="0" w:after="0"/>
        <w:ind w:left="881" w:right="5660" w:hanging="360"/>
        <w:jc w:val="left"/>
        <w:rPr>
          <w:sz w:val="20"/>
        </w:rPr>
      </w:pPr>
      <w:r>
        <w:rPr>
          <w:sz w:val="20"/>
        </w:rPr>
        <w:t>The following quantity limits for cerebral stimulant solutions are effective August 4,</w:t>
      </w:r>
      <w:r>
        <w:rPr>
          <w:spacing w:val="-6"/>
          <w:sz w:val="20"/>
        </w:rPr>
        <w:t> </w:t>
      </w:r>
      <w:r>
        <w:rPr>
          <w:sz w:val="20"/>
        </w:rPr>
        <w:t>2010.</w:t>
      </w:r>
    </w:p>
    <w:p>
      <w:pPr>
        <w:spacing w:before="81"/>
        <w:ind w:left="1298" w:right="6288" w:hanging="253"/>
        <w:jc w:val="left"/>
        <w:rPr>
          <w:b/>
          <w:sz w:val="20"/>
        </w:rPr>
      </w:pPr>
      <w:r>
        <w:rPr>
          <w:sz w:val="20"/>
        </w:rPr>
        <w:t>Methylin 5mg/5ml (methylphenidate oral solution) </w:t>
      </w:r>
      <w:r>
        <w:rPr>
          <w:b/>
          <w:sz w:val="20"/>
        </w:rPr>
        <w:t>– PA &gt; 1800 ml/month</w:t>
      </w:r>
    </w:p>
    <w:p>
      <w:pPr>
        <w:spacing w:before="0"/>
        <w:ind w:left="1298" w:right="6177" w:hanging="253"/>
        <w:jc w:val="left"/>
        <w:rPr>
          <w:b/>
          <w:sz w:val="20"/>
        </w:rPr>
      </w:pPr>
      <w:r>
        <w:rPr>
          <w:sz w:val="20"/>
        </w:rPr>
        <w:t>Methylin 10mg/5ml (methylphenidate oral solution) </w:t>
      </w:r>
      <w:r>
        <w:rPr>
          <w:b/>
          <w:sz w:val="20"/>
        </w:rPr>
        <w:t>– PA &gt; 900 ml/month</w:t>
      </w:r>
    </w:p>
    <w:p>
      <w:pPr>
        <w:spacing w:before="0"/>
        <w:ind w:left="1298" w:right="5710" w:hanging="253"/>
        <w:jc w:val="left"/>
        <w:rPr>
          <w:b/>
          <w:sz w:val="20"/>
        </w:rPr>
      </w:pPr>
      <w:r>
        <w:rPr>
          <w:sz w:val="20"/>
        </w:rPr>
        <w:t>Procentra (dextroamphetamine oral solution) </w:t>
      </w:r>
      <w:r>
        <w:rPr>
          <w:b/>
          <w:sz w:val="20"/>
        </w:rPr>
        <w:t>– PA &gt; 900 ml/month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line="241" w:lineRule="exact" w:before="0"/>
        <w:ind w:left="1724" w:right="1257" w:firstLine="0"/>
        <w:jc w:val="center"/>
        <w:rPr>
          <w:sz w:val="21"/>
        </w:rPr>
      </w:pPr>
      <w:r>
        <w:rPr/>
        <w:pict>
          <v:shape style="position:absolute;margin-left:36.360001pt;margin-top:-7.221025pt;width:549pt;height:1.4pt;mso-position-horizontal-relative:page;mso-position-vertical-relative:paragraph;z-index:1120" coordorigin="727,-144" coordsize="10980,28" path="m727,-144l11707,-144m727,-117l11707,-117e" filled="false" stroked="true" strokeweight=".66pt" strokecolor="#000000">
            <v:path arrowok="t"/>
            <v:stroke dashstyle="solid"/>
            <w10:wrap type="none"/>
          </v:shape>
        </w:pict>
      </w:r>
      <w:r>
        <w:rPr>
          <w:sz w:val="21"/>
        </w:rPr>
        <w:t>Please direct any questions or comments (or to be taken off of this fax distribution) to</w:t>
      </w:r>
    </w:p>
    <w:p>
      <w:pPr>
        <w:spacing w:line="296" w:lineRule="exact" w:before="0"/>
        <w:ind w:left="1722" w:right="1257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pgSz w:w="12240" w:h="15840"/>
      <w:pgMar w:top="360" w:bottom="280" w:left="7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lowerLetter"/>
      <w:lvlText w:val="%1."/>
      <w:lvlJc w:val="left"/>
      <w:pPr>
        <w:ind w:left="881" w:hanging="361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88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9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6" w:hanging="361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463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1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31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0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0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02" w:hanging="36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423" w:hanging="167"/>
      </w:pPr>
      <w:rPr>
        <w:rFonts w:hint="default" w:ascii="Arial" w:hAnsi="Arial" w:eastAsia="Arial" w:cs="Arial"/>
        <w:b/>
        <w:bCs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786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3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9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6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2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19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85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2" w:hanging="16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4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838" w:hanging="361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31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9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7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41" w:hanging="36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24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587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4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1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88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56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3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0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7" w:hanging="15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881" w:right="5602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076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2017-11-24T18:36:53Z</dcterms:created>
  <dcterms:modified xsi:type="dcterms:W3CDTF">2017-11-24T18:36:53Z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2010-07-30T00:00:00Z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2017-11-24T00:00:00Z</vt:filetime>
  </property>
</Properties>
</file>