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line style="position:absolute;mso-position-horizontal-relative:page;mso-position-vertical-relative:page;z-index:-5200" from="36.360001pt,777.330017pt" to="558.360001pt,777.330017pt" stroked="true" strokeweight="1.02pt" strokecolor="#000000">
            <v:stroke dashstyle="solid"/>
            <w10:wrap type="none"/>
          </v:line>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rPr>
      </w:pPr>
    </w:p>
    <w:p>
      <w:pPr>
        <w:spacing w:before="0" w:after="2"/>
        <w:ind w:left="1040" w:right="1417" w:firstLine="0"/>
        <w:jc w:val="center"/>
        <w:rPr>
          <w:rFonts w:ascii="Arial Narrow"/>
          <w:sz w:val="18"/>
        </w:rPr>
      </w:pPr>
      <w:r>
        <w:rPr/>
        <w:pict>
          <v:group style="position:absolute;margin-left:41.05793pt;margin-top:-104.701202pt;width:541.9pt;height:107.25pt;mso-position-horizontal-relative:page;mso-position-vertical-relative:paragraph;z-index:-5224" coordorigin="821,-2094" coordsize="10838,2145">
            <v:shape style="position:absolute;left:821;top:-2095;width:10838;height:2145" type="#_x0000_t75" stroked="false">
              <v:imagedata r:id="rId5" o:title=""/>
            </v:shape>
            <v:shapetype id="_x0000_t202" o:spt="202" coordsize="21600,21600" path="m,l,21600r21600,l21600,xe">
              <v:stroke joinstyle="miter"/>
              <v:path gradientshapeok="t" o:connecttype="rect"/>
            </v:shapetype>
            <v:shape style="position:absolute;left:1584;top:-1160;width:1333;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62</w:t>
                    </w:r>
                  </w:p>
                  <w:p>
                    <w:pPr>
                      <w:spacing w:before="44"/>
                      <w:ind w:left="0" w:right="0" w:firstLine="0"/>
                      <w:jc w:val="left"/>
                      <w:rPr>
                        <w:rFonts w:ascii="Arial Narrow"/>
                        <w:b/>
                        <w:sz w:val="20"/>
                      </w:rPr>
                    </w:pPr>
                    <w:r>
                      <w:rPr>
                        <w:rFonts w:ascii="Arial Narrow"/>
                        <w:b/>
                        <w:sz w:val="20"/>
                      </w:rPr>
                      <w:t>October 29, 2010</w:t>
                    </w:r>
                  </w:p>
                </w:txbxContent>
              </v:textbox>
              <w10:wrap type="none"/>
            </v:shape>
            <v:shape style="position:absolute;left:10160;top:-442;width:1120;height:254" type="#_x0000_t202" filled="false" stroked="false">
              <v:textbox inset="0,0,0,0">
                <w:txbxContent>
                  <w:p>
                    <w:pPr>
                      <w:spacing w:before="0"/>
                      <w:ind w:left="0" w:right="0" w:firstLine="0"/>
                      <w:jc w:val="left"/>
                      <w:rPr>
                        <w:rFonts w:ascii="Arial Black"/>
                        <w:b/>
                        <w:sz w:val="18"/>
                      </w:rPr>
                    </w:pPr>
                    <w:r>
                      <w:rPr>
                        <w:rFonts w:ascii="Arial Black"/>
                        <w:b/>
                        <w:sz w:val="18"/>
                      </w:rPr>
                      <w:t>Page 1 of 2</w:t>
                    </w:r>
                  </w:p>
                </w:txbxContent>
              </v:textbox>
              <w10:wrap type="none"/>
            </v:shape>
            <w10:wrap type="none"/>
          </v:group>
        </w:pict>
      </w:r>
      <w:hyperlink r:id="rId6">
        <w:r>
          <w:rPr>
            <w:rFonts w:ascii="Arial Narrow"/>
            <w:sz w:val="18"/>
          </w:rPr>
          <w:t>www.mass.gov/masshealth/pharmacy</w:t>
        </w:r>
      </w:hyperlink>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7"/>
        <w:gridCol w:w="5310"/>
        <w:gridCol w:w="5303"/>
      </w:tblGrid>
      <w:tr>
        <w:trPr>
          <w:trHeight w:val="303" w:hRule="atLeast"/>
        </w:trPr>
        <w:tc>
          <w:tcPr>
            <w:tcW w:w="137" w:type="dxa"/>
          </w:tcPr>
          <w:p>
            <w:pPr>
              <w:pStyle w:val="TableParagraph"/>
              <w:rPr>
                <w:rFonts w:ascii="Times New Roman"/>
                <w:sz w:val="18"/>
              </w:rPr>
            </w:pPr>
          </w:p>
        </w:tc>
        <w:tc>
          <w:tcPr>
            <w:tcW w:w="10613" w:type="dxa"/>
            <w:gridSpan w:val="2"/>
            <w:tcBorders>
              <w:top w:val="single" w:sz="8" w:space="0" w:color="000000"/>
              <w:bottom w:val="single" w:sz="8" w:space="0" w:color="000000"/>
            </w:tcBorders>
          </w:tcPr>
          <w:p>
            <w:pPr>
              <w:pStyle w:val="TableParagraph"/>
              <w:numPr>
                <w:ilvl w:val="0"/>
                <w:numId w:val="1"/>
              </w:numPr>
              <w:tabs>
                <w:tab w:pos="1836" w:val="left" w:leader="none"/>
              </w:tabs>
              <w:spacing w:line="240" w:lineRule="auto" w:before="0" w:after="0"/>
              <w:ind w:left="1835" w:right="0" w:hanging="150"/>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Nancy Schiff</w:t>
            </w:r>
            <w:r>
              <w:rPr>
                <w:rFonts w:ascii="Arial Narrow" w:hAnsi="Arial Narrow"/>
                <w:spacing w:val="15"/>
                <w:sz w:val="18"/>
              </w:rPr>
              <w:t> </w:t>
            </w:r>
            <w:r>
              <w:rPr>
                <w:rFonts w:ascii="Arial Black" w:hAnsi="Arial Black"/>
                <w:b/>
                <w:sz w:val="18"/>
              </w:rPr>
              <w:t>•</w:t>
            </w:r>
          </w:p>
        </w:tc>
      </w:tr>
      <w:tr>
        <w:trPr>
          <w:trHeight w:val="12533" w:hRule="atLeast"/>
        </w:trPr>
        <w:tc>
          <w:tcPr>
            <w:tcW w:w="137" w:type="dxa"/>
            <w:tcBorders>
              <w:bottom w:val="single" w:sz="8" w:space="0" w:color="000000"/>
            </w:tcBorders>
          </w:tcPr>
          <w:p>
            <w:pPr>
              <w:pStyle w:val="TableParagraph"/>
              <w:rPr>
                <w:rFonts w:ascii="Times New Roman"/>
                <w:sz w:val="18"/>
              </w:rPr>
            </w:pPr>
          </w:p>
        </w:tc>
        <w:tc>
          <w:tcPr>
            <w:tcW w:w="5310" w:type="dxa"/>
            <w:tcBorders>
              <w:top w:val="single" w:sz="8" w:space="0" w:color="000000"/>
              <w:bottom w:val="single" w:sz="8" w:space="0" w:color="000000"/>
              <w:right w:val="single" w:sz="4" w:space="0" w:color="000000"/>
            </w:tcBorders>
          </w:tcPr>
          <w:p>
            <w:pPr>
              <w:pStyle w:val="TableParagraph"/>
              <w:spacing w:before="199"/>
              <w:ind w:left="107"/>
              <w:rPr>
                <w:rFonts w:ascii="Arial Black"/>
                <w:b/>
                <w:sz w:val="22"/>
              </w:rPr>
            </w:pPr>
            <w:r>
              <w:rPr>
                <w:rFonts w:ascii="Arial Black"/>
                <w:b/>
                <w:sz w:val="22"/>
              </w:rPr>
              <w:t>MHDL Update</w:t>
            </w:r>
          </w:p>
          <w:p>
            <w:pPr>
              <w:pStyle w:val="TableParagraph"/>
              <w:spacing w:before="141"/>
              <w:ind w:left="107" w:right="358"/>
              <w:jc w:val="both"/>
              <w:rPr>
                <w:sz w:val="20"/>
              </w:rPr>
            </w:pPr>
            <w:r>
              <w:rPr>
                <w:sz w:val="20"/>
              </w:rPr>
              <w:t>Below are certain updates to the MassHealth Drug List (MHDL). See the MHDL (</w:t>
            </w:r>
            <w:hyperlink r:id="rId7">
              <w:r>
                <w:rPr>
                  <w:color w:val="0000FF"/>
                  <w:sz w:val="20"/>
                  <w:u w:val="single" w:color="0000FF"/>
                </w:rPr>
                <w:t>www.mass.gov/druglist</w:t>
              </w:r>
            </w:hyperlink>
            <w:r>
              <w:rPr>
                <w:sz w:val="20"/>
              </w:rPr>
              <w:t>) for a complete listing of updates.</w:t>
            </w:r>
          </w:p>
          <w:p>
            <w:pPr>
              <w:pStyle w:val="TableParagraph"/>
              <w:spacing w:before="7"/>
              <w:rPr>
                <w:rFonts w:ascii="Arial Narrow"/>
                <w:sz w:val="17"/>
              </w:rPr>
            </w:pPr>
          </w:p>
          <w:p>
            <w:pPr>
              <w:pStyle w:val="TableParagraph"/>
              <w:numPr>
                <w:ilvl w:val="0"/>
                <w:numId w:val="2"/>
              </w:numPr>
              <w:tabs>
                <w:tab w:pos="386" w:val="left" w:leader="none"/>
              </w:tabs>
              <w:spacing w:line="240" w:lineRule="auto" w:before="0" w:after="0"/>
              <w:ind w:left="385" w:right="0" w:hanging="278"/>
              <w:jc w:val="left"/>
              <w:rPr>
                <w:b/>
                <w:sz w:val="20"/>
              </w:rPr>
            </w:pPr>
            <w:r>
              <w:rPr>
                <w:b/>
                <w:sz w:val="20"/>
              </w:rPr>
              <w:t>Additions</w:t>
            </w:r>
          </w:p>
          <w:p>
            <w:pPr>
              <w:pStyle w:val="TableParagraph"/>
              <w:spacing w:before="78"/>
              <w:ind w:left="395" w:right="98"/>
              <w:rPr>
                <w:sz w:val="20"/>
              </w:rPr>
            </w:pPr>
            <w:r>
              <w:rPr>
                <w:sz w:val="20"/>
              </w:rPr>
              <w:t>The following newly marketed drugs have been added to the MassHealth Drug List.</w:t>
            </w:r>
          </w:p>
          <w:p>
            <w:pPr>
              <w:pStyle w:val="TableParagraph"/>
              <w:spacing w:before="81"/>
              <w:ind w:left="575"/>
              <w:rPr>
                <w:b/>
                <w:sz w:val="20"/>
              </w:rPr>
            </w:pPr>
            <w:r>
              <w:rPr>
                <w:sz w:val="20"/>
              </w:rPr>
              <w:t>Afinitor 2.5 mg (everolimus) </w:t>
            </w:r>
            <w:r>
              <w:rPr>
                <w:b/>
                <w:sz w:val="20"/>
              </w:rPr>
              <w:t>– PA &gt; 30 units/month</w:t>
            </w:r>
          </w:p>
          <w:p>
            <w:pPr>
              <w:pStyle w:val="TableParagraph"/>
              <w:spacing w:line="280" w:lineRule="auto" w:before="39"/>
              <w:ind w:left="575" w:right="1942" w:hanging="1"/>
              <w:rPr>
                <w:sz w:val="20"/>
              </w:rPr>
            </w:pPr>
            <w:r>
              <w:rPr>
                <w:sz w:val="20"/>
              </w:rPr>
              <w:t>Afluria (influenza virus vaccine) Agriflu (influenza virus vaccine)</w:t>
            </w:r>
          </w:p>
          <w:p>
            <w:pPr>
              <w:pStyle w:val="TableParagraph"/>
              <w:spacing w:before="2"/>
              <w:ind w:left="575"/>
              <w:rPr>
                <w:b/>
                <w:sz w:val="20"/>
              </w:rPr>
            </w:pPr>
            <w:r>
              <w:rPr>
                <w:sz w:val="20"/>
              </w:rPr>
              <w:t>Cambia (diclofenac powder for solution) </w:t>
            </w:r>
            <w:r>
              <w:rPr>
                <w:b/>
                <w:sz w:val="20"/>
              </w:rPr>
              <w:t>– PA</w:t>
            </w:r>
          </w:p>
          <w:p>
            <w:pPr>
              <w:pStyle w:val="TableParagraph"/>
              <w:spacing w:line="280" w:lineRule="auto" w:before="40"/>
              <w:ind w:left="576" w:right="2307"/>
              <w:rPr>
                <w:b/>
                <w:sz w:val="20"/>
              </w:rPr>
            </w:pPr>
            <w:r>
              <w:rPr>
                <w:sz w:val="20"/>
              </w:rPr>
              <w:t>Cayston (aztreonam) Chenodal (chenodiol) </w:t>
            </w:r>
            <w:r>
              <w:rPr>
                <w:b/>
                <w:sz w:val="20"/>
              </w:rPr>
              <w:t>– PA</w:t>
            </w:r>
          </w:p>
          <w:p>
            <w:pPr>
              <w:pStyle w:val="TableParagraph"/>
              <w:spacing w:line="280" w:lineRule="auto" w:before="2"/>
              <w:ind w:left="576" w:right="986" w:hanging="1"/>
              <w:rPr>
                <w:b/>
                <w:sz w:val="20"/>
              </w:rPr>
            </w:pPr>
            <w:r>
              <w:rPr>
                <w:sz w:val="20"/>
              </w:rPr>
              <w:t>Clobeta Plus Kit (clobetasol/coal tar) </w:t>
            </w:r>
            <w:r>
              <w:rPr>
                <w:b/>
                <w:sz w:val="20"/>
              </w:rPr>
              <w:t>– PA </w:t>
            </w:r>
            <w:r>
              <w:rPr>
                <w:sz w:val="20"/>
              </w:rPr>
              <w:t>Dulera (mometasone/formoterol) </w:t>
            </w:r>
            <w:r>
              <w:rPr>
                <w:b/>
                <w:sz w:val="20"/>
              </w:rPr>
              <w:t>– PA </w:t>
            </w:r>
            <w:r>
              <w:rPr>
                <w:sz w:val="20"/>
              </w:rPr>
              <w:t>Istodax (romidepsin) </w:t>
            </w:r>
            <w:r>
              <w:rPr>
                <w:b/>
                <w:sz w:val="20"/>
              </w:rPr>
              <w:t>– PA</w:t>
            </w:r>
          </w:p>
          <w:p>
            <w:pPr>
              <w:pStyle w:val="TableParagraph"/>
              <w:spacing w:before="1"/>
              <w:ind w:left="576"/>
              <w:rPr>
                <w:b/>
                <w:sz w:val="20"/>
              </w:rPr>
            </w:pPr>
            <w:r>
              <w:rPr>
                <w:sz w:val="20"/>
              </w:rPr>
              <w:t>Jalyn (dutasteride/tamsulosin) </w:t>
            </w:r>
            <w:r>
              <w:rPr>
                <w:b/>
                <w:sz w:val="20"/>
              </w:rPr>
              <w:t>– PA</w:t>
            </w:r>
          </w:p>
          <w:p>
            <w:pPr>
              <w:pStyle w:val="TableParagraph"/>
              <w:spacing w:line="280" w:lineRule="auto" w:before="40"/>
              <w:ind w:left="576" w:right="2419"/>
              <w:rPr>
                <w:sz w:val="20"/>
              </w:rPr>
            </w:pPr>
            <w:r>
              <w:rPr>
                <w:sz w:val="20"/>
              </w:rPr>
              <w:t>Jevtana (cabazitaxel) Livalo (pitavastatin) </w:t>
            </w:r>
            <w:r>
              <w:rPr>
                <w:b/>
                <w:sz w:val="20"/>
              </w:rPr>
              <w:t>– PA </w:t>
            </w:r>
            <w:r>
              <w:rPr>
                <w:sz w:val="20"/>
              </w:rPr>
              <w:t>Lysteda (tranexamic acid)</w:t>
            </w:r>
          </w:p>
          <w:p>
            <w:pPr>
              <w:pStyle w:val="TableParagraph"/>
              <w:spacing w:line="280" w:lineRule="auto" w:before="3"/>
              <w:ind w:left="576" w:right="1362"/>
              <w:rPr>
                <w:b/>
                <w:sz w:val="20"/>
              </w:rPr>
            </w:pPr>
            <w:r>
              <w:rPr>
                <w:sz w:val="20"/>
              </w:rPr>
              <w:t>Oleptro (trazodone ER) </w:t>
            </w:r>
            <w:r>
              <w:rPr>
                <w:b/>
                <w:sz w:val="20"/>
              </w:rPr>
              <w:t>– PA </w:t>
            </w:r>
            <w:r>
              <w:rPr>
                <w:sz w:val="20"/>
              </w:rPr>
              <w:t>omeprazole/sodium bicarbonate </w:t>
            </w:r>
            <w:r>
              <w:rPr>
                <w:b/>
                <w:sz w:val="20"/>
              </w:rPr>
              <w:t>– PA </w:t>
            </w:r>
            <w:r>
              <w:rPr>
                <w:sz w:val="20"/>
              </w:rPr>
              <w:t>Oravig (miconazole) </w:t>
            </w:r>
            <w:r>
              <w:rPr>
                <w:b/>
                <w:sz w:val="20"/>
              </w:rPr>
              <w:t>– PA</w:t>
            </w:r>
          </w:p>
          <w:p>
            <w:pPr>
              <w:pStyle w:val="TableParagraph"/>
              <w:spacing w:before="2"/>
              <w:ind w:left="577"/>
              <w:rPr>
                <w:b/>
                <w:sz w:val="20"/>
              </w:rPr>
            </w:pPr>
            <w:r>
              <w:rPr>
                <w:sz w:val="20"/>
              </w:rPr>
              <w:t>Prolia (denosumab) </w:t>
            </w:r>
            <w:r>
              <w:rPr>
                <w:b/>
                <w:sz w:val="20"/>
              </w:rPr>
              <w:t>– PA</w:t>
            </w:r>
          </w:p>
          <w:p>
            <w:pPr>
              <w:pStyle w:val="TableParagraph"/>
              <w:spacing w:before="40"/>
              <w:ind w:left="756" w:right="93" w:hanging="180"/>
              <w:rPr>
                <w:b/>
                <w:sz w:val="20"/>
              </w:rPr>
            </w:pPr>
            <w:r>
              <w:rPr>
                <w:sz w:val="20"/>
              </w:rPr>
              <w:t>Tribenzor (olmesartan/amlodipine/hydrochlorothiazide) </w:t>
            </w:r>
            <w:r>
              <w:rPr>
                <w:b/>
                <w:sz w:val="20"/>
              </w:rPr>
              <w:t>– PA</w:t>
            </w:r>
          </w:p>
          <w:p>
            <w:pPr>
              <w:pStyle w:val="TableParagraph"/>
              <w:spacing w:before="41"/>
              <w:ind w:left="577"/>
              <w:rPr>
                <w:b/>
                <w:sz w:val="20"/>
              </w:rPr>
            </w:pPr>
            <w:r>
              <w:rPr>
                <w:sz w:val="20"/>
              </w:rPr>
              <w:t>Veltin (clindamycin/tretinoin) </w:t>
            </w:r>
            <w:r>
              <w:rPr>
                <w:b/>
                <w:sz w:val="20"/>
              </w:rPr>
              <w:t>– PA</w:t>
            </w:r>
          </w:p>
          <w:p>
            <w:pPr>
              <w:pStyle w:val="TableParagraph"/>
              <w:spacing w:before="40"/>
              <w:ind w:left="577"/>
              <w:rPr>
                <w:b/>
                <w:sz w:val="20"/>
              </w:rPr>
            </w:pPr>
            <w:r>
              <w:rPr>
                <w:sz w:val="20"/>
              </w:rPr>
              <w:t>Vimovo (naproxen/esomeprazole) </w:t>
            </w:r>
            <w:r>
              <w:rPr>
                <w:b/>
                <w:sz w:val="20"/>
              </w:rPr>
              <w:t>– PA &lt; 60 years</w:t>
            </w:r>
          </w:p>
          <w:p>
            <w:pPr>
              <w:pStyle w:val="TableParagraph"/>
              <w:spacing w:line="280" w:lineRule="auto" w:before="40"/>
              <w:ind w:left="577" w:right="1240"/>
              <w:rPr>
                <w:sz w:val="20"/>
              </w:rPr>
            </w:pPr>
            <w:r>
              <w:rPr>
                <w:sz w:val="20"/>
              </w:rPr>
              <w:t>Vimpat (lacosamide) solution </w:t>
            </w:r>
            <w:r>
              <w:rPr>
                <w:b/>
                <w:sz w:val="20"/>
              </w:rPr>
              <w:t>– PA </w:t>
            </w:r>
            <w:r>
              <w:rPr>
                <w:sz w:val="20"/>
              </w:rPr>
              <w:t>Xerese (acyclovir/hydrocortisone) </w:t>
            </w:r>
            <w:r>
              <w:rPr>
                <w:b/>
                <w:sz w:val="20"/>
              </w:rPr>
              <w:t>– PA </w:t>
            </w:r>
            <w:r>
              <w:rPr>
                <w:sz w:val="20"/>
              </w:rPr>
              <w:t>Zortress (everolimus)</w:t>
            </w:r>
          </w:p>
          <w:p>
            <w:pPr>
              <w:pStyle w:val="TableParagraph"/>
              <w:spacing w:before="2"/>
              <w:ind w:left="577"/>
              <w:rPr>
                <w:b/>
                <w:sz w:val="20"/>
              </w:rPr>
            </w:pPr>
            <w:r>
              <w:rPr>
                <w:sz w:val="20"/>
              </w:rPr>
              <w:t>Zuplenz (ondansetron) oral soluble film </w:t>
            </w:r>
            <w:r>
              <w:rPr>
                <w:b/>
                <w:sz w:val="20"/>
              </w:rPr>
              <w:t>– PA</w:t>
            </w:r>
          </w:p>
          <w:p>
            <w:pPr>
              <w:pStyle w:val="TableParagraph"/>
              <w:spacing w:before="40"/>
              <w:ind w:left="577"/>
              <w:rPr>
                <w:b/>
                <w:sz w:val="20"/>
              </w:rPr>
            </w:pPr>
            <w:r>
              <w:rPr>
                <w:sz w:val="20"/>
              </w:rPr>
              <w:t>Zymaxid (gatifloxacin) </w:t>
            </w:r>
            <w:r>
              <w:rPr>
                <w:b/>
                <w:sz w:val="20"/>
              </w:rPr>
              <w:t>– PA</w:t>
            </w:r>
          </w:p>
          <w:p>
            <w:pPr>
              <w:pStyle w:val="TableParagraph"/>
              <w:spacing w:before="7"/>
              <w:rPr>
                <w:rFonts w:ascii="Arial Narrow"/>
                <w:sz w:val="17"/>
              </w:rPr>
            </w:pPr>
          </w:p>
          <w:p>
            <w:pPr>
              <w:pStyle w:val="TableParagraph"/>
              <w:numPr>
                <w:ilvl w:val="0"/>
                <w:numId w:val="2"/>
              </w:numPr>
              <w:tabs>
                <w:tab w:pos="398" w:val="left" w:leader="none"/>
              </w:tabs>
              <w:spacing w:line="240" w:lineRule="auto" w:before="0" w:after="0"/>
              <w:ind w:left="397" w:right="0" w:hanging="288"/>
              <w:jc w:val="left"/>
              <w:rPr>
                <w:b/>
                <w:sz w:val="20"/>
              </w:rPr>
            </w:pPr>
            <w:r>
              <w:rPr>
                <w:b/>
                <w:sz w:val="20"/>
              </w:rPr>
              <w:t>Change in Prior-Authorization</w:t>
            </w:r>
            <w:r>
              <w:rPr>
                <w:b/>
                <w:spacing w:val="-6"/>
                <w:sz w:val="20"/>
              </w:rPr>
              <w:t> </w:t>
            </w:r>
            <w:r>
              <w:rPr>
                <w:b/>
                <w:sz w:val="20"/>
              </w:rPr>
              <w:t>Status</w:t>
            </w:r>
          </w:p>
          <w:p>
            <w:pPr>
              <w:pStyle w:val="TableParagraph"/>
              <w:numPr>
                <w:ilvl w:val="1"/>
                <w:numId w:val="2"/>
              </w:numPr>
              <w:tabs>
                <w:tab w:pos="856" w:val="left" w:leader="none"/>
              </w:tabs>
              <w:spacing w:line="240" w:lineRule="auto" w:before="118" w:after="0"/>
              <w:ind w:left="843" w:right="112" w:hanging="266"/>
              <w:jc w:val="left"/>
              <w:rPr>
                <w:sz w:val="20"/>
              </w:rPr>
            </w:pPr>
            <w:r>
              <w:rPr>
                <w:sz w:val="20"/>
              </w:rPr>
              <w:t>The prior authorization requirements for the following drugs are changing. Please refer to Table 31 and applicable PA request forms for the complete list of prior authorization requirements for the cerebral</w:t>
            </w:r>
            <w:r>
              <w:rPr>
                <w:spacing w:val="-4"/>
                <w:sz w:val="20"/>
              </w:rPr>
              <w:t> </w:t>
            </w:r>
            <w:r>
              <w:rPr>
                <w:sz w:val="20"/>
              </w:rPr>
              <w:t>stimulants.</w:t>
            </w:r>
          </w:p>
          <w:p>
            <w:pPr>
              <w:pStyle w:val="TableParagraph"/>
              <w:spacing w:before="120"/>
              <w:ind w:left="1117" w:right="155" w:hanging="180"/>
              <w:rPr>
                <w:b/>
                <w:sz w:val="20"/>
              </w:rPr>
            </w:pPr>
            <w:r>
              <w:rPr>
                <w:sz w:val="20"/>
              </w:rPr>
              <w:t>Daytrana (methylphenidate transdermal system) </w:t>
            </w:r>
            <w:r>
              <w:rPr>
                <w:b/>
                <w:sz w:val="20"/>
              </w:rPr>
              <w:t>– PA &lt; 6 or &gt; 12 years and PA &gt; 30 units/month</w:t>
            </w:r>
          </w:p>
          <w:p>
            <w:pPr>
              <w:pStyle w:val="TableParagraph"/>
              <w:ind w:left="1117" w:right="885" w:hanging="180"/>
              <w:rPr>
                <w:b/>
                <w:sz w:val="20"/>
              </w:rPr>
            </w:pPr>
            <w:r>
              <w:rPr>
                <w:sz w:val="20"/>
              </w:rPr>
              <w:t>Vyvanse (lisdexamfetamine) </w:t>
            </w:r>
            <w:r>
              <w:rPr>
                <w:b/>
                <w:sz w:val="20"/>
              </w:rPr>
              <w:t>– PA &gt; 60 units/month</w:t>
            </w:r>
          </w:p>
        </w:tc>
        <w:tc>
          <w:tcPr>
            <w:tcW w:w="5303" w:type="dxa"/>
            <w:tcBorders>
              <w:top w:val="single" w:sz="8" w:space="0" w:color="000000"/>
              <w:left w:val="single" w:sz="4" w:space="0" w:color="000000"/>
              <w:bottom w:val="single" w:sz="8" w:space="0" w:color="000000"/>
            </w:tcBorders>
          </w:tcPr>
          <w:p>
            <w:pPr>
              <w:pStyle w:val="TableParagraph"/>
              <w:numPr>
                <w:ilvl w:val="0"/>
                <w:numId w:val="3"/>
              </w:numPr>
              <w:tabs>
                <w:tab w:pos="825" w:val="left" w:leader="none"/>
              </w:tabs>
              <w:spacing w:line="240" w:lineRule="auto" w:before="197" w:after="0"/>
              <w:ind w:left="838" w:right="724" w:hanging="360"/>
              <w:jc w:val="left"/>
              <w:rPr>
                <w:sz w:val="20"/>
              </w:rPr>
            </w:pPr>
            <w:r>
              <w:rPr>
                <w:sz w:val="20"/>
              </w:rPr>
              <w:t>The prior authorization requirement for the following drug is</w:t>
            </w:r>
            <w:r>
              <w:rPr>
                <w:spacing w:val="-4"/>
                <w:sz w:val="20"/>
              </w:rPr>
              <w:t> </w:t>
            </w:r>
            <w:r>
              <w:rPr>
                <w:sz w:val="20"/>
              </w:rPr>
              <w:t>changing.</w:t>
            </w:r>
          </w:p>
          <w:p>
            <w:pPr>
              <w:pStyle w:val="TableParagraph"/>
              <w:spacing w:before="81"/>
              <w:ind w:left="1200" w:right="492" w:hanging="177"/>
              <w:rPr>
                <w:b/>
                <w:sz w:val="20"/>
              </w:rPr>
            </w:pPr>
            <w:r>
              <w:rPr>
                <w:sz w:val="20"/>
              </w:rPr>
              <w:t>Zovirax (acyclovir) cream </w:t>
            </w:r>
            <w:r>
              <w:rPr>
                <w:b/>
                <w:sz w:val="20"/>
              </w:rPr>
              <w:t>– PA &gt; 12 years and PA &gt; 5 grams/month</w:t>
            </w:r>
          </w:p>
          <w:p>
            <w:pPr>
              <w:pStyle w:val="TableParagraph"/>
              <w:numPr>
                <w:ilvl w:val="0"/>
                <w:numId w:val="3"/>
              </w:numPr>
              <w:tabs>
                <w:tab w:pos="823" w:val="left" w:leader="none"/>
              </w:tabs>
              <w:spacing w:line="240" w:lineRule="auto" w:before="120" w:after="0"/>
              <w:ind w:left="836" w:right="171" w:hanging="359"/>
              <w:jc w:val="left"/>
              <w:rPr>
                <w:sz w:val="20"/>
              </w:rPr>
            </w:pPr>
            <w:r>
              <w:rPr>
                <w:sz w:val="20"/>
              </w:rPr>
              <w:t>The following oral nonsteroidal anti-inflammatory agents will require prior authorization effective November 15,</w:t>
            </w:r>
            <w:r>
              <w:rPr>
                <w:spacing w:val="-2"/>
                <w:sz w:val="20"/>
              </w:rPr>
              <w:t> </w:t>
            </w:r>
            <w:r>
              <w:rPr>
                <w:sz w:val="20"/>
              </w:rPr>
              <w:t>2010.</w:t>
            </w:r>
          </w:p>
          <w:p>
            <w:pPr>
              <w:pStyle w:val="TableParagraph"/>
              <w:spacing w:before="39"/>
              <w:ind w:left="1021" w:right="897" w:firstLine="3"/>
              <w:rPr>
                <w:b/>
                <w:sz w:val="20"/>
              </w:rPr>
            </w:pPr>
            <w:r>
              <w:rPr>
                <w:sz w:val="20"/>
              </w:rPr>
              <w:t>Cataflam (diclofenac potassium) </w:t>
            </w:r>
            <w:r>
              <w:rPr>
                <w:b/>
                <w:sz w:val="20"/>
              </w:rPr>
              <w:t>– PA </w:t>
            </w:r>
            <w:r>
              <w:rPr>
                <w:sz w:val="20"/>
              </w:rPr>
              <w:t>Feldene (piroxicam) </w:t>
            </w:r>
            <w:r>
              <w:rPr>
                <w:b/>
                <w:sz w:val="20"/>
              </w:rPr>
              <w:t>– PA </w:t>
            </w:r>
            <w:r>
              <w:rPr>
                <w:sz w:val="20"/>
              </w:rPr>
              <w:t>meclofenamate </w:t>
            </w:r>
            <w:r>
              <w:rPr>
                <w:b/>
                <w:sz w:val="20"/>
              </w:rPr>
              <w:t>– PA</w:t>
            </w:r>
          </w:p>
          <w:p>
            <w:pPr>
              <w:pStyle w:val="TableParagraph"/>
              <w:spacing w:before="2"/>
              <w:ind w:left="1201" w:right="360" w:hanging="180"/>
              <w:rPr>
                <w:b/>
                <w:sz w:val="20"/>
              </w:rPr>
            </w:pPr>
            <w:r>
              <w:rPr>
                <w:sz w:val="20"/>
              </w:rPr>
              <w:t>Naprosyn (naproxen) suspension </w:t>
            </w:r>
            <w:r>
              <w:rPr>
                <w:b/>
                <w:sz w:val="20"/>
              </w:rPr>
              <w:t>– PA &gt; 12 years</w:t>
            </w:r>
          </w:p>
          <w:p>
            <w:pPr>
              <w:pStyle w:val="TableParagraph"/>
              <w:spacing w:line="230" w:lineRule="exact"/>
              <w:ind w:left="1021"/>
              <w:rPr>
                <w:b/>
                <w:sz w:val="20"/>
              </w:rPr>
            </w:pPr>
            <w:r>
              <w:rPr>
                <w:sz w:val="20"/>
              </w:rPr>
              <w:t>Naprosyn EC (naproxen EC) </w:t>
            </w:r>
            <w:r>
              <w:rPr>
                <w:b/>
                <w:sz w:val="20"/>
              </w:rPr>
              <w:t>– PA</w:t>
            </w:r>
          </w:p>
          <w:p>
            <w:pPr>
              <w:pStyle w:val="TableParagraph"/>
              <w:ind w:left="1021"/>
              <w:rPr>
                <w:b/>
                <w:sz w:val="20"/>
              </w:rPr>
            </w:pPr>
            <w:r>
              <w:rPr>
                <w:sz w:val="20"/>
              </w:rPr>
              <w:t>Tolectin (tolmetin) </w:t>
            </w:r>
            <w:r>
              <w:rPr>
                <w:b/>
                <w:sz w:val="20"/>
              </w:rPr>
              <w:t>– PA</w:t>
            </w:r>
          </w:p>
          <w:p>
            <w:pPr>
              <w:pStyle w:val="TableParagraph"/>
              <w:numPr>
                <w:ilvl w:val="0"/>
                <w:numId w:val="3"/>
              </w:numPr>
              <w:tabs>
                <w:tab w:pos="824" w:val="left" w:leader="none"/>
              </w:tabs>
              <w:spacing w:line="240" w:lineRule="auto" w:before="119" w:after="0"/>
              <w:ind w:left="837" w:right="115" w:hanging="360"/>
              <w:jc w:val="left"/>
              <w:rPr>
                <w:sz w:val="20"/>
              </w:rPr>
            </w:pPr>
            <w:r>
              <w:rPr>
                <w:sz w:val="20"/>
              </w:rPr>
              <w:t>The following pulmonary hypertension agents</w:t>
            </w:r>
            <w:r>
              <w:rPr>
                <w:spacing w:val="-11"/>
                <w:sz w:val="20"/>
              </w:rPr>
              <w:t> </w:t>
            </w:r>
            <w:r>
              <w:rPr>
                <w:sz w:val="20"/>
              </w:rPr>
              <w:t>will require prior authorization effective November 15,</w:t>
            </w:r>
            <w:r>
              <w:rPr>
                <w:spacing w:val="-2"/>
                <w:sz w:val="20"/>
              </w:rPr>
              <w:t> </w:t>
            </w:r>
            <w:r>
              <w:rPr>
                <w:sz w:val="20"/>
              </w:rPr>
              <w:t>2010.</w:t>
            </w:r>
          </w:p>
          <w:p>
            <w:pPr>
              <w:pStyle w:val="TableParagraph"/>
              <w:spacing w:before="81"/>
              <w:ind w:left="1021" w:right="900" w:firstLine="3"/>
              <w:rPr>
                <w:b/>
                <w:sz w:val="20"/>
              </w:rPr>
            </w:pPr>
            <w:r>
              <w:rPr>
                <w:sz w:val="20"/>
              </w:rPr>
              <w:t>Letairis (ambrisentan) </w:t>
            </w:r>
            <w:r>
              <w:rPr>
                <w:b/>
                <w:sz w:val="20"/>
              </w:rPr>
              <w:t>– PA </w:t>
            </w:r>
            <w:r>
              <w:rPr>
                <w:sz w:val="20"/>
              </w:rPr>
              <w:t>Remodulin (treprostinil) injection </w:t>
            </w:r>
            <w:r>
              <w:rPr>
                <w:b/>
                <w:sz w:val="20"/>
              </w:rPr>
              <w:t>– PA </w:t>
            </w:r>
            <w:r>
              <w:rPr>
                <w:sz w:val="20"/>
              </w:rPr>
              <w:t>Tracleer (bosentan) </w:t>
            </w:r>
            <w:r>
              <w:rPr>
                <w:b/>
                <w:sz w:val="20"/>
              </w:rPr>
              <w:t>– PA</w:t>
            </w:r>
          </w:p>
          <w:p>
            <w:pPr>
              <w:pStyle w:val="TableParagraph"/>
              <w:spacing w:line="230" w:lineRule="exact"/>
              <w:ind w:left="1021"/>
              <w:rPr>
                <w:b/>
                <w:sz w:val="20"/>
              </w:rPr>
            </w:pPr>
            <w:r>
              <w:rPr>
                <w:sz w:val="20"/>
              </w:rPr>
              <w:t>Tyvaso (treprostinil) inhalation solution </w:t>
            </w:r>
            <w:r>
              <w:rPr>
                <w:b/>
                <w:sz w:val="20"/>
              </w:rPr>
              <w:t>– PA</w:t>
            </w:r>
          </w:p>
          <w:p>
            <w:pPr>
              <w:pStyle w:val="TableParagraph"/>
              <w:spacing w:line="230" w:lineRule="exact"/>
              <w:ind w:left="1020"/>
              <w:rPr>
                <w:b/>
                <w:sz w:val="20"/>
              </w:rPr>
            </w:pPr>
            <w:r>
              <w:rPr>
                <w:sz w:val="20"/>
              </w:rPr>
              <w:t>Ventavis (iloprost) </w:t>
            </w:r>
            <w:r>
              <w:rPr>
                <w:b/>
                <w:sz w:val="20"/>
              </w:rPr>
              <w:t>– PA</w:t>
            </w:r>
          </w:p>
          <w:p>
            <w:pPr>
              <w:pStyle w:val="TableParagraph"/>
              <w:numPr>
                <w:ilvl w:val="0"/>
                <w:numId w:val="3"/>
              </w:numPr>
              <w:tabs>
                <w:tab w:pos="824" w:val="left" w:leader="none"/>
              </w:tabs>
              <w:spacing w:line="240" w:lineRule="auto" w:before="121" w:after="0"/>
              <w:ind w:left="837" w:right="646" w:hanging="360"/>
              <w:jc w:val="left"/>
              <w:rPr>
                <w:sz w:val="20"/>
              </w:rPr>
            </w:pPr>
            <w:r>
              <w:rPr>
                <w:sz w:val="20"/>
              </w:rPr>
              <w:t>The following drugs will require prior authorization effective November 15,</w:t>
            </w:r>
            <w:r>
              <w:rPr>
                <w:spacing w:val="-30"/>
                <w:sz w:val="20"/>
              </w:rPr>
              <w:t> </w:t>
            </w:r>
            <w:r>
              <w:rPr>
                <w:sz w:val="20"/>
              </w:rPr>
              <w:t>2010.</w:t>
            </w:r>
          </w:p>
          <w:p>
            <w:pPr>
              <w:pStyle w:val="TableParagraph"/>
              <w:spacing w:before="80"/>
              <w:ind w:left="1024"/>
              <w:rPr>
                <w:b/>
                <w:sz w:val="20"/>
              </w:rPr>
            </w:pPr>
            <w:r>
              <w:rPr>
                <w:sz w:val="20"/>
              </w:rPr>
              <w:t>Aloxi (palonosetron) </w:t>
            </w:r>
            <w:r>
              <w:rPr>
                <w:b/>
                <w:sz w:val="20"/>
              </w:rPr>
              <w:t>– PA</w:t>
            </w:r>
          </w:p>
          <w:p>
            <w:pPr>
              <w:pStyle w:val="TableParagraph"/>
              <w:ind w:left="1020" w:right="956"/>
              <w:rPr>
                <w:b/>
                <w:sz w:val="20"/>
              </w:rPr>
            </w:pPr>
            <w:r>
              <w:rPr>
                <w:sz w:val="20"/>
              </w:rPr>
              <w:t>Catapres-TTS Patch (clonidine) </w:t>
            </w:r>
            <w:r>
              <w:rPr>
                <w:b/>
                <w:sz w:val="20"/>
              </w:rPr>
              <w:t>– PA </w:t>
            </w:r>
            <w:r>
              <w:rPr>
                <w:sz w:val="20"/>
              </w:rPr>
              <w:t>Sucraid (sacrosidase) </w:t>
            </w:r>
            <w:r>
              <w:rPr>
                <w:b/>
                <w:sz w:val="20"/>
              </w:rPr>
              <w:t>– PA </w:t>
            </w:r>
            <w:r>
              <w:rPr>
                <w:sz w:val="20"/>
              </w:rPr>
              <w:t>Transderm Scop (scopolamine) </w:t>
            </w:r>
            <w:r>
              <w:rPr>
                <w:b/>
                <w:sz w:val="20"/>
              </w:rPr>
              <w:t>– PA</w:t>
            </w:r>
          </w:p>
          <w:p>
            <w:pPr>
              <w:pStyle w:val="TableParagraph"/>
              <w:numPr>
                <w:ilvl w:val="0"/>
                <w:numId w:val="3"/>
              </w:numPr>
              <w:tabs>
                <w:tab w:pos="840" w:val="left" w:leader="none"/>
                <w:tab w:pos="841" w:val="left" w:leader="none"/>
              </w:tabs>
              <w:spacing w:line="240" w:lineRule="auto" w:before="120" w:after="0"/>
              <w:ind w:left="837" w:right="150" w:hanging="360"/>
              <w:jc w:val="left"/>
              <w:rPr>
                <w:sz w:val="20"/>
              </w:rPr>
            </w:pPr>
            <w:r>
              <w:rPr>
                <w:sz w:val="20"/>
              </w:rPr>
              <w:t>The following drug will require prior authorization for all quantities effective November 15,</w:t>
            </w:r>
            <w:r>
              <w:rPr>
                <w:spacing w:val="-21"/>
                <w:sz w:val="20"/>
              </w:rPr>
              <w:t> </w:t>
            </w:r>
            <w:r>
              <w:rPr>
                <w:sz w:val="20"/>
              </w:rPr>
              <w:t>2010.</w:t>
            </w:r>
          </w:p>
          <w:p>
            <w:pPr>
              <w:pStyle w:val="TableParagraph"/>
              <w:spacing w:before="80"/>
              <w:ind w:left="1024"/>
              <w:rPr>
                <w:b/>
                <w:sz w:val="20"/>
              </w:rPr>
            </w:pPr>
            <w:r>
              <w:rPr>
                <w:sz w:val="20"/>
              </w:rPr>
              <w:t>Zofran (ondansetron) solution </w:t>
            </w:r>
            <w:r>
              <w:rPr>
                <w:b/>
                <w:sz w:val="20"/>
              </w:rPr>
              <w:t>– PA</w:t>
            </w:r>
          </w:p>
          <w:p>
            <w:pPr>
              <w:pStyle w:val="TableParagraph"/>
              <w:numPr>
                <w:ilvl w:val="0"/>
                <w:numId w:val="3"/>
              </w:numPr>
              <w:tabs>
                <w:tab w:pos="824" w:val="left" w:leader="none"/>
              </w:tabs>
              <w:spacing w:line="240" w:lineRule="auto" w:before="119" w:after="0"/>
              <w:ind w:left="840" w:right="962" w:hanging="360"/>
              <w:jc w:val="left"/>
              <w:rPr>
                <w:sz w:val="20"/>
              </w:rPr>
            </w:pPr>
            <w:r>
              <w:rPr>
                <w:sz w:val="20"/>
              </w:rPr>
              <w:t>The following drugs will require prior authorization effective January 1,</w:t>
            </w:r>
            <w:r>
              <w:rPr>
                <w:spacing w:val="-28"/>
                <w:sz w:val="20"/>
              </w:rPr>
              <w:t> </w:t>
            </w:r>
            <w:r>
              <w:rPr>
                <w:sz w:val="20"/>
              </w:rPr>
              <w:t>2011.</w:t>
            </w:r>
          </w:p>
          <w:p>
            <w:pPr>
              <w:pStyle w:val="TableParagraph"/>
              <w:spacing w:line="230" w:lineRule="exact" w:before="82"/>
              <w:ind w:left="1024"/>
              <w:rPr>
                <w:b/>
                <w:sz w:val="20"/>
              </w:rPr>
            </w:pPr>
            <w:r>
              <w:rPr>
                <w:sz w:val="20"/>
              </w:rPr>
              <w:t>Actos (pioglitazone) </w:t>
            </w:r>
            <w:r>
              <w:rPr>
                <w:b/>
                <w:sz w:val="20"/>
              </w:rPr>
              <w:t>– PA</w:t>
            </w:r>
          </w:p>
          <w:p>
            <w:pPr>
              <w:pStyle w:val="TableParagraph"/>
              <w:spacing w:line="230" w:lineRule="exact"/>
              <w:ind w:left="1020"/>
              <w:rPr>
                <w:b/>
                <w:sz w:val="20"/>
              </w:rPr>
            </w:pPr>
            <w:r>
              <w:rPr>
                <w:sz w:val="20"/>
              </w:rPr>
              <w:t>Avandia (rosiglitazone) </w:t>
            </w:r>
            <w:r>
              <w:rPr>
                <w:b/>
                <w:sz w:val="20"/>
              </w:rPr>
              <w:t>– PA</w:t>
            </w:r>
          </w:p>
          <w:p>
            <w:pPr>
              <w:pStyle w:val="TableParagraph"/>
              <w:numPr>
                <w:ilvl w:val="0"/>
                <w:numId w:val="3"/>
              </w:numPr>
              <w:tabs>
                <w:tab w:pos="842" w:val="left" w:leader="none"/>
              </w:tabs>
              <w:spacing w:line="240" w:lineRule="auto" w:before="120" w:after="0"/>
              <w:ind w:left="837" w:right="150" w:hanging="360"/>
              <w:jc w:val="left"/>
              <w:rPr>
                <w:sz w:val="20"/>
              </w:rPr>
            </w:pPr>
            <w:r>
              <w:rPr>
                <w:sz w:val="20"/>
              </w:rPr>
              <w:t>The following drug will require prior authorization for members older than 12 years, effective November 15,</w:t>
            </w:r>
            <w:r>
              <w:rPr>
                <w:spacing w:val="-3"/>
                <w:sz w:val="20"/>
              </w:rPr>
              <w:t> </w:t>
            </w:r>
            <w:r>
              <w:rPr>
                <w:sz w:val="20"/>
              </w:rPr>
              <w:t>2010.</w:t>
            </w:r>
          </w:p>
          <w:p>
            <w:pPr>
              <w:pStyle w:val="TableParagraph"/>
              <w:spacing w:before="81"/>
              <w:ind w:left="1024"/>
              <w:rPr>
                <w:b/>
                <w:sz w:val="20"/>
              </w:rPr>
            </w:pPr>
            <w:r>
              <w:rPr>
                <w:sz w:val="20"/>
              </w:rPr>
              <w:t>Riomet (metformin solution) </w:t>
            </w:r>
            <w:r>
              <w:rPr>
                <w:b/>
                <w:sz w:val="20"/>
              </w:rPr>
              <w:t>– PA &gt; 12 years</w:t>
            </w:r>
          </w:p>
          <w:p>
            <w:pPr>
              <w:pStyle w:val="TableParagraph"/>
              <w:numPr>
                <w:ilvl w:val="0"/>
                <w:numId w:val="3"/>
              </w:numPr>
              <w:tabs>
                <w:tab w:pos="823" w:val="left" w:leader="none"/>
                <w:tab w:pos="824" w:val="left" w:leader="none"/>
              </w:tabs>
              <w:spacing w:line="240" w:lineRule="auto" w:before="119" w:after="0"/>
              <w:ind w:left="840" w:right="382" w:hanging="360"/>
              <w:jc w:val="left"/>
              <w:rPr>
                <w:sz w:val="20"/>
              </w:rPr>
            </w:pPr>
            <w:r>
              <w:rPr>
                <w:sz w:val="20"/>
              </w:rPr>
              <w:t>The following drugs will no longer require</w:t>
            </w:r>
            <w:r>
              <w:rPr>
                <w:spacing w:val="-13"/>
                <w:sz w:val="20"/>
              </w:rPr>
              <w:t> </w:t>
            </w:r>
            <w:r>
              <w:rPr>
                <w:sz w:val="20"/>
              </w:rPr>
              <w:t>prior authorization for </w:t>
            </w:r>
            <w:r>
              <w:rPr>
                <w:sz w:val="20"/>
                <w:u w:val="single"/>
              </w:rPr>
              <w:t>&lt;</w:t>
            </w:r>
            <w:r>
              <w:rPr>
                <w:sz w:val="20"/>
              </w:rPr>
              <w:t> 15</w:t>
            </w:r>
            <w:r>
              <w:rPr>
                <w:spacing w:val="-7"/>
                <w:sz w:val="20"/>
              </w:rPr>
              <w:t> </w:t>
            </w:r>
            <w:r>
              <w:rPr>
                <w:sz w:val="20"/>
              </w:rPr>
              <w:t>units/month.</w:t>
            </w:r>
          </w:p>
          <w:p>
            <w:pPr>
              <w:pStyle w:val="TableParagraph"/>
              <w:spacing w:before="79"/>
              <w:ind w:left="1200" w:right="126" w:hanging="177"/>
              <w:rPr>
                <w:b/>
                <w:sz w:val="20"/>
              </w:rPr>
            </w:pPr>
            <w:r>
              <w:rPr>
                <w:sz w:val="20"/>
              </w:rPr>
              <w:t>Zofran ODT 4 mg (odansetron, orally disintegrating tablet) </w:t>
            </w:r>
            <w:r>
              <w:rPr>
                <w:b/>
                <w:sz w:val="20"/>
              </w:rPr>
              <w:t>– PA &gt; 15 units/month</w:t>
            </w:r>
          </w:p>
        </w:tc>
      </w:tr>
    </w:tbl>
    <w:p>
      <w:pPr>
        <w:spacing w:after="0"/>
        <w:rPr>
          <w:sz w:val="20"/>
        </w:rPr>
        <w:sectPr>
          <w:type w:val="continuous"/>
          <w:pgSz w:w="12240" w:h="15840"/>
          <w:pgMar w:top="400" w:bottom="0" w:left="620" w:right="420"/>
        </w:sectPr>
      </w:pPr>
    </w:p>
    <w:p>
      <w:pPr>
        <w:tabs>
          <w:tab w:pos="9547" w:val="left" w:leader="none"/>
        </w:tabs>
        <w:spacing w:before="72"/>
        <w:ind w:left="426" w:right="0" w:firstLine="0"/>
        <w:jc w:val="left"/>
        <w:rPr>
          <w:rFonts w:ascii="Arial Black"/>
          <w:b/>
          <w:sz w:val="18"/>
        </w:rPr>
      </w:pPr>
      <w:r>
        <w:rPr>
          <w:rFonts w:ascii="Arial Black"/>
          <w:b/>
          <w:sz w:val="18"/>
        </w:rPr>
        <w:t>Pharmacy Facts,</w:t>
      </w:r>
      <w:r>
        <w:rPr>
          <w:rFonts w:ascii="Arial Black"/>
          <w:b/>
          <w:spacing w:val="-3"/>
          <w:sz w:val="18"/>
        </w:rPr>
        <w:t> </w:t>
      </w:r>
      <w:r>
        <w:rPr>
          <w:rFonts w:ascii="Arial Black"/>
          <w:b/>
          <w:sz w:val="18"/>
        </w:rPr>
        <w:t>Number</w:t>
      </w:r>
      <w:r>
        <w:rPr>
          <w:rFonts w:ascii="Arial Black"/>
          <w:b/>
          <w:spacing w:val="-2"/>
          <w:sz w:val="18"/>
        </w:rPr>
        <w:t> </w:t>
      </w:r>
      <w:r>
        <w:rPr>
          <w:rFonts w:ascii="Arial Black"/>
          <w:b/>
          <w:sz w:val="18"/>
        </w:rPr>
        <w:t>62</w:t>
        <w:tab/>
        <w:t>Page 2 of</w:t>
      </w:r>
      <w:r>
        <w:rPr>
          <w:rFonts w:ascii="Arial Black"/>
          <w:b/>
          <w:spacing w:val="-4"/>
          <w:sz w:val="18"/>
        </w:rPr>
        <w:t> </w:t>
      </w:r>
      <w:r>
        <w:rPr>
          <w:rFonts w:ascii="Arial Black"/>
          <w:b/>
          <w:sz w:val="18"/>
        </w:rPr>
        <w:t>2</w:t>
      </w:r>
    </w:p>
    <w:p>
      <w:pPr>
        <w:pStyle w:val="BodyText"/>
        <w:spacing w:before="2"/>
        <w:rPr>
          <w:rFonts w:ascii="Arial Black"/>
          <w:b/>
          <w:sz w:val="15"/>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
        <w:gridCol w:w="5392"/>
        <w:gridCol w:w="5357"/>
        <w:gridCol w:w="160"/>
      </w:tblGrid>
      <w:tr>
        <w:trPr>
          <w:trHeight w:val="13999" w:hRule="atLeast"/>
        </w:trPr>
        <w:tc>
          <w:tcPr>
            <w:tcW w:w="72" w:type="dxa"/>
            <w:tcBorders>
              <w:bottom w:val="single" w:sz="6" w:space="0" w:color="000000"/>
            </w:tcBorders>
          </w:tcPr>
          <w:p>
            <w:pPr>
              <w:pStyle w:val="TableParagraph"/>
              <w:rPr>
                <w:rFonts w:ascii="Times New Roman"/>
                <w:sz w:val="20"/>
              </w:rPr>
            </w:pPr>
          </w:p>
        </w:tc>
        <w:tc>
          <w:tcPr>
            <w:tcW w:w="5392" w:type="dxa"/>
            <w:tcBorders>
              <w:top w:val="single" w:sz="8" w:space="0" w:color="000000"/>
              <w:bottom w:val="single" w:sz="6" w:space="0" w:color="000000"/>
              <w:right w:val="single" w:sz="4" w:space="0" w:color="000000"/>
            </w:tcBorders>
          </w:tcPr>
          <w:p>
            <w:pPr>
              <w:pStyle w:val="TableParagraph"/>
              <w:rPr>
                <w:rFonts w:ascii="Arial Black"/>
                <w:b/>
                <w:sz w:val="14"/>
              </w:rPr>
            </w:pPr>
          </w:p>
          <w:p>
            <w:pPr>
              <w:pStyle w:val="TableParagraph"/>
              <w:numPr>
                <w:ilvl w:val="0"/>
                <w:numId w:val="4"/>
              </w:numPr>
              <w:tabs>
                <w:tab w:pos="828" w:val="left" w:leader="none"/>
                <w:tab w:pos="829" w:val="left" w:leader="none"/>
              </w:tabs>
              <w:spacing w:line="240" w:lineRule="auto" w:before="1" w:after="0"/>
              <w:ind w:left="842" w:right="465" w:hanging="360"/>
              <w:jc w:val="left"/>
              <w:rPr>
                <w:sz w:val="20"/>
              </w:rPr>
            </w:pPr>
            <w:r>
              <w:rPr>
                <w:sz w:val="20"/>
              </w:rPr>
              <w:t>The following drugs will no longer require prior authorization.</w:t>
            </w:r>
          </w:p>
          <w:p>
            <w:pPr>
              <w:pStyle w:val="TableParagraph"/>
              <w:spacing w:before="80"/>
              <w:ind w:left="1187" w:right="447" w:hanging="180"/>
              <w:rPr>
                <w:sz w:val="20"/>
              </w:rPr>
            </w:pPr>
            <w:r>
              <w:rPr>
                <w:sz w:val="20"/>
              </w:rPr>
              <w:t>Aricept ODT (donepezil, orally disintegrating tablet)</w:t>
            </w:r>
          </w:p>
          <w:p>
            <w:pPr>
              <w:pStyle w:val="TableParagraph"/>
              <w:ind w:left="1007" w:right="2603"/>
              <w:rPr>
                <w:sz w:val="20"/>
              </w:rPr>
            </w:pPr>
            <w:r>
              <w:rPr>
                <w:sz w:val="20"/>
              </w:rPr>
              <w:t>glipizide/metformin glyburide/metformin</w:t>
            </w:r>
          </w:p>
          <w:p>
            <w:pPr>
              <w:pStyle w:val="TableParagraph"/>
              <w:spacing w:line="230" w:lineRule="exact"/>
              <w:ind w:left="1007"/>
              <w:rPr>
                <w:sz w:val="20"/>
              </w:rPr>
            </w:pPr>
            <w:r>
              <w:rPr>
                <w:sz w:val="20"/>
              </w:rPr>
              <w:t>venlafaxine extended-release capsule</w:t>
            </w:r>
          </w:p>
          <w:p>
            <w:pPr>
              <w:pStyle w:val="TableParagraph"/>
              <w:numPr>
                <w:ilvl w:val="0"/>
                <w:numId w:val="4"/>
              </w:numPr>
              <w:tabs>
                <w:tab w:pos="828" w:val="left" w:leader="none"/>
              </w:tabs>
              <w:spacing w:line="240" w:lineRule="auto" w:before="120" w:after="0"/>
              <w:ind w:left="842" w:right="831" w:hanging="360"/>
              <w:jc w:val="left"/>
              <w:rPr>
                <w:sz w:val="20"/>
              </w:rPr>
            </w:pPr>
            <w:r>
              <w:rPr>
                <w:sz w:val="20"/>
              </w:rPr>
              <w:t>The following drug has been added to the MassHealth OTC Drug List as covered</w:t>
            </w:r>
            <w:r>
              <w:rPr>
                <w:spacing w:val="-6"/>
                <w:sz w:val="20"/>
              </w:rPr>
              <w:t> </w:t>
            </w:r>
            <w:r>
              <w:rPr>
                <w:sz w:val="20"/>
              </w:rPr>
              <w:t>for members aged 18 and younger, effective November 1,</w:t>
            </w:r>
            <w:r>
              <w:rPr>
                <w:spacing w:val="-3"/>
                <w:sz w:val="20"/>
              </w:rPr>
              <w:t> </w:t>
            </w:r>
            <w:r>
              <w:rPr>
                <w:sz w:val="20"/>
              </w:rPr>
              <w:t>2010.</w:t>
            </w:r>
          </w:p>
          <w:p>
            <w:pPr>
              <w:pStyle w:val="TableParagraph"/>
              <w:spacing w:before="79"/>
              <w:ind w:left="1029"/>
              <w:rPr>
                <w:sz w:val="20"/>
              </w:rPr>
            </w:pPr>
            <w:r>
              <w:rPr>
                <w:sz w:val="20"/>
              </w:rPr>
              <w:t>Melatonin tablet and solution </w:t>
            </w:r>
            <w:r>
              <w:rPr>
                <w:sz w:val="20"/>
                <w:u w:val="single"/>
              </w:rPr>
              <w:t>&lt;</w:t>
            </w:r>
            <w:r>
              <w:rPr>
                <w:sz w:val="20"/>
              </w:rPr>
              <w:t> 18 years</w:t>
            </w:r>
          </w:p>
          <w:p>
            <w:pPr>
              <w:pStyle w:val="TableParagraph"/>
              <w:numPr>
                <w:ilvl w:val="0"/>
                <w:numId w:val="4"/>
              </w:numPr>
              <w:tabs>
                <w:tab w:pos="846" w:val="left" w:leader="none"/>
                <w:tab w:pos="847" w:val="left" w:leader="none"/>
              </w:tabs>
              <w:spacing w:line="240" w:lineRule="auto" w:before="121" w:after="0"/>
              <w:ind w:left="842" w:right="947" w:hanging="360"/>
              <w:jc w:val="left"/>
              <w:rPr>
                <w:sz w:val="20"/>
              </w:rPr>
            </w:pPr>
            <w:r>
              <w:rPr>
                <w:sz w:val="20"/>
              </w:rPr>
              <w:t>The following quantity limits are effective November 15,</w:t>
            </w:r>
            <w:r>
              <w:rPr>
                <w:spacing w:val="-3"/>
                <w:sz w:val="20"/>
              </w:rPr>
              <w:t> </w:t>
            </w:r>
            <w:r>
              <w:rPr>
                <w:sz w:val="20"/>
              </w:rPr>
              <w:t>2010.</w:t>
            </w:r>
          </w:p>
          <w:p>
            <w:pPr>
              <w:pStyle w:val="TableParagraph"/>
              <w:spacing w:before="80"/>
              <w:ind w:left="1205" w:right="726" w:hanging="177"/>
              <w:rPr>
                <w:b/>
                <w:sz w:val="20"/>
              </w:rPr>
            </w:pPr>
            <w:r>
              <w:rPr>
                <w:sz w:val="20"/>
              </w:rPr>
              <w:t>Methylin 5mg/5mL (methylphenidate oral solution) </w:t>
            </w:r>
            <w:r>
              <w:rPr>
                <w:rFonts w:ascii="Times New Roman" w:hAnsi="Times New Roman"/>
                <w:color w:val="000080"/>
                <w:sz w:val="20"/>
              </w:rPr>
              <w:t>– </w:t>
            </w:r>
            <w:r>
              <w:rPr>
                <w:b/>
                <w:sz w:val="20"/>
              </w:rPr>
              <w:t>PA &gt; 900 mL/month</w:t>
            </w:r>
          </w:p>
          <w:p>
            <w:pPr>
              <w:pStyle w:val="TableParagraph"/>
              <w:spacing w:before="4"/>
              <w:rPr>
                <w:rFonts w:ascii="Arial Black"/>
                <w:b/>
                <w:sz w:val="14"/>
              </w:rPr>
            </w:pPr>
          </w:p>
          <w:p>
            <w:pPr>
              <w:pStyle w:val="TableParagraph"/>
              <w:numPr>
                <w:ilvl w:val="0"/>
                <w:numId w:val="5"/>
              </w:numPr>
              <w:tabs>
                <w:tab w:pos="397" w:val="left" w:leader="none"/>
              </w:tabs>
              <w:spacing w:line="240" w:lineRule="auto" w:before="0" w:after="0"/>
              <w:ind w:left="396" w:right="0" w:hanging="289"/>
              <w:jc w:val="left"/>
              <w:rPr>
                <w:b/>
                <w:sz w:val="20"/>
              </w:rPr>
            </w:pPr>
            <w:r>
              <w:rPr>
                <w:b/>
                <w:sz w:val="20"/>
              </w:rPr>
              <w:t>Corrections</w:t>
            </w:r>
          </w:p>
          <w:p>
            <w:pPr>
              <w:pStyle w:val="TableParagraph"/>
              <w:numPr>
                <w:ilvl w:val="1"/>
                <w:numId w:val="5"/>
              </w:numPr>
              <w:tabs>
                <w:tab w:pos="801" w:val="left" w:leader="none"/>
              </w:tabs>
              <w:spacing w:line="240" w:lineRule="auto" w:before="118" w:after="0"/>
              <w:ind w:left="827" w:right="188" w:hanging="360"/>
              <w:jc w:val="left"/>
              <w:rPr>
                <w:sz w:val="20"/>
              </w:rPr>
            </w:pPr>
            <w:r>
              <w:rPr>
                <w:sz w:val="20"/>
              </w:rPr>
              <w:t>The following prior authorization requirements have been clarified. These changes do not</w:t>
            </w:r>
            <w:r>
              <w:rPr>
                <w:spacing w:val="-12"/>
                <w:sz w:val="20"/>
              </w:rPr>
              <w:t> </w:t>
            </w:r>
            <w:r>
              <w:rPr>
                <w:sz w:val="20"/>
              </w:rPr>
              <w:t>reflect any changes in MassHealth</w:t>
            </w:r>
            <w:r>
              <w:rPr>
                <w:spacing w:val="-9"/>
                <w:sz w:val="20"/>
              </w:rPr>
              <w:t> </w:t>
            </w:r>
            <w:r>
              <w:rPr>
                <w:sz w:val="20"/>
              </w:rPr>
              <w:t>policy.</w:t>
            </w:r>
          </w:p>
          <w:p>
            <w:pPr>
              <w:pStyle w:val="TableParagraph"/>
              <w:spacing w:line="230" w:lineRule="exact" w:before="81"/>
              <w:ind w:left="1014"/>
              <w:rPr>
                <w:sz w:val="20"/>
              </w:rPr>
            </w:pPr>
            <w:r>
              <w:rPr>
                <w:sz w:val="20"/>
              </w:rPr>
              <w:t>Betopic # (betaxolol)</w:t>
            </w:r>
          </w:p>
          <w:p>
            <w:pPr>
              <w:pStyle w:val="TableParagraph"/>
              <w:ind w:left="1187" w:right="456" w:hanging="173"/>
              <w:rPr>
                <w:b/>
                <w:sz w:val="20"/>
              </w:rPr>
            </w:pPr>
            <w:r>
              <w:rPr>
                <w:sz w:val="20"/>
              </w:rPr>
              <w:t>Commit (nicotine) lozenge </w:t>
            </w:r>
            <w:r>
              <w:rPr>
                <w:b/>
                <w:sz w:val="20"/>
              </w:rPr>
              <w:t>– PA &gt; 180 days treatment/year</w:t>
            </w:r>
          </w:p>
          <w:p>
            <w:pPr>
              <w:pStyle w:val="TableParagraph"/>
              <w:spacing w:line="230" w:lineRule="exact"/>
              <w:ind w:left="1014"/>
              <w:rPr>
                <w:b/>
                <w:sz w:val="20"/>
              </w:rPr>
            </w:pPr>
            <w:r>
              <w:rPr>
                <w:sz w:val="20"/>
              </w:rPr>
              <w:t>nicotine gum </w:t>
            </w:r>
            <w:r>
              <w:rPr>
                <w:b/>
                <w:sz w:val="20"/>
              </w:rPr>
              <w:t>– PA &gt; 180 days treatment/year</w:t>
            </w:r>
          </w:p>
          <w:p>
            <w:pPr>
              <w:pStyle w:val="TableParagraph"/>
              <w:ind w:left="1187" w:right="1341" w:hanging="180"/>
              <w:rPr>
                <w:b/>
                <w:sz w:val="20"/>
              </w:rPr>
            </w:pPr>
            <w:r>
              <w:rPr>
                <w:sz w:val="20"/>
              </w:rPr>
              <w:t>nicotine lozenge </w:t>
            </w:r>
            <w:r>
              <w:rPr>
                <w:b/>
                <w:sz w:val="20"/>
              </w:rPr>
              <w:t>– PA &gt; 180 days treatment/year</w:t>
            </w:r>
          </w:p>
          <w:p>
            <w:pPr>
              <w:pStyle w:val="TableParagraph"/>
              <w:spacing w:before="1"/>
              <w:ind w:left="1187" w:right="390" w:hanging="173"/>
              <w:rPr>
                <w:b/>
                <w:sz w:val="20"/>
              </w:rPr>
            </w:pPr>
            <w:r>
              <w:rPr>
                <w:sz w:val="20"/>
              </w:rPr>
              <w:t>nicotine transdermal patch (generics) </w:t>
            </w:r>
            <w:r>
              <w:rPr>
                <w:b/>
                <w:sz w:val="20"/>
              </w:rPr>
              <w:t>– PA &gt; 180 days treatment/year</w:t>
            </w:r>
          </w:p>
          <w:p>
            <w:pPr>
              <w:pStyle w:val="TableParagraph"/>
              <w:spacing w:line="230" w:lineRule="exact"/>
              <w:ind w:left="1014"/>
              <w:rPr>
                <w:sz w:val="20"/>
              </w:rPr>
            </w:pPr>
            <w:r>
              <w:rPr>
                <w:sz w:val="20"/>
              </w:rPr>
              <w:t>propoxyphene/acetaminophen</w:t>
            </w:r>
          </w:p>
          <w:p>
            <w:pPr>
              <w:pStyle w:val="TableParagraph"/>
              <w:spacing w:before="40"/>
              <w:ind w:left="1187" w:right="214" w:hanging="180"/>
              <w:rPr>
                <w:b/>
                <w:sz w:val="20"/>
              </w:rPr>
            </w:pPr>
            <w:r>
              <w:rPr>
                <w:sz w:val="20"/>
              </w:rPr>
              <w:t>Relenza (zanamivir) </w:t>
            </w:r>
            <w:r>
              <w:rPr>
                <w:b/>
                <w:sz w:val="20"/>
              </w:rPr>
              <w:t>– PA all quantities (June 1</w:t>
            </w:r>
            <w:r>
              <w:rPr>
                <w:b/>
                <w:sz w:val="20"/>
                <w:vertAlign w:val="superscript"/>
              </w:rPr>
              <w:t>st</w:t>
            </w:r>
            <w:r>
              <w:rPr>
                <w:b/>
                <w:sz w:val="20"/>
                <w:vertAlign w:val="baseline"/>
              </w:rPr>
              <w:t> to September 30</w:t>
            </w:r>
            <w:r>
              <w:rPr>
                <w:b/>
                <w:sz w:val="20"/>
                <w:vertAlign w:val="superscript"/>
              </w:rPr>
              <w:t>th</w:t>
            </w:r>
            <w:r>
              <w:rPr>
                <w:b/>
                <w:sz w:val="20"/>
                <w:vertAlign w:val="baseline"/>
              </w:rPr>
              <w:t>); PA &lt; 5 years and &gt; 20 inhalations/month or 40 inhalations/season (October 1</w:t>
            </w:r>
            <w:r>
              <w:rPr>
                <w:b/>
                <w:sz w:val="20"/>
                <w:vertAlign w:val="superscript"/>
              </w:rPr>
              <w:t>st</w:t>
            </w:r>
            <w:r>
              <w:rPr>
                <w:b/>
                <w:sz w:val="20"/>
                <w:vertAlign w:val="baseline"/>
              </w:rPr>
              <w:t> to May 31</w:t>
            </w:r>
            <w:r>
              <w:rPr>
                <w:b/>
                <w:sz w:val="20"/>
                <w:vertAlign w:val="superscript"/>
              </w:rPr>
              <w:t>st</w:t>
            </w:r>
            <w:r>
              <w:rPr>
                <w:b/>
                <w:sz w:val="20"/>
                <w:vertAlign w:val="baseline"/>
              </w:rPr>
              <w:t>)</w:t>
            </w:r>
          </w:p>
        </w:tc>
        <w:tc>
          <w:tcPr>
            <w:tcW w:w="5357" w:type="dxa"/>
            <w:tcBorders>
              <w:top w:val="single" w:sz="8" w:space="0" w:color="000000"/>
              <w:left w:val="single" w:sz="4" w:space="0" w:color="000000"/>
              <w:bottom w:val="single" w:sz="6" w:space="0" w:color="000000"/>
            </w:tcBorders>
          </w:tcPr>
          <w:p>
            <w:pPr>
              <w:pStyle w:val="TableParagraph"/>
              <w:numPr>
                <w:ilvl w:val="0"/>
                <w:numId w:val="6"/>
              </w:numPr>
              <w:tabs>
                <w:tab w:pos="824" w:val="left" w:leader="none"/>
              </w:tabs>
              <w:spacing w:line="240" w:lineRule="auto" w:before="118" w:after="0"/>
              <w:ind w:left="830" w:right="235" w:hanging="359"/>
              <w:jc w:val="left"/>
              <w:rPr>
                <w:sz w:val="20"/>
              </w:rPr>
            </w:pPr>
            <w:r>
              <w:rPr>
                <w:sz w:val="20"/>
              </w:rPr>
              <w:t>The PA requirements for the following drug have been clarified on the OTC drug list. This change does not reflect any changes in MassHealth policy.</w:t>
            </w:r>
          </w:p>
          <w:p>
            <w:pPr>
              <w:pStyle w:val="TableParagraph"/>
              <w:spacing w:before="120"/>
              <w:ind w:left="970"/>
              <w:rPr>
                <w:sz w:val="20"/>
              </w:rPr>
            </w:pPr>
            <w:r>
              <w:rPr>
                <w:sz w:val="20"/>
              </w:rPr>
              <w:t>Coenzyme Q10 &lt; 18 years</w:t>
            </w:r>
          </w:p>
          <w:p>
            <w:pPr>
              <w:pStyle w:val="TableParagraph"/>
              <w:numPr>
                <w:ilvl w:val="0"/>
                <w:numId w:val="6"/>
              </w:numPr>
              <w:tabs>
                <w:tab w:pos="822" w:val="left" w:leader="none"/>
                <w:tab w:pos="823" w:val="left" w:leader="none"/>
              </w:tabs>
              <w:spacing w:line="240" w:lineRule="auto" w:before="119" w:after="0"/>
              <w:ind w:left="822" w:right="116" w:hanging="360"/>
              <w:jc w:val="left"/>
              <w:rPr>
                <w:sz w:val="20"/>
              </w:rPr>
            </w:pPr>
            <w:r>
              <w:rPr>
                <w:sz w:val="20"/>
              </w:rPr>
              <w:t>The following drugs have been added to the MassHealth Drug List. They were omitted in</w:t>
            </w:r>
            <w:r>
              <w:rPr>
                <w:spacing w:val="-36"/>
                <w:sz w:val="20"/>
              </w:rPr>
              <w:t> </w:t>
            </w:r>
            <w:r>
              <w:rPr>
                <w:sz w:val="20"/>
              </w:rPr>
              <w:t>error. These changes do not reflect any changes in MassHealth</w:t>
            </w:r>
            <w:r>
              <w:rPr>
                <w:spacing w:val="-2"/>
                <w:sz w:val="20"/>
              </w:rPr>
              <w:t> </w:t>
            </w:r>
            <w:r>
              <w:rPr>
                <w:sz w:val="20"/>
              </w:rPr>
              <w:t>policy.</w:t>
            </w:r>
          </w:p>
          <w:p>
            <w:pPr>
              <w:pStyle w:val="TableParagraph"/>
              <w:spacing w:before="121"/>
              <w:ind w:left="1010"/>
              <w:rPr>
                <w:b/>
                <w:sz w:val="20"/>
              </w:rPr>
            </w:pPr>
            <w:r>
              <w:rPr>
                <w:sz w:val="20"/>
              </w:rPr>
              <w:t>Adoxa Kit (doxycycline) </w:t>
            </w:r>
            <w:r>
              <w:rPr>
                <w:b/>
                <w:sz w:val="20"/>
              </w:rPr>
              <w:t>– PA</w:t>
            </w:r>
          </w:p>
          <w:p>
            <w:pPr>
              <w:pStyle w:val="TableParagraph"/>
              <w:spacing w:line="230" w:lineRule="exact"/>
              <w:ind w:left="1002"/>
              <w:rPr>
                <w:sz w:val="20"/>
              </w:rPr>
            </w:pPr>
            <w:r>
              <w:rPr>
                <w:sz w:val="20"/>
              </w:rPr>
              <w:t>Angiomax (bivalirudin)</w:t>
            </w:r>
          </w:p>
          <w:p>
            <w:pPr>
              <w:pStyle w:val="TableParagraph"/>
              <w:ind w:left="1002" w:right="1017"/>
              <w:rPr>
                <w:sz w:val="20"/>
              </w:rPr>
            </w:pPr>
            <w:r>
              <w:rPr>
                <w:sz w:val="20"/>
              </w:rPr>
              <w:t>Climara Pro (estradiol/levonorgestrel) fluoxetine solution</w:t>
            </w:r>
          </w:p>
          <w:p>
            <w:pPr>
              <w:pStyle w:val="TableParagraph"/>
              <w:spacing w:line="230" w:lineRule="exact"/>
              <w:ind w:left="1002"/>
              <w:rPr>
                <w:sz w:val="20"/>
              </w:rPr>
            </w:pPr>
            <w:r>
              <w:rPr>
                <w:sz w:val="20"/>
              </w:rPr>
              <w:t>Innohep (tinzaparin)</w:t>
            </w:r>
          </w:p>
          <w:p>
            <w:pPr>
              <w:pStyle w:val="TableParagraph"/>
              <w:spacing w:before="1"/>
              <w:ind w:left="1002" w:right="1517"/>
              <w:rPr>
                <w:sz w:val="20"/>
              </w:rPr>
            </w:pPr>
            <w:r>
              <w:rPr>
                <w:sz w:val="20"/>
              </w:rPr>
              <w:t>Isopto-Carbachol (carbachol) Lumizyme (alglucosidase) </w:t>
            </w:r>
            <w:r>
              <w:rPr>
                <w:b/>
                <w:sz w:val="20"/>
              </w:rPr>
              <w:t>– PA </w:t>
            </w:r>
            <w:r>
              <w:rPr>
                <w:sz w:val="20"/>
              </w:rPr>
              <w:t>Miochol (acetylcholine chloride) Miostat (carbachol)</w:t>
            </w:r>
          </w:p>
          <w:p>
            <w:pPr>
              <w:pStyle w:val="TableParagraph"/>
              <w:ind w:left="1011" w:right="1542" w:hanging="9"/>
              <w:rPr>
                <w:b/>
                <w:sz w:val="20"/>
              </w:rPr>
            </w:pPr>
            <w:r>
              <w:rPr>
                <w:sz w:val="20"/>
              </w:rPr>
              <w:t>Norvir (ritonavir) solution Rowasa Kit (mesalamine) </w:t>
            </w:r>
            <w:r>
              <w:rPr>
                <w:b/>
                <w:sz w:val="20"/>
              </w:rPr>
              <w:t>– PA</w:t>
            </w:r>
          </w:p>
        </w:tc>
        <w:tc>
          <w:tcPr>
            <w:tcW w:w="160" w:type="dxa"/>
            <w:tcBorders>
              <w:bottom w:val="single" w:sz="6" w:space="0" w:color="000000"/>
            </w:tcBorders>
          </w:tcPr>
          <w:p>
            <w:pPr>
              <w:pStyle w:val="TableParagraph"/>
              <w:rPr>
                <w:rFonts w:ascii="Times New Roman"/>
                <w:sz w:val="20"/>
              </w:rPr>
            </w:pPr>
          </w:p>
        </w:tc>
      </w:tr>
    </w:tbl>
    <w:p>
      <w:pPr>
        <w:pStyle w:val="BodyText"/>
        <w:spacing w:line="20" w:lineRule="exact"/>
        <w:ind w:left="100"/>
        <w:rPr>
          <w:rFonts w:ascii="Arial Black"/>
          <w:sz w:val="2"/>
        </w:rPr>
      </w:pPr>
      <w:r>
        <w:rPr>
          <w:rFonts w:ascii="Arial Black"/>
          <w:sz w:val="2"/>
        </w:rPr>
        <w:pict>
          <v:group style="width:549pt;height:.7pt;mso-position-horizontal-relative:char;mso-position-vertical-relative:line" coordorigin="0,0" coordsize="10980,14">
            <v:line style="position:absolute" from="0,7" to="10980,7" stroked="true" strokeweight=".66pt" strokecolor="#000000">
              <v:stroke dashstyle="solid"/>
            </v:line>
          </v:group>
        </w:pict>
      </w:r>
      <w:r>
        <w:rPr>
          <w:rFonts w:ascii="Arial Black"/>
          <w:sz w:val="2"/>
        </w:rPr>
      </w:r>
    </w:p>
    <w:p>
      <w:pPr>
        <w:pStyle w:val="BodyText"/>
        <w:spacing w:line="241" w:lineRule="exact" w:before="118"/>
        <w:ind w:left="1864" w:right="1417"/>
        <w:jc w:val="center"/>
      </w:pPr>
      <w:r>
        <w:rPr/>
        <w:t>Please direct any questions or comments (or to be taken off of this fax distribution) to</w:t>
      </w:r>
    </w:p>
    <w:p>
      <w:pPr>
        <w:spacing w:line="296" w:lineRule="exact" w:before="0"/>
        <w:ind w:left="1862" w:right="1417" w:firstLine="0"/>
        <w:jc w:val="center"/>
        <w:rPr>
          <w:sz w:val="21"/>
        </w:rPr>
      </w:pPr>
      <w:r>
        <w:rPr>
          <w:rFonts w:ascii="Arial Black"/>
          <w:b/>
          <w:sz w:val="21"/>
        </w:rPr>
        <w:t>Victor Moquin </w:t>
      </w:r>
      <w:r>
        <w:rPr>
          <w:sz w:val="21"/>
        </w:rPr>
        <w:t>of ACS at 617-423-9830.</w:t>
      </w:r>
    </w:p>
    <w:sectPr>
      <w:pgSz w:w="12240" w:h="15840"/>
      <w:pgMar w:top="180" w:bottom="280" w:left="62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Black">
    <w:altName w:val="Arial Black"/>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2"/>
      <w:numFmt w:val="lowerLetter"/>
      <w:lvlText w:val="%1."/>
      <w:lvlJc w:val="left"/>
      <w:pPr>
        <w:ind w:left="830" w:hanging="353"/>
        <w:jc w:val="left"/>
      </w:pPr>
      <w:rPr>
        <w:rFonts w:hint="default" w:ascii="Arial" w:hAnsi="Arial" w:eastAsia="Arial" w:cs="Arial"/>
        <w:w w:val="100"/>
        <w:sz w:val="20"/>
        <w:szCs w:val="20"/>
      </w:rPr>
    </w:lvl>
    <w:lvl w:ilvl="1">
      <w:start w:val="0"/>
      <w:numFmt w:val="bullet"/>
      <w:lvlText w:val="•"/>
      <w:lvlJc w:val="left"/>
      <w:pPr>
        <w:ind w:left="1291" w:hanging="353"/>
      </w:pPr>
      <w:rPr>
        <w:rFonts w:hint="default"/>
      </w:rPr>
    </w:lvl>
    <w:lvl w:ilvl="2">
      <w:start w:val="0"/>
      <w:numFmt w:val="bullet"/>
      <w:lvlText w:val="•"/>
      <w:lvlJc w:val="left"/>
      <w:pPr>
        <w:ind w:left="1742" w:hanging="353"/>
      </w:pPr>
      <w:rPr>
        <w:rFonts w:hint="default"/>
      </w:rPr>
    </w:lvl>
    <w:lvl w:ilvl="3">
      <w:start w:val="0"/>
      <w:numFmt w:val="bullet"/>
      <w:lvlText w:val="•"/>
      <w:lvlJc w:val="left"/>
      <w:pPr>
        <w:ind w:left="2193" w:hanging="353"/>
      </w:pPr>
      <w:rPr>
        <w:rFonts w:hint="default"/>
      </w:rPr>
    </w:lvl>
    <w:lvl w:ilvl="4">
      <w:start w:val="0"/>
      <w:numFmt w:val="bullet"/>
      <w:lvlText w:val="•"/>
      <w:lvlJc w:val="left"/>
      <w:pPr>
        <w:ind w:left="2644" w:hanging="353"/>
      </w:pPr>
      <w:rPr>
        <w:rFonts w:hint="default"/>
      </w:rPr>
    </w:lvl>
    <w:lvl w:ilvl="5">
      <w:start w:val="0"/>
      <w:numFmt w:val="bullet"/>
      <w:lvlText w:val="•"/>
      <w:lvlJc w:val="left"/>
      <w:pPr>
        <w:ind w:left="3096" w:hanging="353"/>
      </w:pPr>
      <w:rPr>
        <w:rFonts w:hint="default"/>
      </w:rPr>
    </w:lvl>
    <w:lvl w:ilvl="6">
      <w:start w:val="0"/>
      <w:numFmt w:val="bullet"/>
      <w:lvlText w:val="•"/>
      <w:lvlJc w:val="left"/>
      <w:pPr>
        <w:ind w:left="3547" w:hanging="353"/>
      </w:pPr>
      <w:rPr>
        <w:rFonts w:hint="default"/>
      </w:rPr>
    </w:lvl>
    <w:lvl w:ilvl="7">
      <w:start w:val="0"/>
      <w:numFmt w:val="bullet"/>
      <w:lvlText w:val="•"/>
      <w:lvlJc w:val="left"/>
      <w:pPr>
        <w:ind w:left="3998" w:hanging="353"/>
      </w:pPr>
      <w:rPr>
        <w:rFonts w:hint="default"/>
      </w:rPr>
    </w:lvl>
    <w:lvl w:ilvl="8">
      <w:start w:val="0"/>
      <w:numFmt w:val="bullet"/>
      <w:lvlText w:val="•"/>
      <w:lvlJc w:val="left"/>
      <w:pPr>
        <w:ind w:left="4449" w:hanging="353"/>
      </w:pPr>
      <w:rPr>
        <w:rFonts w:hint="default"/>
      </w:rPr>
    </w:lvl>
  </w:abstractNum>
  <w:abstractNum w:abstractNumId="4">
    <w:multiLevelType w:val="hybridMultilevel"/>
    <w:lvl w:ilvl="0">
      <w:start w:val="3"/>
      <w:numFmt w:val="decimal"/>
      <w:lvlText w:val="%1."/>
      <w:lvlJc w:val="left"/>
      <w:pPr>
        <w:ind w:left="396" w:hanging="289"/>
        <w:jc w:val="left"/>
      </w:pPr>
      <w:rPr>
        <w:rFonts w:hint="default" w:ascii="Arial" w:hAnsi="Arial" w:eastAsia="Arial" w:cs="Arial"/>
        <w:b/>
        <w:bCs/>
        <w:w w:val="100"/>
        <w:sz w:val="20"/>
        <w:szCs w:val="20"/>
      </w:rPr>
    </w:lvl>
    <w:lvl w:ilvl="1">
      <w:start w:val="1"/>
      <w:numFmt w:val="lowerLetter"/>
      <w:lvlText w:val="%2."/>
      <w:lvlJc w:val="left"/>
      <w:pPr>
        <w:ind w:left="827" w:hanging="333"/>
        <w:jc w:val="left"/>
      </w:pPr>
      <w:rPr>
        <w:rFonts w:hint="default" w:ascii="Arial" w:hAnsi="Arial" w:eastAsia="Arial" w:cs="Arial"/>
        <w:w w:val="100"/>
        <w:sz w:val="20"/>
        <w:szCs w:val="20"/>
      </w:rPr>
    </w:lvl>
    <w:lvl w:ilvl="2">
      <w:start w:val="0"/>
      <w:numFmt w:val="bullet"/>
      <w:lvlText w:val="•"/>
      <w:lvlJc w:val="left"/>
      <w:pPr>
        <w:ind w:left="1327" w:hanging="333"/>
      </w:pPr>
      <w:rPr>
        <w:rFonts w:hint="default"/>
      </w:rPr>
    </w:lvl>
    <w:lvl w:ilvl="3">
      <w:start w:val="0"/>
      <w:numFmt w:val="bullet"/>
      <w:lvlText w:val="•"/>
      <w:lvlJc w:val="left"/>
      <w:pPr>
        <w:ind w:left="1834" w:hanging="333"/>
      </w:pPr>
      <w:rPr>
        <w:rFonts w:hint="default"/>
      </w:rPr>
    </w:lvl>
    <w:lvl w:ilvl="4">
      <w:start w:val="0"/>
      <w:numFmt w:val="bullet"/>
      <w:lvlText w:val="•"/>
      <w:lvlJc w:val="left"/>
      <w:pPr>
        <w:ind w:left="2342" w:hanging="333"/>
      </w:pPr>
      <w:rPr>
        <w:rFonts w:hint="default"/>
      </w:rPr>
    </w:lvl>
    <w:lvl w:ilvl="5">
      <w:start w:val="0"/>
      <w:numFmt w:val="bullet"/>
      <w:lvlText w:val="•"/>
      <w:lvlJc w:val="left"/>
      <w:pPr>
        <w:ind w:left="2849" w:hanging="333"/>
      </w:pPr>
      <w:rPr>
        <w:rFonts w:hint="default"/>
      </w:rPr>
    </w:lvl>
    <w:lvl w:ilvl="6">
      <w:start w:val="0"/>
      <w:numFmt w:val="bullet"/>
      <w:lvlText w:val="•"/>
      <w:lvlJc w:val="left"/>
      <w:pPr>
        <w:ind w:left="3357" w:hanging="333"/>
      </w:pPr>
      <w:rPr>
        <w:rFonts w:hint="default"/>
      </w:rPr>
    </w:lvl>
    <w:lvl w:ilvl="7">
      <w:start w:val="0"/>
      <w:numFmt w:val="bullet"/>
      <w:lvlText w:val="•"/>
      <w:lvlJc w:val="left"/>
      <w:pPr>
        <w:ind w:left="3864" w:hanging="333"/>
      </w:pPr>
      <w:rPr>
        <w:rFonts w:hint="default"/>
      </w:rPr>
    </w:lvl>
    <w:lvl w:ilvl="8">
      <w:start w:val="0"/>
      <w:numFmt w:val="bullet"/>
      <w:lvlText w:val="•"/>
      <w:lvlJc w:val="left"/>
      <w:pPr>
        <w:ind w:left="4372" w:hanging="333"/>
      </w:pPr>
      <w:rPr>
        <w:rFonts w:hint="default"/>
      </w:rPr>
    </w:lvl>
  </w:abstractNum>
  <w:abstractNum w:abstractNumId="3">
    <w:multiLevelType w:val="hybridMultilevel"/>
    <w:lvl w:ilvl="0">
      <w:start w:val="10"/>
      <w:numFmt w:val="lowerLetter"/>
      <w:lvlText w:val="%1."/>
      <w:lvlJc w:val="left"/>
      <w:pPr>
        <w:ind w:left="842" w:hanging="347"/>
        <w:jc w:val="left"/>
      </w:pPr>
      <w:rPr>
        <w:rFonts w:hint="default" w:ascii="Arial" w:hAnsi="Arial" w:eastAsia="Arial" w:cs="Arial"/>
        <w:w w:val="100"/>
        <w:sz w:val="20"/>
        <w:szCs w:val="20"/>
      </w:rPr>
    </w:lvl>
    <w:lvl w:ilvl="1">
      <w:start w:val="0"/>
      <w:numFmt w:val="bullet"/>
      <w:lvlText w:val="•"/>
      <w:lvlJc w:val="left"/>
      <w:pPr>
        <w:ind w:left="1294" w:hanging="347"/>
      </w:pPr>
      <w:rPr>
        <w:rFonts w:hint="default"/>
      </w:rPr>
    </w:lvl>
    <w:lvl w:ilvl="2">
      <w:start w:val="0"/>
      <w:numFmt w:val="bullet"/>
      <w:lvlText w:val="•"/>
      <w:lvlJc w:val="left"/>
      <w:pPr>
        <w:ind w:left="1749" w:hanging="347"/>
      </w:pPr>
      <w:rPr>
        <w:rFonts w:hint="default"/>
      </w:rPr>
    </w:lvl>
    <w:lvl w:ilvl="3">
      <w:start w:val="0"/>
      <w:numFmt w:val="bullet"/>
      <w:lvlText w:val="•"/>
      <w:lvlJc w:val="left"/>
      <w:pPr>
        <w:ind w:left="2204" w:hanging="347"/>
      </w:pPr>
      <w:rPr>
        <w:rFonts w:hint="default"/>
      </w:rPr>
    </w:lvl>
    <w:lvl w:ilvl="4">
      <w:start w:val="0"/>
      <w:numFmt w:val="bullet"/>
      <w:lvlText w:val="•"/>
      <w:lvlJc w:val="left"/>
      <w:pPr>
        <w:ind w:left="2658" w:hanging="347"/>
      </w:pPr>
      <w:rPr>
        <w:rFonts w:hint="default"/>
      </w:rPr>
    </w:lvl>
    <w:lvl w:ilvl="5">
      <w:start w:val="0"/>
      <w:numFmt w:val="bullet"/>
      <w:lvlText w:val="•"/>
      <w:lvlJc w:val="left"/>
      <w:pPr>
        <w:ind w:left="3113" w:hanging="347"/>
      </w:pPr>
      <w:rPr>
        <w:rFonts w:hint="default"/>
      </w:rPr>
    </w:lvl>
    <w:lvl w:ilvl="6">
      <w:start w:val="0"/>
      <w:numFmt w:val="bullet"/>
      <w:lvlText w:val="•"/>
      <w:lvlJc w:val="left"/>
      <w:pPr>
        <w:ind w:left="3568" w:hanging="347"/>
      </w:pPr>
      <w:rPr>
        <w:rFonts w:hint="default"/>
      </w:rPr>
    </w:lvl>
    <w:lvl w:ilvl="7">
      <w:start w:val="0"/>
      <w:numFmt w:val="bullet"/>
      <w:lvlText w:val="•"/>
      <w:lvlJc w:val="left"/>
      <w:pPr>
        <w:ind w:left="4022" w:hanging="347"/>
      </w:pPr>
      <w:rPr>
        <w:rFonts w:hint="default"/>
      </w:rPr>
    </w:lvl>
    <w:lvl w:ilvl="8">
      <w:start w:val="0"/>
      <w:numFmt w:val="bullet"/>
      <w:lvlText w:val="•"/>
      <w:lvlJc w:val="left"/>
      <w:pPr>
        <w:ind w:left="4477" w:hanging="347"/>
      </w:pPr>
      <w:rPr>
        <w:rFonts w:hint="default"/>
      </w:rPr>
    </w:lvl>
  </w:abstractNum>
  <w:abstractNum w:abstractNumId="2">
    <w:multiLevelType w:val="hybridMultilevel"/>
    <w:lvl w:ilvl="0">
      <w:start w:val="2"/>
      <w:numFmt w:val="lowerLetter"/>
      <w:lvlText w:val="%1."/>
      <w:lvlJc w:val="left"/>
      <w:pPr>
        <w:ind w:left="838" w:hanging="347"/>
        <w:jc w:val="left"/>
      </w:pPr>
      <w:rPr>
        <w:rFonts w:hint="default" w:ascii="Arial" w:hAnsi="Arial" w:eastAsia="Arial" w:cs="Arial"/>
        <w:w w:val="100"/>
        <w:sz w:val="20"/>
        <w:szCs w:val="20"/>
      </w:rPr>
    </w:lvl>
    <w:lvl w:ilvl="1">
      <w:start w:val="0"/>
      <w:numFmt w:val="bullet"/>
      <w:lvlText w:val="•"/>
      <w:lvlJc w:val="left"/>
      <w:pPr>
        <w:ind w:left="1285" w:hanging="347"/>
      </w:pPr>
      <w:rPr>
        <w:rFonts w:hint="default"/>
      </w:rPr>
    </w:lvl>
    <w:lvl w:ilvl="2">
      <w:start w:val="0"/>
      <w:numFmt w:val="bullet"/>
      <w:lvlText w:val="•"/>
      <w:lvlJc w:val="left"/>
      <w:pPr>
        <w:ind w:left="1731" w:hanging="347"/>
      </w:pPr>
      <w:rPr>
        <w:rFonts w:hint="default"/>
      </w:rPr>
    </w:lvl>
    <w:lvl w:ilvl="3">
      <w:start w:val="0"/>
      <w:numFmt w:val="bullet"/>
      <w:lvlText w:val="•"/>
      <w:lvlJc w:val="left"/>
      <w:pPr>
        <w:ind w:left="2177" w:hanging="347"/>
      </w:pPr>
      <w:rPr>
        <w:rFonts w:hint="default"/>
      </w:rPr>
    </w:lvl>
    <w:lvl w:ilvl="4">
      <w:start w:val="0"/>
      <w:numFmt w:val="bullet"/>
      <w:lvlText w:val="•"/>
      <w:lvlJc w:val="left"/>
      <w:pPr>
        <w:ind w:left="2623" w:hanging="347"/>
      </w:pPr>
      <w:rPr>
        <w:rFonts w:hint="default"/>
      </w:rPr>
    </w:lvl>
    <w:lvl w:ilvl="5">
      <w:start w:val="0"/>
      <w:numFmt w:val="bullet"/>
      <w:lvlText w:val="•"/>
      <w:lvlJc w:val="left"/>
      <w:pPr>
        <w:ind w:left="3069" w:hanging="347"/>
      </w:pPr>
      <w:rPr>
        <w:rFonts w:hint="default"/>
      </w:rPr>
    </w:lvl>
    <w:lvl w:ilvl="6">
      <w:start w:val="0"/>
      <w:numFmt w:val="bullet"/>
      <w:lvlText w:val="•"/>
      <w:lvlJc w:val="left"/>
      <w:pPr>
        <w:ind w:left="3514" w:hanging="347"/>
      </w:pPr>
      <w:rPr>
        <w:rFonts w:hint="default"/>
      </w:rPr>
    </w:lvl>
    <w:lvl w:ilvl="7">
      <w:start w:val="0"/>
      <w:numFmt w:val="bullet"/>
      <w:lvlText w:val="•"/>
      <w:lvlJc w:val="left"/>
      <w:pPr>
        <w:ind w:left="3960" w:hanging="347"/>
      </w:pPr>
      <w:rPr>
        <w:rFonts w:hint="default"/>
      </w:rPr>
    </w:lvl>
    <w:lvl w:ilvl="8">
      <w:start w:val="0"/>
      <w:numFmt w:val="bullet"/>
      <w:lvlText w:val="•"/>
      <w:lvlJc w:val="left"/>
      <w:pPr>
        <w:ind w:left="4406" w:hanging="347"/>
      </w:pPr>
      <w:rPr>
        <w:rFonts w:hint="default"/>
      </w:rPr>
    </w:lvl>
  </w:abstractNum>
  <w:abstractNum w:abstractNumId="1">
    <w:multiLevelType w:val="hybridMultilevel"/>
    <w:lvl w:ilvl="0">
      <w:start w:val="1"/>
      <w:numFmt w:val="decimal"/>
      <w:lvlText w:val="%1."/>
      <w:lvlJc w:val="left"/>
      <w:pPr>
        <w:ind w:left="385" w:hanging="278"/>
        <w:jc w:val="left"/>
      </w:pPr>
      <w:rPr>
        <w:rFonts w:hint="default" w:ascii="Arial" w:hAnsi="Arial" w:eastAsia="Arial" w:cs="Arial"/>
        <w:b/>
        <w:bCs/>
        <w:spacing w:val="-1"/>
        <w:w w:val="100"/>
        <w:sz w:val="20"/>
        <w:szCs w:val="20"/>
      </w:rPr>
    </w:lvl>
    <w:lvl w:ilvl="1">
      <w:start w:val="1"/>
      <w:numFmt w:val="lowerLetter"/>
      <w:lvlText w:val="%2."/>
      <w:lvlJc w:val="left"/>
      <w:pPr>
        <w:ind w:left="843" w:hanging="278"/>
        <w:jc w:val="left"/>
      </w:pPr>
      <w:rPr>
        <w:rFonts w:hint="default" w:ascii="Arial" w:hAnsi="Arial" w:eastAsia="Arial" w:cs="Arial"/>
        <w:w w:val="100"/>
        <w:sz w:val="20"/>
        <w:szCs w:val="20"/>
      </w:rPr>
    </w:lvl>
    <w:lvl w:ilvl="2">
      <w:start w:val="0"/>
      <w:numFmt w:val="bullet"/>
      <w:lvlText w:val="•"/>
      <w:lvlJc w:val="left"/>
      <w:pPr>
        <w:ind w:left="1336" w:hanging="278"/>
      </w:pPr>
      <w:rPr>
        <w:rFonts w:hint="default"/>
      </w:rPr>
    </w:lvl>
    <w:lvl w:ilvl="3">
      <w:start w:val="0"/>
      <w:numFmt w:val="bullet"/>
      <w:lvlText w:val="•"/>
      <w:lvlJc w:val="left"/>
      <w:pPr>
        <w:ind w:left="1832" w:hanging="278"/>
      </w:pPr>
      <w:rPr>
        <w:rFonts w:hint="default"/>
      </w:rPr>
    </w:lvl>
    <w:lvl w:ilvl="4">
      <w:start w:val="0"/>
      <w:numFmt w:val="bullet"/>
      <w:lvlText w:val="•"/>
      <w:lvlJc w:val="left"/>
      <w:pPr>
        <w:ind w:left="2328" w:hanging="278"/>
      </w:pPr>
      <w:rPr>
        <w:rFonts w:hint="default"/>
      </w:rPr>
    </w:lvl>
    <w:lvl w:ilvl="5">
      <w:start w:val="0"/>
      <w:numFmt w:val="bullet"/>
      <w:lvlText w:val="•"/>
      <w:lvlJc w:val="left"/>
      <w:pPr>
        <w:ind w:left="2824" w:hanging="278"/>
      </w:pPr>
      <w:rPr>
        <w:rFonts w:hint="default"/>
      </w:rPr>
    </w:lvl>
    <w:lvl w:ilvl="6">
      <w:start w:val="0"/>
      <w:numFmt w:val="bullet"/>
      <w:lvlText w:val="•"/>
      <w:lvlJc w:val="left"/>
      <w:pPr>
        <w:ind w:left="3320" w:hanging="278"/>
      </w:pPr>
      <w:rPr>
        <w:rFonts w:hint="default"/>
      </w:rPr>
    </w:lvl>
    <w:lvl w:ilvl="7">
      <w:start w:val="0"/>
      <w:numFmt w:val="bullet"/>
      <w:lvlText w:val="•"/>
      <w:lvlJc w:val="left"/>
      <w:pPr>
        <w:ind w:left="3816" w:hanging="278"/>
      </w:pPr>
      <w:rPr>
        <w:rFonts w:hint="default"/>
      </w:rPr>
    </w:lvl>
    <w:lvl w:ilvl="8">
      <w:start w:val="0"/>
      <w:numFmt w:val="bullet"/>
      <w:lvlText w:val="•"/>
      <w:lvlJc w:val="left"/>
      <w:pPr>
        <w:ind w:left="4312" w:hanging="278"/>
      </w:pPr>
      <w:rPr>
        <w:rFonts w:hint="default"/>
      </w:rPr>
    </w:lvl>
  </w:abstractNum>
  <w:abstractNum w:abstractNumId="0">
    <w:multiLevelType w:val="hybridMultilevel"/>
    <w:lvl w:ilvl="0">
      <w:start w:val="0"/>
      <w:numFmt w:val="bullet"/>
      <w:lvlText w:val="•"/>
      <w:lvlJc w:val="left"/>
      <w:pPr>
        <w:ind w:left="1835" w:hanging="150"/>
      </w:pPr>
      <w:rPr>
        <w:rFonts w:hint="default" w:ascii="Arial Black" w:hAnsi="Arial Black" w:eastAsia="Arial Black" w:cs="Arial Black"/>
        <w:b/>
        <w:bCs/>
        <w:w w:val="100"/>
        <w:sz w:val="18"/>
        <w:szCs w:val="18"/>
      </w:rPr>
    </w:lvl>
    <w:lvl w:ilvl="1">
      <w:start w:val="0"/>
      <w:numFmt w:val="bullet"/>
      <w:lvlText w:val="•"/>
      <w:lvlJc w:val="left"/>
      <w:pPr>
        <w:ind w:left="2717" w:hanging="150"/>
      </w:pPr>
      <w:rPr>
        <w:rFonts w:hint="default"/>
      </w:rPr>
    </w:lvl>
    <w:lvl w:ilvl="2">
      <w:start w:val="0"/>
      <w:numFmt w:val="bullet"/>
      <w:lvlText w:val="•"/>
      <w:lvlJc w:val="left"/>
      <w:pPr>
        <w:ind w:left="3594" w:hanging="150"/>
      </w:pPr>
      <w:rPr>
        <w:rFonts w:hint="default"/>
      </w:rPr>
    </w:lvl>
    <w:lvl w:ilvl="3">
      <w:start w:val="0"/>
      <w:numFmt w:val="bullet"/>
      <w:lvlText w:val="•"/>
      <w:lvlJc w:val="left"/>
      <w:pPr>
        <w:ind w:left="4471" w:hanging="150"/>
      </w:pPr>
      <w:rPr>
        <w:rFonts w:hint="default"/>
      </w:rPr>
    </w:lvl>
    <w:lvl w:ilvl="4">
      <w:start w:val="0"/>
      <w:numFmt w:val="bullet"/>
      <w:lvlText w:val="•"/>
      <w:lvlJc w:val="left"/>
      <w:pPr>
        <w:ind w:left="5349" w:hanging="150"/>
      </w:pPr>
      <w:rPr>
        <w:rFonts w:hint="default"/>
      </w:rPr>
    </w:lvl>
    <w:lvl w:ilvl="5">
      <w:start w:val="0"/>
      <w:numFmt w:val="bullet"/>
      <w:lvlText w:val="•"/>
      <w:lvlJc w:val="left"/>
      <w:pPr>
        <w:ind w:left="6226" w:hanging="150"/>
      </w:pPr>
      <w:rPr>
        <w:rFonts w:hint="default"/>
      </w:rPr>
    </w:lvl>
    <w:lvl w:ilvl="6">
      <w:start w:val="0"/>
      <w:numFmt w:val="bullet"/>
      <w:lvlText w:val="•"/>
      <w:lvlJc w:val="left"/>
      <w:pPr>
        <w:ind w:left="7103" w:hanging="150"/>
      </w:pPr>
      <w:rPr>
        <w:rFonts w:hint="default"/>
      </w:rPr>
    </w:lvl>
    <w:lvl w:ilvl="7">
      <w:start w:val="0"/>
      <w:numFmt w:val="bullet"/>
      <w:lvlText w:val="•"/>
      <w:lvlJc w:val="left"/>
      <w:pPr>
        <w:ind w:left="7981" w:hanging="150"/>
      </w:pPr>
      <w:rPr>
        <w:rFonts w:hint="default"/>
      </w:rPr>
    </w:lvl>
    <w:lvl w:ilvl="8">
      <w:start w:val="0"/>
      <w:numFmt w:val="bullet"/>
      <w:lvlText w:val="•"/>
      <w:lvlJc w:val="left"/>
      <w:pPr>
        <w:ind w:left="8858" w:hanging="150"/>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hyperlink" Target="http://www.mass.gov/druglist"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dcterms:created xsi:type="dcterms:W3CDTF">2017-11-20T20:26:39Z</dcterms:created>
  <dcterms:modified xsi:type="dcterms:W3CDTF">2017-11-20T20:26:39Z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2010-10-29T00:00:00Z</vt:filetime>
  </property>
  <property fmtid="{D5CDD505-2E9C-101B-9397-08002B2CF9AE}" pid="3" name="Creator">
    <vt:lpwstr>Acrobat PDFMaker 8.1 for Word</vt:lpwstr>
  </property>
  <property fmtid="{D5CDD505-2E9C-101B-9397-08002B2CF9AE}" pid="4" name="LastSaved">
    <vt:filetime>2017-11-20T00:00:00Z</vt:filetime>
  </property>
</Properties>
</file>