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spacing w:before="0" w:after="2"/>
        <w:ind w:left="843" w:right="1540" w:firstLine="0"/>
        <w:jc w:val="center"/>
        <w:rPr>
          <w:rFonts w:ascii="Arial Narrow"/>
          <w:sz w:val="18"/>
        </w:rPr>
      </w:pPr>
      <w:r>
        <w:rPr/>
        <w:pict>
          <v:group style="position:absolute;margin-left:41.279999pt;margin-top:-105.210442pt;width:542.4pt;height:107.85pt;mso-position-horizontal-relative:page;mso-position-vertical-relative:paragraph;z-index:-3856" coordorigin="826,-2104" coordsize="10848,2157">
            <v:shape style="position:absolute;left:825;top:-2105;width:10848;height:215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84;top:-1160;width:1406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63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February 10, 2011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6">
        <w:r>
          <w:rPr>
            <w:rFonts w:ascii="Arial Narrow"/>
            <w:sz w:val="18"/>
          </w:rPr>
          <w:t>www.mass.gov/masshealth/pharmacy</w:t>
        </w:r>
      </w:hyperlink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2"/>
        <w:gridCol w:w="5303"/>
        <w:gridCol w:w="400"/>
      </w:tblGrid>
      <w:tr>
        <w:trPr>
          <w:trHeight w:val="303" w:hRule="atLeast"/>
        </w:trPr>
        <w:tc>
          <w:tcPr>
            <w:tcW w:w="1059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818" w:val="left" w:leader="none"/>
              </w:tabs>
              <w:spacing w:line="240" w:lineRule="auto" w:before="0" w:after="0"/>
              <w:ind w:left="1817" w:right="0" w:hanging="149"/>
              <w:jc w:val="left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>Editor: Vic Vangel </w:t>
            </w:r>
            <w:r>
              <w:rPr>
                <w:rFonts w:ascii="Arial Black" w:hAnsi="Arial Black"/>
                <w:b/>
                <w:sz w:val="18"/>
              </w:rPr>
              <w:t>• </w:t>
            </w:r>
            <w:r>
              <w:rPr>
                <w:rFonts w:ascii="Arial Narrow" w:hAnsi="Arial Narrow"/>
                <w:sz w:val="18"/>
              </w:rPr>
              <w:t>Contributors: Chris Burke, Gary Gilmore, Paul Jeffrey, James Monahan, Nancy Schiff</w:t>
            </w:r>
            <w:r>
              <w:rPr>
                <w:rFonts w:ascii="Arial Narrow" w:hAnsi="Arial Narrow"/>
                <w:spacing w:val="15"/>
                <w:sz w:val="18"/>
              </w:rPr>
              <w:t> </w:t>
            </w:r>
            <w:r>
              <w:rPr>
                <w:rFonts w:ascii="Arial Black" w:hAnsi="Arial Black"/>
                <w:b/>
                <w:sz w:val="18"/>
              </w:rPr>
              <w:t>•</w:t>
            </w:r>
          </w:p>
        </w:tc>
        <w:tc>
          <w:tcPr>
            <w:tcW w:w="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932" w:hRule="atLeast"/>
        </w:trPr>
        <w:tc>
          <w:tcPr>
            <w:tcW w:w="5292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0"/>
              <w:rPr>
                <w:rFonts w:ascii="Arial Black"/>
                <w:b/>
                <w:sz w:val="22"/>
              </w:rPr>
            </w:pPr>
            <w:r>
              <w:rPr>
                <w:rFonts w:ascii="Arial Black"/>
                <w:b/>
                <w:sz w:val="22"/>
              </w:rPr>
              <w:t>MHDL Update</w:t>
            </w:r>
          </w:p>
          <w:p>
            <w:pPr>
              <w:pStyle w:val="TableParagraph"/>
              <w:spacing w:before="144"/>
              <w:ind w:left="90" w:right="99"/>
              <w:rPr>
                <w:sz w:val="21"/>
              </w:rPr>
            </w:pPr>
            <w:r>
              <w:rPr>
                <w:sz w:val="21"/>
              </w:rPr>
              <w:t>Below are certain updates to the MassHealth Drug List (MHDL). See the MHDL for a complete listing of updates.</w:t>
            </w:r>
          </w:p>
          <w:p>
            <w:pPr>
              <w:pStyle w:val="TableParagraph"/>
              <w:spacing w:before="4"/>
              <w:rPr>
                <w:rFonts w:ascii="Arial Narrow"/>
                <w:sz w:val="1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9" w:val="left" w:leader="none"/>
              </w:tabs>
              <w:spacing w:line="240" w:lineRule="auto" w:before="1" w:after="0"/>
              <w:ind w:left="378" w:right="0" w:hanging="28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Additions</w:t>
            </w:r>
          </w:p>
          <w:p>
            <w:pPr>
              <w:pStyle w:val="TableParagraph"/>
              <w:spacing w:before="121"/>
              <w:ind w:left="378" w:right="499"/>
              <w:rPr>
                <w:sz w:val="21"/>
              </w:rPr>
            </w:pPr>
            <w:r>
              <w:rPr>
                <w:sz w:val="21"/>
              </w:rPr>
              <w:t>The following newly marketed drugs have been added to the MassHealth Drug List effective February 14, 2011.</w:t>
            </w:r>
          </w:p>
          <w:p>
            <w:pPr>
              <w:pStyle w:val="TableParagraph"/>
              <w:spacing w:before="76"/>
              <w:ind w:left="522"/>
              <w:rPr>
                <w:b/>
                <w:sz w:val="20"/>
              </w:rPr>
            </w:pPr>
            <w:r>
              <w:rPr>
                <w:sz w:val="20"/>
              </w:rPr>
              <w:t>Atelvia (risedronate) delayed release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line="259" w:lineRule="auto" w:before="1"/>
              <w:ind w:left="521" w:right="199"/>
              <w:rPr>
                <w:b/>
                <w:sz w:val="20"/>
              </w:rPr>
            </w:pPr>
            <w:r>
              <w:rPr>
                <w:sz w:val="20"/>
              </w:rPr>
              <w:t>Beyaz (drospirenone/ethinyl estradiol/levomefolate) Bromday (bromfenac)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2"/>
              <w:ind w:left="521"/>
              <w:rPr>
                <w:b/>
                <w:sz w:val="20"/>
              </w:rPr>
            </w:pPr>
            <w:r>
              <w:rPr>
                <w:sz w:val="20"/>
              </w:rPr>
              <w:t>Gilenya (fingolimod)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line="259" w:lineRule="auto" w:before="21"/>
              <w:ind w:left="521" w:right="466"/>
              <w:rPr>
                <w:sz w:val="20"/>
              </w:rPr>
            </w:pPr>
            <w:r>
              <w:rPr>
                <w:sz w:val="20"/>
              </w:rPr>
              <w:t>Glassia (alpha 1-proteinase inhibitor, human) Kombiglyze XR (saxagliptin/metformin ER) </w:t>
            </w:r>
            <w:r>
              <w:rPr>
                <w:b/>
                <w:sz w:val="20"/>
              </w:rPr>
              <w:t>– PA </w:t>
            </w:r>
            <w:r>
              <w:rPr>
                <w:sz w:val="20"/>
              </w:rPr>
              <w:t>Lo Loestrin Fe (norethindrone/ethinyl estradiol/</w:t>
            </w:r>
          </w:p>
          <w:p>
            <w:pPr>
              <w:pStyle w:val="TableParagraph"/>
              <w:spacing w:line="214" w:lineRule="exact"/>
              <w:ind w:left="738"/>
              <w:rPr>
                <w:sz w:val="20"/>
              </w:rPr>
            </w:pPr>
            <w:r>
              <w:rPr>
                <w:sz w:val="20"/>
              </w:rPr>
              <w:t>ferrous fumarate)</w:t>
            </w:r>
          </w:p>
          <w:p>
            <w:pPr>
              <w:pStyle w:val="TableParagraph"/>
              <w:spacing w:before="19"/>
              <w:ind w:left="738" w:right="399" w:hanging="217"/>
              <w:rPr>
                <w:sz w:val="20"/>
              </w:rPr>
            </w:pPr>
            <w:r>
              <w:rPr>
                <w:sz w:val="20"/>
              </w:rPr>
              <w:t>Natazia (estradiol valerate and estradiol valerate/ dienogest)</w:t>
            </w:r>
          </w:p>
          <w:p>
            <w:pPr>
              <w:pStyle w:val="TableParagraph"/>
              <w:spacing w:before="20"/>
              <w:ind w:left="521"/>
              <w:rPr>
                <w:b/>
                <w:sz w:val="20"/>
              </w:rPr>
            </w:pPr>
            <w:r>
              <w:rPr>
                <w:sz w:val="20"/>
              </w:rPr>
              <w:t>Pacnex Cleansing Pads (benzoyl peroxide)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21"/>
              <w:ind w:left="521"/>
              <w:rPr>
                <w:b/>
                <w:sz w:val="20"/>
              </w:rPr>
            </w:pPr>
            <w:r>
              <w:rPr>
                <w:sz w:val="20"/>
              </w:rPr>
              <w:t>Pradaxa (dabigatran)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20"/>
              <w:ind w:left="522"/>
              <w:rPr>
                <w:b/>
                <w:sz w:val="20"/>
              </w:rPr>
            </w:pPr>
            <w:r>
              <w:rPr>
                <w:sz w:val="20"/>
              </w:rPr>
              <w:t>Silenor (doxepin)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19"/>
              <w:ind w:left="522"/>
              <w:rPr>
                <w:b/>
                <w:sz w:val="20"/>
              </w:rPr>
            </w:pPr>
            <w:r>
              <w:rPr>
                <w:sz w:val="20"/>
              </w:rPr>
              <w:t>Suboxone (buprenorphine/naloxone) film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20"/>
              <w:ind w:left="738" w:right="833" w:hanging="217"/>
              <w:rPr>
                <w:b/>
                <w:sz w:val="20"/>
              </w:rPr>
            </w:pPr>
            <w:r>
              <w:rPr>
                <w:sz w:val="20"/>
              </w:rPr>
              <w:t>Suprep Bowel Kit (sodium sulfate/potassium sulfate/magnesium sulfate)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line="261" w:lineRule="auto" w:before="20"/>
              <w:ind w:left="522" w:right="1532"/>
              <w:rPr>
                <w:b/>
                <w:sz w:val="20"/>
              </w:rPr>
            </w:pPr>
            <w:r>
              <w:rPr>
                <w:sz w:val="20"/>
              </w:rPr>
              <w:t>Tachosil (fibrinogen/thrombin) patch Tekamlo (aliskiren/amlodipine)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ind w:left="738" w:right="499" w:hanging="217"/>
              <w:rPr>
                <w:b/>
                <w:sz w:val="20"/>
              </w:rPr>
            </w:pPr>
            <w:r>
              <w:rPr>
                <w:sz w:val="20"/>
              </w:rPr>
              <w:t>Tobradex ST (tobramycin 0.3%/dexamethasone 0.05%)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19"/>
              <w:ind w:left="522"/>
              <w:rPr>
                <w:b/>
                <w:sz w:val="20"/>
              </w:rPr>
            </w:pPr>
            <w:r>
              <w:rPr>
                <w:sz w:val="20"/>
              </w:rPr>
              <w:t>Xeomin (incobotulinum toxinA)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7"/>
              <w:rPr>
                <w:rFonts w:ascii="Arial Narrow"/>
                <w:sz w:val="1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8" w:val="left" w:leader="none"/>
              </w:tabs>
              <w:spacing w:line="240" w:lineRule="auto" w:before="1" w:after="0"/>
              <w:ind w:left="377" w:right="0" w:hanging="2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Change in Prior-Authorization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Status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917" w:val="left" w:leader="none"/>
              </w:tabs>
              <w:spacing w:line="240" w:lineRule="auto" w:before="121" w:after="0"/>
              <w:ind w:left="925" w:right="249" w:hanging="360"/>
              <w:jc w:val="left"/>
              <w:rPr>
                <w:sz w:val="21"/>
              </w:rPr>
            </w:pPr>
            <w:r>
              <w:rPr>
                <w:sz w:val="21"/>
              </w:rPr>
              <w:t>The prior authorization requirement for the following drug is changing. Please refer to Table 31 and applicable PA request form for PA requirements for this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drug.</w:t>
            </w:r>
          </w:p>
          <w:p>
            <w:pPr>
              <w:pStyle w:val="TableParagraph"/>
              <w:spacing w:before="77"/>
              <w:ind w:left="1098" w:right="355"/>
              <w:rPr>
                <w:b/>
                <w:sz w:val="20"/>
              </w:rPr>
            </w:pPr>
            <w:r>
              <w:rPr>
                <w:sz w:val="20"/>
              </w:rPr>
              <w:t>Daytrana (methylphenidate transdermal system) </w:t>
            </w:r>
            <w:r>
              <w:rPr>
                <w:b/>
                <w:sz w:val="20"/>
              </w:rPr>
              <w:t>– PA &lt; 6 years or &gt; 17 years and PA &gt; 30 units/month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58" w:val="left" w:leader="none"/>
              </w:tabs>
              <w:spacing w:line="240" w:lineRule="auto" w:before="122" w:after="0"/>
              <w:ind w:left="925" w:right="133" w:hanging="360"/>
              <w:jc w:val="left"/>
              <w:rPr>
                <w:sz w:val="21"/>
              </w:rPr>
            </w:pPr>
            <w:r>
              <w:rPr>
                <w:sz w:val="21"/>
              </w:rPr>
              <w:t>The following drugs will no longer require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prior authorization.</w:t>
            </w:r>
          </w:p>
          <w:p>
            <w:pPr>
              <w:pStyle w:val="TableParagraph"/>
              <w:spacing w:before="78"/>
              <w:ind w:left="1090" w:right="2313" w:firstLine="7"/>
              <w:rPr>
                <w:sz w:val="20"/>
              </w:rPr>
            </w:pPr>
            <w:r>
              <w:rPr>
                <w:sz w:val="20"/>
              </w:rPr>
              <w:t>Aceon # (perindopril) ephedrine injection</w:t>
            </w:r>
          </w:p>
          <w:p>
            <w:pPr>
              <w:pStyle w:val="TableParagraph"/>
              <w:spacing w:line="230" w:lineRule="exact"/>
              <w:ind w:left="1090"/>
              <w:rPr>
                <w:sz w:val="20"/>
              </w:rPr>
            </w:pPr>
            <w:r>
              <w:rPr>
                <w:sz w:val="20"/>
              </w:rPr>
              <w:t>Sandimmune (cyclosporine) capsules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 Narrow"/>
                <w:sz w:val="17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0" w:after="0"/>
              <w:ind w:left="840" w:right="182" w:hanging="360"/>
              <w:jc w:val="left"/>
              <w:rPr>
                <w:sz w:val="21"/>
              </w:rPr>
            </w:pPr>
            <w:r>
              <w:rPr>
                <w:sz w:val="21"/>
              </w:rPr>
              <w:t>The following agent will no longer require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prior authorization for ≤ 30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units/month.</w:t>
            </w:r>
          </w:p>
          <w:p>
            <w:pPr>
              <w:pStyle w:val="TableParagraph"/>
              <w:spacing w:before="80"/>
              <w:ind w:left="1024" w:right="568"/>
              <w:rPr>
                <w:b/>
                <w:sz w:val="20"/>
              </w:rPr>
            </w:pPr>
            <w:r>
              <w:rPr>
                <w:sz w:val="20"/>
              </w:rPr>
              <w:t>Wellbutrin XL # (bupropion XL) </w:t>
            </w:r>
            <w:r>
              <w:rPr>
                <w:b/>
                <w:sz w:val="20"/>
              </w:rPr>
              <w:t>– PA &gt; 30 units/month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3" w:val="left" w:leader="none"/>
              </w:tabs>
              <w:spacing w:line="240" w:lineRule="auto" w:before="122" w:after="0"/>
              <w:ind w:left="840" w:right="394" w:hanging="363"/>
              <w:jc w:val="left"/>
              <w:rPr>
                <w:sz w:val="21"/>
              </w:rPr>
            </w:pPr>
            <w:r>
              <w:rPr>
                <w:sz w:val="21"/>
              </w:rPr>
              <w:t>The following drugs will be restricted to inpatient hospital use effective February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28, 2011.</w:t>
            </w:r>
          </w:p>
          <w:p>
            <w:pPr>
              <w:pStyle w:val="TableParagraph"/>
              <w:spacing w:before="77"/>
              <w:ind w:left="1020" w:right="2279"/>
              <w:rPr>
                <w:sz w:val="20"/>
              </w:rPr>
            </w:pPr>
            <w:r>
              <w:rPr>
                <w:sz w:val="20"/>
              </w:rPr>
              <w:t>Angiomax (bivalirudin) argatroban</w:t>
            </w:r>
          </w:p>
          <w:p>
            <w:pPr>
              <w:pStyle w:val="TableParagraph"/>
              <w:spacing w:line="230" w:lineRule="exact"/>
              <w:ind w:left="1020"/>
              <w:rPr>
                <w:sz w:val="20"/>
              </w:rPr>
            </w:pPr>
            <w:r>
              <w:rPr>
                <w:sz w:val="20"/>
              </w:rPr>
              <w:t>Refludan (lepirudin)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41" w:val="left" w:leader="none"/>
              </w:tabs>
              <w:spacing w:line="240" w:lineRule="auto" w:before="123" w:after="0"/>
              <w:ind w:left="840" w:right="104" w:hanging="363"/>
              <w:jc w:val="left"/>
              <w:rPr>
                <w:sz w:val="21"/>
              </w:rPr>
            </w:pPr>
            <w:r>
              <w:rPr>
                <w:sz w:val="21"/>
              </w:rPr>
              <w:t>The following ophthalmic antibiotic/ corticosteroid combination drugs will require prior authorization effective February 28,</w:t>
            </w:r>
            <w:r>
              <w:rPr>
                <w:spacing w:val="-36"/>
                <w:sz w:val="21"/>
              </w:rPr>
              <w:t> </w:t>
            </w:r>
            <w:r>
              <w:rPr>
                <w:sz w:val="21"/>
              </w:rPr>
              <w:t>2011.</w:t>
            </w:r>
          </w:p>
          <w:p>
            <w:pPr>
              <w:pStyle w:val="TableParagraph"/>
              <w:spacing w:line="230" w:lineRule="exact" w:before="78"/>
              <w:ind w:left="1002"/>
              <w:rPr>
                <w:b/>
                <w:sz w:val="20"/>
              </w:rPr>
            </w:pPr>
            <w:r>
              <w:rPr>
                <w:sz w:val="20"/>
              </w:rPr>
              <w:t>Blephamide (sulfacetamide/prednisolone)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ind w:left="1200" w:right="1230" w:hanging="198"/>
              <w:rPr>
                <w:b/>
                <w:sz w:val="20"/>
              </w:rPr>
            </w:pPr>
            <w:r>
              <w:rPr>
                <w:sz w:val="20"/>
              </w:rPr>
              <w:t>Poly-Pred (neomycin/polymyxin B/ prednisolone)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line="230" w:lineRule="exact"/>
              <w:ind w:left="1002"/>
              <w:rPr>
                <w:b/>
                <w:sz w:val="20"/>
              </w:rPr>
            </w:pPr>
            <w:r>
              <w:rPr>
                <w:sz w:val="20"/>
              </w:rPr>
              <w:t>Pred-G (prednisolone/gentamycin)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before="1"/>
              <w:ind w:left="1200" w:right="284" w:hanging="198"/>
              <w:rPr>
                <w:b/>
                <w:sz w:val="20"/>
              </w:rPr>
            </w:pPr>
            <w:r>
              <w:rPr>
                <w:sz w:val="20"/>
              </w:rPr>
              <w:t>Tobradex (tobramycin 0.3%/dexamethasone, ophthalmic ointment 0.1%)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spacing w:line="230" w:lineRule="exact"/>
              <w:ind w:left="1002"/>
              <w:rPr>
                <w:b/>
                <w:sz w:val="20"/>
              </w:rPr>
            </w:pPr>
            <w:r>
              <w:rPr>
                <w:sz w:val="20"/>
              </w:rPr>
              <w:t>Zylet (loteprednol/tobramycin)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40" w:val="left" w:leader="none"/>
                <w:tab w:pos="842" w:val="left" w:leader="none"/>
              </w:tabs>
              <w:spacing w:line="240" w:lineRule="auto" w:before="122" w:after="0"/>
              <w:ind w:left="840" w:right="417" w:hanging="363"/>
              <w:jc w:val="left"/>
              <w:rPr>
                <w:sz w:val="21"/>
              </w:rPr>
            </w:pPr>
            <w:r>
              <w:rPr>
                <w:sz w:val="21"/>
              </w:rPr>
              <w:t>The prior authorization requirements for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the following drugs are changing effective February 28, 2011. Please refer to Table 3 and applicable PA request forms for PA requirements for these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drugs.</w:t>
            </w:r>
          </w:p>
          <w:p>
            <w:pPr>
              <w:pStyle w:val="TableParagraph"/>
              <w:spacing w:before="78"/>
              <w:ind w:left="1197" w:right="595" w:hanging="188"/>
              <w:rPr>
                <w:b/>
                <w:sz w:val="20"/>
              </w:rPr>
            </w:pPr>
            <w:r>
              <w:rPr>
                <w:sz w:val="20"/>
              </w:rPr>
              <w:t>Prilosec # (omeprazole) 10 mg – </w:t>
            </w:r>
            <w:r>
              <w:rPr>
                <w:b/>
                <w:sz w:val="20"/>
              </w:rPr>
              <w:t>PA &gt; 30 units/month</w:t>
            </w:r>
          </w:p>
          <w:p>
            <w:pPr>
              <w:pStyle w:val="TableParagraph"/>
              <w:ind w:left="1197" w:right="483" w:hanging="188"/>
              <w:rPr>
                <w:b/>
                <w:sz w:val="20"/>
              </w:rPr>
            </w:pPr>
            <w:r>
              <w:rPr>
                <w:sz w:val="20"/>
              </w:rPr>
              <w:t>Prilosec # (omeprazole) 20 mg – </w:t>
            </w:r>
            <w:r>
              <w:rPr>
                <w:b/>
                <w:sz w:val="20"/>
              </w:rPr>
              <w:t>PA &gt; 120 units/month</w:t>
            </w:r>
          </w:p>
          <w:p>
            <w:pPr>
              <w:pStyle w:val="TableParagraph"/>
              <w:ind w:left="1197" w:right="415" w:hanging="187"/>
              <w:rPr>
                <w:b/>
                <w:sz w:val="20"/>
              </w:rPr>
            </w:pPr>
            <w:r>
              <w:rPr>
                <w:sz w:val="20"/>
              </w:rPr>
              <w:t>Prevacid # (lansoprazole) capsule – </w:t>
            </w:r>
            <w:r>
              <w:rPr>
                <w:b/>
                <w:sz w:val="20"/>
              </w:rPr>
              <w:t>PA </w:t>
            </w:r>
            <w:r>
              <w:rPr>
                <w:b/>
                <w:sz w:val="20"/>
                <w:u w:val="thick"/>
              </w:rPr>
              <w:t>&gt;</w:t>
            </w:r>
            <w:r>
              <w:rPr>
                <w:b/>
                <w:sz w:val="20"/>
              </w:rPr>
              <w:t> 2 years and &gt; 30 units/month</w:t>
            </w:r>
          </w:p>
          <w:p>
            <w:pPr>
              <w:pStyle w:val="TableParagraph"/>
              <w:ind w:left="1197" w:right="278" w:hanging="188"/>
              <w:rPr>
                <w:b/>
                <w:sz w:val="20"/>
              </w:rPr>
            </w:pPr>
            <w:r>
              <w:rPr>
                <w:sz w:val="20"/>
              </w:rPr>
              <w:t>Prevacid SoluTab (lansoprazole, orally disintegrating tablet) – </w:t>
            </w:r>
            <w:r>
              <w:rPr>
                <w:b/>
                <w:sz w:val="20"/>
              </w:rPr>
              <w:t>PA </w:t>
            </w:r>
            <w:r>
              <w:rPr>
                <w:b/>
                <w:sz w:val="20"/>
                <w:u w:val="thick"/>
              </w:rPr>
              <w:t>&gt;</w:t>
            </w:r>
            <w:r>
              <w:rPr>
                <w:b/>
                <w:sz w:val="20"/>
              </w:rPr>
              <w:t> 2 years and &gt; 30 units/month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3" w:val="left" w:leader="none"/>
              </w:tabs>
              <w:spacing w:line="240" w:lineRule="auto" w:before="123" w:after="0"/>
              <w:ind w:left="841" w:right="580" w:hanging="360"/>
              <w:jc w:val="left"/>
              <w:rPr>
                <w:sz w:val="20"/>
              </w:rPr>
            </w:pPr>
            <w:r>
              <w:rPr>
                <w:sz w:val="21"/>
              </w:rPr>
              <w:t>The following drug will require prior authorization effective February 28,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2011.</w:t>
            </w:r>
          </w:p>
          <w:p>
            <w:pPr>
              <w:pStyle w:val="TableParagraph"/>
              <w:spacing w:before="77"/>
              <w:ind w:left="1003"/>
              <w:rPr>
                <w:b/>
                <w:sz w:val="20"/>
              </w:rPr>
            </w:pPr>
            <w:r>
              <w:rPr>
                <w:sz w:val="20"/>
              </w:rPr>
              <w:t>doxepin 150 mg </w:t>
            </w:r>
            <w:r>
              <w:rPr>
                <w:b/>
                <w:sz w:val="20"/>
              </w:rPr>
              <w:t>– PA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41" w:val="left" w:leader="none"/>
              </w:tabs>
              <w:spacing w:line="240" w:lineRule="auto" w:before="122" w:after="0"/>
              <w:ind w:left="840" w:right="299" w:hanging="359"/>
              <w:jc w:val="left"/>
              <w:rPr>
                <w:sz w:val="21"/>
              </w:rPr>
            </w:pPr>
            <w:r>
              <w:rPr>
                <w:sz w:val="21"/>
              </w:rPr>
              <w:t>The following prior authorization requirement for acetaminophen-containing products are effective February 28,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2011.</w:t>
            </w:r>
          </w:p>
          <w:p>
            <w:pPr>
              <w:pStyle w:val="TableParagraph"/>
              <w:spacing w:before="78"/>
              <w:ind w:left="988"/>
              <w:rPr>
                <w:b/>
                <w:sz w:val="20"/>
              </w:rPr>
            </w:pPr>
            <w:r>
              <w:rPr>
                <w:sz w:val="20"/>
              </w:rPr>
              <w:t>acetaminophen </w:t>
            </w:r>
            <w:r>
              <w:rPr>
                <w:b/>
                <w:sz w:val="20"/>
              </w:rPr>
              <w:t>– PA &gt; 4 grams/day</w:t>
            </w:r>
          </w:p>
        </w:tc>
        <w:tc>
          <w:tcPr>
            <w:tcW w:w="4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0" w:lineRule="exact"/>
        <w:ind w:left="113"/>
        <w:rPr>
          <w:rFonts w:ascii="Arial Narrow"/>
          <w:sz w:val="2"/>
        </w:rPr>
      </w:pPr>
      <w:r>
        <w:rPr>
          <w:rFonts w:ascii="Arial Narrow"/>
          <w:sz w:val="2"/>
        </w:rPr>
        <w:pict>
          <v:group style="width:549pt;height:.7pt;mso-position-horizontal-relative:char;mso-position-vertical-relative:line" coordorigin="0,0" coordsize="10980,14">
            <v:line style="position:absolute" from="0,7" to="10980,7" stroked="true" strokeweight=".66pt" strokecolor="#000000">
              <v:stroke dashstyle="solid"/>
            </v:line>
          </v:group>
        </w:pict>
      </w:r>
      <w:r>
        <w:rPr>
          <w:rFonts w:ascii="Arial Narrow"/>
          <w:sz w:val="2"/>
        </w:rPr>
      </w:r>
    </w:p>
    <w:p>
      <w:pPr>
        <w:pStyle w:val="BodyText"/>
        <w:spacing w:before="94"/>
        <w:ind w:left="1740" w:right="1540"/>
        <w:jc w:val="center"/>
      </w:pPr>
      <w:r>
        <w:rPr/>
        <w:t>Please direct any questions or comments (or to be taken off of this fax distribution) to</w:t>
      </w:r>
    </w:p>
    <w:p>
      <w:pPr>
        <w:spacing w:before="0"/>
        <w:ind w:left="1738" w:right="1540" w:firstLine="0"/>
        <w:jc w:val="center"/>
        <w:rPr>
          <w:sz w:val="21"/>
        </w:rPr>
      </w:pPr>
      <w:r>
        <w:rPr>
          <w:rFonts w:ascii="Arial Black"/>
          <w:b/>
          <w:sz w:val="21"/>
        </w:rPr>
        <w:t>Victor Moquin </w:t>
      </w:r>
      <w:r>
        <w:rPr>
          <w:sz w:val="21"/>
        </w:rPr>
        <w:t>of ACS at 617-423-9830.</w:t>
      </w:r>
    </w:p>
    <w:sectPr>
      <w:type w:val="continuous"/>
      <w:pgSz w:w="12240" w:h="15840"/>
      <w:pgMar w:top="380" w:bottom="0" w:left="7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lowerLetter"/>
      <w:lvlText w:val="%1."/>
      <w:lvlJc w:val="left"/>
      <w:pPr>
        <w:ind w:left="840" w:hanging="339"/>
        <w:jc w:val="left"/>
      </w:pPr>
      <w:rPr>
        <w:rFonts w:hint="default"/>
        <w:spacing w:val="-2"/>
        <w:w w:val="100"/>
      </w:rPr>
    </w:lvl>
    <w:lvl w:ilvl="1">
      <w:start w:val="0"/>
      <w:numFmt w:val="bullet"/>
      <w:lvlText w:val="•"/>
      <w:lvlJc w:val="left"/>
      <w:pPr>
        <w:ind w:left="1285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31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77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3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9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14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60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33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78" w:hanging="289"/>
        <w:jc w:val="left"/>
      </w:pPr>
      <w:rPr>
        <w:rFonts w:hint="default" w:ascii="Arial" w:hAnsi="Arial" w:eastAsia="Arial" w:cs="Arial"/>
        <w:b/>
        <w:bCs/>
        <w:spacing w:val="-4"/>
        <w:w w:val="100"/>
        <w:sz w:val="21"/>
        <w:szCs w:val="21"/>
      </w:rPr>
    </w:lvl>
    <w:lvl w:ilvl="1">
      <w:start w:val="1"/>
      <w:numFmt w:val="lowerLetter"/>
      <w:lvlText w:val="%2."/>
      <w:lvlJc w:val="left"/>
      <w:pPr>
        <w:ind w:left="925" w:hanging="352"/>
        <w:jc w:val="left"/>
      </w:pPr>
      <w:rPr>
        <w:rFonts w:hint="default" w:ascii="Arial" w:hAnsi="Arial" w:eastAsia="Arial" w:cs="Arial"/>
        <w:spacing w:val="-1"/>
        <w:w w:val="100"/>
        <w:sz w:val="21"/>
        <w:szCs w:val="21"/>
      </w:rPr>
    </w:lvl>
    <w:lvl w:ilvl="2">
      <w:start w:val="0"/>
      <w:numFmt w:val="bullet"/>
      <w:lvlText w:val="•"/>
      <w:lvlJc w:val="left"/>
      <w:pPr>
        <w:ind w:left="1405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0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75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0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6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31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16" w:hanging="35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17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697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75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52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30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7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5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62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0" w:hanging="15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terms:created xsi:type="dcterms:W3CDTF">2017-11-20T19:40:27Z</dcterms:created>
  <dcterms:modified xsi:type="dcterms:W3CDTF">2017-11-20T19:40:27Z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2011-02-10T00:00:00Z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2017-11-20T00:00:00Z</vt:filetime>
  </property>
</Properties>
</file>