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0"/>
        <w:rPr>
          <w:rFonts w:ascii="Times New Roman"/>
          <w:sz w:val="21"/>
        </w:rPr>
      </w:pPr>
    </w:p>
    <w:p>
      <w:pPr>
        <w:spacing w:before="0"/>
        <w:ind w:left="863" w:right="1140" w:firstLine="0"/>
        <w:jc w:val="center"/>
        <w:rPr>
          <w:rFonts w:ascii="Arial Narrow"/>
          <w:sz w:val="18"/>
        </w:rPr>
      </w:pPr>
      <w:r>
        <w:rPr/>
        <w:pict>
          <v:group style="position:absolute;margin-left:32.05793pt;margin-top:-104.701202pt;width:541.9pt;height:107.25pt;mso-position-horizontal-relative:page;mso-position-vertical-relative:paragraph;z-index:-3616" coordorigin="641,-2094" coordsize="10838,2145">
            <v:shape style="position:absolute;left:641;top:-2095;width:10838;height:2145" type="#_x0000_t75" stroked="false">
              <v:imagedata r:id="rId5" o:title=""/>
            </v:shape>
            <v:shapetype id="_x0000_t202" o:spt="202" coordsize="21600,21600" path="m,l,21600r21600,l21600,xe">
              <v:stroke joinstyle="miter"/>
              <v:path gradientshapeok="t" o:connecttype="rect"/>
            </v:shapetype>
            <v:shape style="position:absolute;left:1404;top:-1160;width:932;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64</w:t>
                    </w:r>
                  </w:p>
                  <w:p>
                    <w:pPr>
                      <w:spacing w:before="44"/>
                      <w:ind w:left="0" w:right="0" w:firstLine="0"/>
                      <w:jc w:val="left"/>
                      <w:rPr>
                        <w:rFonts w:ascii="Arial Narrow"/>
                        <w:b/>
                        <w:sz w:val="20"/>
                      </w:rPr>
                    </w:pPr>
                    <w:r>
                      <w:rPr>
                        <w:rFonts w:ascii="Arial Narrow"/>
                        <w:b/>
                        <w:sz w:val="20"/>
                      </w:rPr>
                      <w:t>May 2, 2011</w:t>
                    </w:r>
                  </w:p>
                </w:txbxContent>
              </v:textbox>
              <w10:wrap type="none"/>
            </v:shape>
            <w10:wrap type="none"/>
          </v:group>
        </w:pict>
      </w:r>
      <w:r>
        <w:rPr/>
        <w:pict>
          <v:line style="position:absolute;mso-position-horizontal-relative:page;mso-position-vertical-relative:paragraph;z-index:1072" from="34.200001pt,10.893106pt" to="564.840001pt,10.893106pt" stroked="true" strokeweight=".95996pt" strokecolor="#000000">
            <v:stroke dashstyle="solid"/>
            <w10:wrap type="none"/>
          </v:line>
        </w:pict>
      </w:r>
      <w:hyperlink r:id="rId6">
        <w:r>
          <w:rPr>
            <w:rFonts w:ascii="Arial Narrow"/>
            <w:sz w:val="18"/>
          </w:rPr>
          <w:t>www.mass.gov/masshealth/pharmacy</w:t>
        </w:r>
      </w:hyperlink>
    </w:p>
    <w:p>
      <w:pPr>
        <w:pStyle w:val="ListParagraph"/>
        <w:numPr>
          <w:ilvl w:val="0"/>
          <w:numId w:val="1"/>
        </w:numPr>
        <w:tabs>
          <w:tab w:pos="1840" w:val="left" w:leader="none"/>
        </w:tabs>
        <w:spacing w:line="240" w:lineRule="auto" w:before="22" w:after="0"/>
        <w:ind w:left="1839" w:right="0" w:hanging="149"/>
        <w:jc w:val="left"/>
        <w:rPr>
          <w:rFonts w:ascii="Arial Black" w:hAnsi="Arial Black"/>
          <w:b/>
          <w:sz w:val="18"/>
        </w:rPr>
      </w:pPr>
      <w:r>
        <w:rPr>
          <w:rFonts w:ascii="Arial Narrow" w:hAnsi="Arial Narrow"/>
          <w:sz w:val="18"/>
        </w:rPr>
        <w:t>Editor: Vic Vangel </w:t>
      </w:r>
      <w:r>
        <w:rPr>
          <w:rFonts w:ascii="Arial Black" w:hAnsi="Arial Black"/>
          <w:b/>
          <w:sz w:val="18"/>
        </w:rPr>
        <w:t>• </w:t>
      </w:r>
      <w:r>
        <w:rPr>
          <w:rFonts w:ascii="Arial Narrow" w:hAnsi="Arial Narrow"/>
          <w:sz w:val="18"/>
        </w:rPr>
        <w:t>Contributors: Chris Burke, Gary Gilmore, Paul Jeffrey, James Monahan, Nancy Schiff</w:t>
      </w:r>
      <w:r>
        <w:rPr>
          <w:rFonts w:ascii="Arial Narrow" w:hAnsi="Arial Narrow"/>
          <w:spacing w:val="15"/>
          <w:sz w:val="18"/>
        </w:rPr>
        <w:t> </w:t>
      </w:r>
      <w:r>
        <w:rPr>
          <w:rFonts w:ascii="Arial Black" w:hAnsi="Arial Black"/>
          <w:b/>
          <w:sz w:val="18"/>
        </w:rPr>
        <w:t>•</w:t>
      </w:r>
    </w:p>
    <w:p>
      <w:pPr>
        <w:pStyle w:val="BodyText"/>
        <w:spacing w:before="1"/>
        <w:rPr>
          <w:rFonts w:ascii="Arial Black"/>
          <w:b/>
          <w:sz w:val="12"/>
        </w:rPr>
      </w:pPr>
    </w:p>
    <w:p>
      <w:pPr>
        <w:spacing w:after="0"/>
        <w:rPr>
          <w:rFonts w:ascii="Arial Black"/>
          <w:sz w:val="12"/>
        </w:rPr>
        <w:sectPr>
          <w:type w:val="continuous"/>
          <w:pgSz w:w="12240" w:h="15840"/>
          <w:pgMar w:top="400" w:bottom="0" w:left="680" w:right="940"/>
        </w:sectPr>
      </w:pPr>
    </w:p>
    <w:p>
      <w:pPr>
        <w:pStyle w:val="Heading1"/>
        <w:spacing w:before="100"/>
        <w:ind w:left="112"/>
        <w:rPr>
          <w:b/>
        </w:rPr>
      </w:pPr>
      <w:r>
        <w:rPr>
          <w:b/>
        </w:rPr>
        <w:t>MHDL Update</w:t>
      </w:r>
    </w:p>
    <w:p>
      <w:pPr>
        <w:pStyle w:val="BodyText"/>
        <w:spacing w:before="100"/>
        <w:ind w:left="112" w:right="43"/>
      </w:pPr>
      <w:r>
        <w:rPr/>
        <w:t>Below are certain updates to the MassHealth Drug List (MHDL). See the MHDL for a complete listing of updates.</w:t>
      </w:r>
    </w:p>
    <w:p>
      <w:pPr>
        <w:pStyle w:val="Heading2"/>
        <w:numPr>
          <w:ilvl w:val="0"/>
          <w:numId w:val="2"/>
        </w:numPr>
        <w:tabs>
          <w:tab w:pos="401" w:val="left" w:leader="none"/>
        </w:tabs>
        <w:spacing w:line="240" w:lineRule="auto" w:before="163" w:after="0"/>
        <w:ind w:left="400" w:right="0" w:hanging="288"/>
        <w:jc w:val="left"/>
      </w:pPr>
      <w:r>
        <w:rPr/>
        <w:t>Additions</w:t>
      </w:r>
    </w:p>
    <w:p>
      <w:pPr>
        <w:pStyle w:val="BodyText"/>
        <w:spacing w:before="37"/>
        <w:ind w:left="400" w:right="21"/>
      </w:pPr>
      <w:r>
        <w:rPr/>
        <w:t>The following newly marketed drugs have been added to the MassHealth Drug List.</w:t>
      </w:r>
    </w:p>
    <w:p>
      <w:pPr>
        <w:spacing w:before="119"/>
        <w:ind w:left="580" w:right="0" w:firstLine="0"/>
        <w:jc w:val="left"/>
        <w:rPr>
          <w:b/>
          <w:sz w:val="18"/>
        </w:rPr>
      </w:pPr>
      <w:r>
        <w:rPr>
          <w:sz w:val="18"/>
        </w:rPr>
        <w:t>Abstral (fentanyl sublingual tablet) </w:t>
      </w:r>
      <w:r>
        <w:rPr>
          <w:b/>
          <w:sz w:val="18"/>
        </w:rPr>
        <w:t>– PA</w:t>
      </w:r>
    </w:p>
    <w:p>
      <w:pPr>
        <w:spacing w:line="206" w:lineRule="exact" w:before="2"/>
        <w:ind w:left="580" w:right="0" w:firstLine="0"/>
        <w:jc w:val="left"/>
        <w:rPr>
          <w:sz w:val="18"/>
        </w:rPr>
      </w:pPr>
      <w:r>
        <w:rPr>
          <w:sz w:val="18"/>
        </w:rPr>
        <w:t>Amturnide (aliskiren/amlodipine/hydrochlorothiazide)</w:t>
      </w:r>
    </w:p>
    <w:p>
      <w:pPr>
        <w:spacing w:line="206" w:lineRule="exact" w:before="0"/>
        <w:ind w:left="763" w:right="4028" w:firstLine="0"/>
        <w:jc w:val="center"/>
        <w:rPr>
          <w:b/>
          <w:sz w:val="18"/>
        </w:rPr>
      </w:pPr>
      <w:r>
        <w:rPr>
          <w:b/>
          <w:sz w:val="18"/>
        </w:rPr>
        <w:t>– PA</w:t>
      </w:r>
    </w:p>
    <w:p>
      <w:pPr>
        <w:spacing w:line="207" w:lineRule="exact" w:before="1"/>
        <w:ind w:left="580" w:right="0" w:firstLine="0"/>
        <w:jc w:val="left"/>
        <w:rPr>
          <w:b/>
          <w:sz w:val="18"/>
        </w:rPr>
      </w:pPr>
      <w:r>
        <w:rPr>
          <w:sz w:val="18"/>
        </w:rPr>
        <w:t>Benzefoam Ultra (benzoyl peroxide 9.8% foam) </w:t>
      </w:r>
      <w:r>
        <w:rPr>
          <w:b/>
          <w:sz w:val="18"/>
        </w:rPr>
        <w:t>– PA</w:t>
      </w:r>
    </w:p>
    <w:p>
      <w:pPr>
        <w:spacing w:line="207" w:lineRule="exact" w:before="0"/>
        <w:ind w:left="580" w:right="0" w:firstLine="0"/>
        <w:jc w:val="left"/>
        <w:rPr>
          <w:b/>
          <w:sz w:val="18"/>
        </w:rPr>
      </w:pPr>
      <w:r>
        <w:rPr>
          <w:sz w:val="18"/>
        </w:rPr>
        <w:t>Butrans (buprenorphine transdermal) </w:t>
      </w:r>
      <w:r>
        <w:rPr>
          <w:b/>
          <w:sz w:val="18"/>
        </w:rPr>
        <w:t>– PA</w:t>
      </w:r>
    </w:p>
    <w:p>
      <w:pPr>
        <w:spacing w:line="207" w:lineRule="exact" w:before="0"/>
        <w:ind w:left="580" w:right="0" w:firstLine="0"/>
        <w:jc w:val="left"/>
        <w:rPr>
          <w:b/>
          <w:sz w:val="18"/>
        </w:rPr>
      </w:pPr>
      <w:r>
        <w:rPr>
          <w:sz w:val="18"/>
        </w:rPr>
        <w:t>Carbaglu (carglumic acid) </w:t>
      </w:r>
      <w:r>
        <w:rPr>
          <w:b/>
          <w:sz w:val="18"/>
        </w:rPr>
        <w:t>– PA</w:t>
      </w:r>
    </w:p>
    <w:p>
      <w:pPr>
        <w:spacing w:line="207" w:lineRule="exact" w:before="0"/>
        <w:ind w:left="580" w:right="0" w:firstLine="0"/>
        <w:jc w:val="left"/>
        <w:rPr>
          <w:b/>
          <w:sz w:val="18"/>
        </w:rPr>
      </w:pPr>
      <w:r>
        <w:rPr>
          <w:sz w:val="18"/>
        </w:rPr>
        <w:t>Cuvposa (glycopyrrolate oral solution) </w:t>
      </w:r>
      <w:r>
        <w:rPr>
          <w:b/>
          <w:sz w:val="18"/>
        </w:rPr>
        <w:t>– PA</w:t>
      </w:r>
    </w:p>
    <w:p>
      <w:pPr>
        <w:spacing w:before="2"/>
        <w:ind w:left="580" w:right="2341" w:firstLine="0"/>
        <w:jc w:val="left"/>
        <w:rPr>
          <w:sz w:val="18"/>
        </w:rPr>
      </w:pPr>
      <w:r>
        <w:rPr>
          <w:sz w:val="18"/>
        </w:rPr>
        <w:t>ella (ulipristal acetate) Gablofen (baclofen injection)</w:t>
      </w:r>
    </w:p>
    <w:p>
      <w:pPr>
        <w:spacing w:line="206" w:lineRule="exact" w:before="0"/>
        <w:ind w:left="580" w:right="0" w:firstLine="0"/>
        <w:jc w:val="left"/>
        <w:rPr>
          <w:b/>
          <w:sz w:val="18"/>
        </w:rPr>
      </w:pPr>
      <w:r>
        <w:rPr>
          <w:sz w:val="18"/>
        </w:rPr>
        <w:t>Gamunex-C (immune globulin injection) </w:t>
      </w:r>
      <w:r>
        <w:rPr>
          <w:b/>
          <w:sz w:val="18"/>
        </w:rPr>
        <w:t>– PA</w:t>
      </w:r>
    </w:p>
    <w:p>
      <w:pPr>
        <w:spacing w:line="207" w:lineRule="exact" w:before="0"/>
        <w:ind w:left="580" w:right="0" w:firstLine="0"/>
        <w:jc w:val="left"/>
        <w:rPr>
          <w:b/>
          <w:sz w:val="18"/>
        </w:rPr>
      </w:pPr>
      <w:r>
        <w:rPr>
          <w:sz w:val="18"/>
        </w:rPr>
        <w:t>Halaven (eribulin) </w:t>
      </w:r>
      <w:r>
        <w:rPr>
          <w:b/>
          <w:sz w:val="18"/>
        </w:rPr>
        <w:t>– PA</w:t>
      </w:r>
    </w:p>
    <w:p>
      <w:pPr>
        <w:spacing w:before="2"/>
        <w:ind w:left="580" w:right="601" w:firstLine="0"/>
        <w:jc w:val="left"/>
        <w:rPr>
          <w:b/>
          <w:sz w:val="18"/>
        </w:rPr>
      </w:pPr>
      <w:r>
        <w:rPr>
          <w:sz w:val="18"/>
        </w:rPr>
        <w:t>Jinteli (ethinyl estradiol 5 mcg/norethindrone 1 mg) Kapvay (clonidine ER tablet) </w:t>
      </w:r>
      <w:r>
        <w:rPr>
          <w:b/>
          <w:sz w:val="18"/>
        </w:rPr>
        <w:t>– PA</w:t>
      </w:r>
    </w:p>
    <w:p>
      <w:pPr>
        <w:spacing w:line="206" w:lineRule="exact" w:before="0"/>
        <w:ind w:left="579" w:right="0" w:firstLine="0"/>
        <w:jc w:val="left"/>
        <w:rPr>
          <w:b/>
          <w:sz w:val="18"/>
        </w:rPr>
      </w:pPr>
      <w:r>
        <w:rPr>
          <w:sz w:val="18"/>
        </w:rPr>
        <w:t>Krystexxa (pegloticase) </w:t>
      </w:r>
      <w:r>
        <w:rPr>
          <w:b/>
          <w:sz w:val="18"/>
        </w:rPr>
        <w:t>– PA</w:t>
      </w:r>
    </w:p>
    <w:p>
      <w:pPr>
        <w:spacing w:line="206" w:lineRule="exact" w:before="0"/>
        <w:ind w:left="579" w:right="0" w:firstLine="0"/>
        <w:jc w:val="left"/>
        <w:rPr>
          <w:b/>
          <w:sz w:val="18"/>
        </w:rPr>
      </w:pPr>
      <w:r>
        <w:rPr>
          <w:sz w:val="18"/>
        </w:rPr>
        <w:t>Lastacaft (alcaftadine ophthalmic) </w:t>
      </w:r>
      <w:r>
        <w:rPr>
          <w:b/>
          <w:sz w:val="18"/>
        </w:rPr>
        <w:t>– PA</w:t>
      </w:r>
    </w:p>
    <w:p>
      <w:pPr>
        <w:spacing w:line="207" w:lineRule="exact" w:before="0"/>
        <w:ind w:left="579" w:right="0" w:firstLine="0"/>
        <w:jc w:val="left"/>
        <w:rPr>
          <w:b/>
          <w:sz w:val="18"/>
        </w:rPr>
      </w:pPr>
      <w:r>
        <w:rPr>
          <w:sz w:val="18"/>
        </w:rPr>
        <w:t>Latuda (lurasidone) </w:t>
      </w:r>
      <w:r>
        <w:rPr>
          <w:b/>
          <w:sz w:val="18"/>
        </w:rPr>
        <w:t>– PA</w:t>
      </w:r>
    </w:p>
    <w:p>
      <w:pPr>
        <w:spacing w:line="207" w:lineRule="exact" w:before="1"/>
        <w:ind w:left="579" w:right="0" w:firstLine="0"/>
        <w:jc w:val="left"/>
        <w:rPr>
          <w:b/>
          <w:sz w:val="18"/>
        </w:rPr>
      </w:pPr>
      <w:r>
        <w:rPr>
          <w:sz w:val="18"/>
        </w:rPr>
        <w:t>Moxeza (moxifloxacin ophthalmic) </w:t>
      </w:r>
      <w:r>
        <w:rPr>
          <w:b/>
          <w:sz w:val="18"/>
        </w:rPr>
        <w:t>– PA</w:t>
      </w:r>
    </w:p>
    <w:p>
      <w:pPr>
        <w:spacing w:before="0"/>
        <w:ind w:left="579" w:right="481" w:firstLine="0"/>
        <w:jc w:val="left"/>
        <w:rPr>
          <w:b/>
          <w:sz w:val="18"/>
        </w:rPr>
      </w:pPr>
      <w:r>
        <w:rPr>
          <w:sz w:val="18"/>
        </w:rPr>
        <w:t>Nexiclon ER (clonidine ER suspension/tablet) </w:t>
      </w:r>
      <w:r>
        <w:rPr>
          <w:b/>
          <w:sz w:val="18"/>
        </w:rPr>
        <w:t>– PA </w:t>
      </w:r>
      <w:r>
        <w:rPr>
          <w:sz w:val="18"/>
        </w:rPr>
        <w:t>Nuedexta (dextromethorphan/quinidine) </w:t>
      </w:r>
      <w:r>
        <w:rPr>
          <w:b/>
          <w:sz w:val="18"/>
        </w:rPr>
        <w:t>– PA </w:t>
      </w:r>
      <w:r>
        <w:rPr>
          <w:sz w:val="18"/>
        </w:rPr>
        <w:t>Safyral (ethinyl estradiol/drospirenone/levomefolate) Teflaro (ceftaroline) </w:t>
      </w:r>
      <w:r>
        <w:rPr>
          <w:b/>
          <w:sz w:val="18"/>
        </w:rPr>
        <w:t>– PA</w:t>
      </w:r>
    </w:p>
    <w:p>
      <w:pPr>
        <w:spacing w:before="0"/>
        <w:ind w:left="579" w:right="0" w:firstLine="0"/>
        <w:jc w:val="left"/>
        <w:rPr>
          <w:b/>
          <w:sz w:val="18"/>
        </w:rPr>
      </w:pPr>
      <w:r>
        <w:rPr>
          <w:sz w:val="18"/>
        </w:rPr>
        <w:t>XGEVA (denosumab) </w:t>
      </w:r>
      <w:r>
        <w:rPr>
          <w:b/>
          <w:sz w:val="18"/>
        </w:rPr>
        <w:t>– PA</w:t>
      </w:r>
    </w:p>
    <w:p>
      <w:pPr>
        <w:spacing w:before="0"/>
        <w:ind w:left="579" w:right="0" w:firstLine="0"/>
        <w:jc w:val="left"/>
        <w:rPr>
          <w:b/>
          <w:sz w:val="18"/>
        </w:rPr>
      </w:pPr>
      <w:r>
        <w:rPr>
          <w:sz w:val="18"/>
        </w:rPr>
        <w:t>Zolpimist (zolpidem oral spray) </w:t>
      </w:r>
      <w:r>
        <w:rPr>
          <w:b/>
          <w:sz w:val="18"/>
        </w:rPr>
        <w:t>– PA</w:t>
      </w:r>
    </w:p>
    <w:p>
      <w:pPr>
        <w:pStyle w:val="Heading2"/>
        <w:numPr>
          <w:ilvl w:val="0"/>
          <w:numId w:val="2"/>
        </w:numPr>
        <w:tabs>
          <w:tab w:pos="400" w:val="left" w:leader="none"/>
        </w:tabs>
        <w:spacing w:line="240" w:lineRule="auto" w:before="162" w:after="0"/>
        <w:ind w:left="399" w:right="0" w:hanging="287"/>
        <w:jc w:val="left"/>
      </w:pPr>
      <w:r>
        <w:rPr/>
        <w:t>Change in Prior-Authorization</w:t>
      </w:r>
      <w:r>
        <w:rPr>
          <w:spacing w:val="-4"/>
        </w:rPr>
        <w:t> </w:t>
      </w:r>
      <w:r>
        <w:rPr/>
        <w:t>Status</w:t>
      </w:r>
    </w:p>
    <w:p>
      <w:pPr>
        <w:pStyle w:val="ListParagraph"/>
        <w:numPr>
          <w:ilvl w:val="1"/>
          <w:numId w:val="2"/>
        </w:numPr>
        <w:tabs>
          <w:tab w:pos="913" w:val="left" w:leader="none"/>
        </w:tabs>
        <w:spacing w:line="240" w:lineRule="auto" w:before="80" w:after="0"/>
        <w:ind w:left="947" w:right="356" w:hanging="360"/>
        <w:jc w:val="left"/>
        <w:rPr>
          <w:sz w:val="18"/>
        </w:rPr>
      </w:pPr>
      <w:r>
        <w:rPr>
          <w:sz w:val="18"/>
        </w:rPr>
        <w:t>The following drugs will require prior authorization when quantity limits are</w:t>
      </w:r>
      <w:r>
        <w:rPr>
          <w:spacing w:val="-5"/>
          <w:sz w:val="18"/>
        </w:rPr>
        <w:t> </w:t>
      </w:r>
      <w:r>
        <w:rPr>
          <w:sz w:val="18"/>
        </w:rPr>
        <w:t>exceeded.</w:t>
      </w:r>
    </w:p>
    <w:p>
      <w:pPr>
        <w:spacing w:before="38"/>
        <w:ind w:left="1307" w:right="137" w:hanging="188"/>
        <w:jc w:val="left"/>
        <w:rPr>
          <w:b/>
          <w:sz w:val="18"/>
        </w:rPr>
      </w:pPr>
      <w:r>
        <w:rPr>
          <w:sz w:val="18"/>
        </w:rPr>
        <w:t>Protonix # (pantoprazole 20 mg) </w:t>
      </w:r>
      <w:r>
        <w:rPr>
          <w:b/>
          <w:sz w:val="18"/>
        </w:rPr>
        <w:t>– PA &gt; 30 units/ month</w:t>
      </w:r>
    </w:p>
    <w:p>
      <w:pPr>
        <w:spacing w:before="0"/>
        <w:ind w:left="1299" w:right="137" w:hanging="180"/>
        <w:jc w:val="left"/>
        <w:rPr>
          <w:b/>
          <w:sz w:val="18"/>
        </w:rPr>
      </w:pPr>
      <w:r>
        <w:rPr>
          <w:sz w:val="18"/>
        </w:rPr>
        <w:t>Protonix # (pantoprazole 40 mg) </w:t>
      </w:r>
      <w:r>
        <w:rPr>
          <w:b/>
          <w:sz w:val="18"/>
        </w:rPr>
        <w:t>– PA &gt; 60 units/ month</w:t>
      </w:r>
    </w:p>
    <w:p>
      <w:pPr>
        <w:pStyle w:val="ListParagraph"/>
        <w:numPr>
          <w:ilvl w:val="1"/>
          <w:numId w:val="2"/>
        </w:numPr>
        <w:tabs>
          <w:tab w:pos="913" w:val="left" w:leader="none"/>
        </w:tabs>
        <w:spacing w:line="240" w:lineRule="auto" w:before="82" w:after="0"/>
        <w:ind w:left="947" w:right="142" w:hanging="360"/>
        <w:jc w:val="left"/>
        <w:rPr>
          <w:sz w:val="18"/>
        </w:rPr>
      </w:pPr>
      <w:r>
        <w:rPr>
          <w:sz w:val="18"/>
        </w:rPr>
        <w:t>The following drug has been added to the MassHealth OTC Drug List as covered for</w:t>
      </w:r>
      <w:r>
        <w:rPr>
          <w:spacing w:val="-27"/>
          <w:sz w:val="18"/>
        </w:rPr>
        <w:t> </w:t>
      </w:r>
      <w:r>
        <w:rPr>
          <w:sz w:val="18"/>
        </w:rPr>
        <w:t>members</w:t>
      </w:r>
    </w:p>
    <w:p>
      <w:pPr>
        <w:spacing w:line="285" w:lineRule="auto" w:before="0"/>
        <w:ind w:left="1119" w:right="1553" w:hanging="173"/>
        <w:jc w:val="left"/>
        <w:rPr>
          <w:sz w:val="18"/>
        </w:rPr>
      </w:pPr>
      <w:r>
        <w:rPr>
          <w:sz w:val="18"/>
        </w:rPr>
        <w:t>≤ 18 years old. melatonin/pyridoxine ≤ 18 years</w:t>
      </w:r>
    </w:p>
    <w:p>
      <w:pPr>
        <w:pStyle w:val="ListParagraph"/>
        <w:numPr>
          <w:ilvl w:val="1"/>
          <w:numId w:val="2"/>
        </w:numPr>
        <w:tabs>
          <w:tab w:pos="908" w:val="left" w:leader="none"/>
        </w:tabs>
        <w:spacing w:line="240" w:lineRule="auto" w:before="41" w:after="0"/>
        <w:ind w:left="947" w:right="332" w:hanging="360"/>
        <w:jc w:val="left"/>
        <w:rPr>
          <w:sz w:val="18"/>
        </w:rPr>
      </w:pPr>
      <w:r>
        <w:rPr>
          <w:sz w:val="18"/>
        </w:rPr>
        <w:t>The following antiviral drug will require prior authorization for quantities above one</w:t>
      </w:r>
      <w:r>
        <w:rPr>
          <w:spacing w:val="-28"/>
          <w:sz w:val="18"/>
        </w:rPr>
        <w:t> </w:t>
      </w:r>
      <w:r>
        <w:rPr>
          <w:sz w:val="18"/>
        </w:rPr>
        <w:t>tube/month effective May 16,</w:t>
      </w:r>
      <w:r>
        <w:rPr>
          <w:spacing w:val="-2"/>
          <w:sz w:val="18"/>
        </w:rPr>
        <w:t> </w:t>
      </w:r>
      <w:r>
        <w:rPr>
          <w:sz w:val="18"/>
        </w:rPr>
        <w:t>2011.</w:t>
      </w:r>
    </w:p>
    <w:p>
      <w:pPr>
        <w:spacing w:before="38"/>
        <w:ind w:left="1120" w:right="0" w:firstLine="0"/>
        <w:jc w:val="left"/>
        <w:rPr>
          <w:b/>
          <w:sz w:val="18"/>
        </w:rPr>
      </w:pPr>
      <w:r>
        <w:rPr>
          <w:sz w:val="18"/>
        </w:rPr>
        <w:t>Denavir (penciclovir) </w:t>
      </w:r>
      <w:r>
        <w:rPr>
          <w:b/>
          <w:sz w:val="18"/>
        </w:rPr>
        <w:t>– PA &gt; 1 tube/month</w:t>
      </w:r>
    </w:p>
    <w:p>
      <w:pPr>
        <w:pStyle w:val="ListParagraph"/>
        <w:numPr>
          <w:ilvl w:val="1"/>
          <w:numId w:val="2"/>
        </w:numPr>
        <w:tabs>
          <w:tab w:pos="836" w:val="left" w:leader="none"/>
          <w:tab w:pos="837" w:val="left" w:leader="none"/>
        </w:tabs>
        <w:spacing w:line="240" w:lineRule="auto" w:before="82" w:after="0"/>
        <w:ind w:left="846" w:right="430" w:hanging="360"/>
        <w:jc w:val="left"/>
        <w:rPr>
          <w:sz w:val="18"/>
        </w:rPr>
      </w:pPr>
      <w:r>
        <w:rPr>
          <w:sz w:val="18"/>
        </w:rPr>
        <w:t>The following drugs will require prior authorization effective May 16,</w:t>
      </w:r>
      <w:r>
        <w:rPr>
          <w:spacing w:val="-2"/>
          <w:sz w:val="18"/>
        </w:rPr>
        <w:t> </w:t>
      </w:r>
      <w:r>
        <w:rPr>
          <w:sz w:val="18"/>
        </w:rPr>
        <w:t>2011.</w:t>
      </w:r>
    </w:p>
    <w:p>
      <w:pPr>
        <w:spacing w:before="37"/>
        <w:ind w:left="1033" w:right="0" w:firstLine="0"/>
        <w:jc w:val="left"/>
        <w:rPr>
          <w:b/>
          <w:sz w:val="18"/>
        </w:rPr>
      </w:pPr>
      <w:r>
        <w:rPr>
          <w:sz w:val="18"/>
        </w:rPr>
        <w:t>Colcrys (colchicine) – </w:t>
      </w:r>
      <w:r>
        <w:rPr>
          <w:b/>
          <w:sz w:val="18"/>
        </w:rPr>
        <w:t>PA</w:t>
      </w:r>
    </w:p>
    <w:p>
      <w:pPr>
        <w:spacing w:before="1"/>
        <w:ind w:left="1030" w:right="0" w:firstLine="0"/>
        <w:jc w:val="left"/>
        <w:rPr>
          <w:b/>
          <w:sz w:val="18"/>
        </w:rPr>
      </w:pPr>
      <w:r>
        <w:rPr>
          <w:sz w:val="18"/>
        </w:rPr>
        <w:t>Infergen (interferon alfacon-1) </w:t>
      </w:r>
      <w:r>
        <w:rPr>
          <w:b/>
          <w:sz w:val="18"/>
        </w:rPr>
        <w:t>– PA</w:t>
      </w:r>
    </w:p>
    <w:p>
      <w:pPr>
        <w:spacing w:line="206" w:lineRule="exact" w:before="2"/>
        <w:ind w:left="1030" w:right="0" w:firstLine="0"/>
        <w:jc w:val="left"/>
        <w:rPr>
          <w:sz w:val="18"/>
        </w:rPr>
      </w:pPr>
      <w:r>
        <w:rPr>
          <w:sz w:val="18"/>
        </w:rPr>
        <w:t>Lacrisert (hydroxypropyl cellulose ophthalmic insert)</w:t>
      </w:r>
    </w:p>
    <w:p>
      <w:pPr>
        <w:spacing w:line="206" w:lineRule="exact" w:before="0"/>
        <w:ind w:left="1210" w:right="0" w:firstLine="0"/>
        <w:jc w:val="left"/>
        <w:rPr>
          <w:b/>
          <w:sz w:val="18"/>
        </w:rPr>
      </w:pPr>
      <w:r>
        <w:rPr>
          <w:b/>
          <w:sz w:val="18"/>
        </w:rPr>
        <w:t>– PA</w:t>
      </w:r>
    </w:p>
    <w:p>
      <w:pPr>
        <w:pStyle w:val="ListParagraph"/>
        <w:numPr>
          <w:ilvl w:val="1"/>
          <w:numId w:val="2"/>
        </w:numPr>
        <w:tabs>
          <w:tab w:pos="638" w:val="left" w:leader="none"/>
          <w:tab w:pos="639" w:val="left" w:leader="none"/>
        </w:tabs>
        <w:spacing w:line="240" w:lineRule="auto" w:before="99" w:after="0"/>
        <w:ind w:left="648" w:right="110" w:hanging="360"/>
        <w:jc w:val="left"/>
        <w:rPr>
          <w:sz w:val="18"/>
        </w:rPr>
      </w:pPr>
      <w:r>
        <w:rPr>
          <w:spacing w:val="0"/>
          <w:sz w:val="18"/>
        </w:rPr>
        <w:br w:type="column"/>
      </w:r>
      <w:r>
        <w:rPr>
          <w:sz w:val="18"/>
        </w:rPr>
        <w:t>The following drug will require prior authorization for</w:t>
      </w:r>
      <w:r>
        <w:rPr>
          <w:spacing w:val="-30"/>
          <w:sz w:val="18"/>
        </w:rPr>
        <w:t> </w:t>
      </w:r>
      <w:r>
        <w:rPr>
          <w:sz w:val="18"/>
        </w:rPr>
        <w:t>all quantities effective May 16,</w:t>
      </w:r>
      <w:r>
        <w:rPr>
          <w:spacing w:val="-4"/>
          <w:sz w:val="18"/>
        </w:rPr>
        <w:t> </w:t>
      </w:r>
      <w:r>
        <w:rPr>
          <w:sz w:val="18"/>
        </w:rPr>
        <w:t>2011.</w:t>
      </w:r>
    </w:p>
    <w:p>
      <w:pPr>
        <w:spacing w:before="79"/>
        <w:ind w:left="832" w:right="0" w:firstLine="0"/>
        <w:jc w:val="left"/>
        <w:rPr>
          <w:b/>
          <w:sz w:val="18"/>
        </w:rPr>
      </w:pPr>
      <w:r>
        <w:rPr>
          <w:sz w:val="18"/>
        </w:rPr>
        <w:t>Restasis (cyclosporine, ophthalmic) </w:t>
      </w:r>
      <w:r>
        <w:rPr>
          <w:b/>
          <w:sz w:val="18"/>
        </w:rPr>
        <w:t>– PA</w:t>
      </w:r>
    </w:p>
    <w:p>
      <w:pPr>
        <w:pStyle w:val="Heading1"/>
        <w:spacing w:line="288" w:lineRule="auto"/>
        <w:ind w:right="112"/>
        <w:rPr>
          <w:b/>
        </w:rPr>
      </w:pPr>
      <w:r>
        <w:rPr>
          <w:b/>
        </w:rPr>
        <w:t>Claims Processing Reminder-Emergency Fill</w:t>
      </w:r>
    </w:p>
    <w:p>
      <w:pPr>
        <w:pStyle w:val="BodyText"/>
        <w:ind w:left="112" w:right="122"/>
      </w:pPr>
      <w:r>
        <w:rPr/>
        <w:t>MassHealth Pharmacy regulations at 130 CMR 406.411(B) allow a pharmacist to dispense an appropriate emergency supply of MassHealth-covered drugs when they deny for coverage after normal business hours and prior authorization cannot be obtained from the UMass DUR unit. The pharmacy must indicate a level of service value of “3”</w:t>
      </w:r>
      <w:r>
        <w:rPr>
          <w:spacing w:val="-40"/>
        </w:rPr>
        <w:t> </w:t>
      </w:r>
      <w:r>
        <w:rPr/>
        <w:t>(emergency service) in field 418. When the pharmacist determines that an emergency exists, MassHealth will pay the pharmacy for at least a 72-hour, nonrefillable supply of the drug in compliance with state and federal regulations. After the prescription is adjudicated, the pharmacy should remove the “3” from the level of service field before the next fill. The DUR unit at UMass must be contacted during normal business hours to obtain PA for additional</w:t>
      </w:r>
      <w:r>
        <w:rPr>
          <w:spacing w:val="-11"/>
        </w:rPr>
        <w:t> </w:t>
      </w:r>
      <w:r>
        <w:rPr/>
        <w:t>refills.</w:t>
      </w:r>
    </w:p>
    <w:p>
      <w:pPr>
        <w:pStyle w:val="Heading1"/>
        <w:rPr>
          <w:b/>
        </w:rPr>
      </w:pPr>
      <w:r>
        <w:rPr>
          <w:b/>
        </w:rPr>
        <w:t>Version D.0</w:t>
      </w:r>
    </w:p>
    <w:p>
      <w:pPr>
        <w:pStyle w:val="BodyText"/>
        <w:spacing w:before="100"/>
        <w:ind w:left="112" w:right="133"/>
      </w:pPr>
      <w:r>
        <w:rPr/>
        <w:t>Effective January 1, 2012, the National Council for Prescription Drug Programs (NCPDP) Version D.0 transaction standards will become mandatory for all MassHealth pharmacy claims. D.0 is an updated version of the HIPAA standard for pharmacy claims transactions. All pharmacy software vendors should be upgrading their products in order to support D.0.</w:t>
      </w:r>
    </w:p>
    <w:p>
      <w:pPr>
        <w:pStyle w:val="BodyText"/>
        <w:ind w:left="112" w:right="145"/>
      </w:pPr>
      <w:r>
        <w:rPr/>
        <w:t>MassHealth will soon be posting the D.0 version of the POPS Billing Guide and Payer sheets on the MassHealth Pharmacy Program Web site. MassHealth pharmacy providers will be notified when these documents are available along with any additional information concerning D.0 in future Pharmacy Facts. Also in the near future MassHealth will be offering a test environment where pharmacies can submit D.0 test claims. Notification of the availability of this test environment will also be announced in a future Pharmacy Facts.</w:t>
      </w:r>
    </w:p>
    <w:p>
      <w:pPr>
        <w:pStyle w:val="Heading1"/>
        <w:rPr>
          <w:b/>
        </w:rPr>
      </w:pPr>
      <w:r>
        <w:rPr>
          <w:b/>
        </w:rPr>
        <w:t>Member Identification (ID) Number</w:t>
      </w:r>
    </w:p>
    <w:p>
      <w:pPr>
        <w:pStyle w:val="BodyText"/>
        <w:spacing w:before="101"/>
        <w:ind w:left="112" w:right="112"/>
      </w:pPr>
      <w:r>
        <w:rPr/>
        <w:t>Effective January 1, 2012, all MassHealth pharmacy claims must contain the 12-digit member ID number that was introduced in May 2009. The older 10-digit member ID numbers will no longer be accepted.</w:t>
      </w:r>
    </w:p>
    <w:p>
      <w:pPr>
        <w:spacing w:after="0"/>
        <w:sectPr>
          <w:type w:val="continuous"/>
          <w:pgSz w:w="12240" w:h="15840"/>
          <w:pgMar w:top="400" w:bottom="0" w:left="680" w:right="940"/>
          <w:cols w:num="2" w:equalWidth="0">
            <w:col w:w="5233" w:space="275"/>
            <w:col w:w="5112"/>
          </w:cols>
        </w:sectPr>
      </w:pPr>
    </w:p>
    <w:p>
      <w:pPr>
        <w:pStyle w:val="BodyText"/>
        <w:spacing w:before="142"/>
        <w:ind w:left="1936" w:right="1140"/>
        <w:jc w:val="center"/>
      </w:pPr>
      <w:r>
        <w:rPr/>
        <w:pict>
          <v:group style="position:absolute;margin-left:34.200001pt;margin-top:151.199982pt;width:554.4pt;height:598.2pt;mso-position-horizontal-relative:page;mso-position-vertical-relative:page;z-index:-3568" coordorigin="684,3024" coordsize="11088,11964">
            <v:shape style="position:absolute;left:684;top:3033;width:10613;height:2" coordorigin="684,3034" coordsize="10613,0" path="m684,3034l5989,3034m5989,3034l11297,3034e" filled="false" stroked="true" strokeweight=".96002pt" strokecolor="#000000">
              <v:path arrowok="t"/>
              <v:stroke dashstyle="solid"/>
            </v:shape>
            <v:line style="position:absolute" from="5994,3043" to="5994,14920" stroked="true" strokeweight=".48001pt" strokecolor="#000000">
              <v:stroke dashstyle="solid"/>
            </v:line>
            <v:shape style="position:absolute;left:792;top:14955;width:10980;height:27" coordorigin="792,14955" coordsize="10980,27" path="m792,14955l11772,14955m792,14981l11772,14981e" filled="false" stroked="true" strokeweight=".66pt" strokecolor="#000000">
              <v:path arrowok="t"/>
              <v:stroke dashstyle="solid"/>
            </v:shape>
            <w10:wrap type="none"/>
          </v:group>
        </w:pict>
      </w:r>
      <w:r>
        <w:rPr/>
        <w:t>Please direct any questions or comments (or to be taken off of this fax distribution) to</w:t>
      </w:r>
    </w:p>
    <w:p>
      <w:pPr>
        <w:spacing w:before="12"/>
        <w:ind w:left="1936" w:right="1139" w:firstLine="0"/>
        <w:jc w:val="center"/>
        <w:rPr>
          <w:sz w:val="20"/>
        </w:rPr>
      </w:pPr>
      <w:r>
        <w:rPr>
          <w:rFonts w:ascii="Arial Black"/>
          <w:b/>
          <w:sz w:val="20"/>
        </w:rPr>
        <w:t>Victor Moquin </w:t>
      </w:r>
      <w:r>
        <w:rPr>
          <w:sz w:val="20"/>
        </w:rPr>
        <w:t>of ACS at 617-423-9830.</w:t>
      </w:r>
    </w:p>
    <w:sectPr>
      <w:type w:val="continuous"/>
      <w:pgSz w:w="12240" w:h="15840"/>
      <w:pgMar w:top="400" w:bottom="0" w:left="68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Arial Narrow">
    <w:altName w:val="Arial Narrow"/>
    <w:charset w:val="0"/>
    <w:family w:val="swiss"/>
    <w:pitch w:val="variable"/>
  </w:font>
  <w:font w:name="Tahoma">
    <w:altName w:val="Tahoma"/>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400" w:hanging="289"/>
        <w:jc w:val="left"/>
      </w:pPr>
      <w:rPr>
        <w:rFonts w:hint="default" w:ascii="Arial" w:hAnsi="Arial" w:eastAsia="Arial" w:cs="Arial"/>
        <w:b/>
        <w:bCs/>
        <w:w w:val="99"/>
        <w:sz w:val="21"/>
        <w:szCs w:val="21"/>
      </w:rPr>
    </w:lvl>
    <w:lvl w:ilvl="1">
      <w:start w:val="1"/>
      <w:numFmt w:val="lowerLetter"/>
      <w:lvlText w:val="%2."/>
      <w:lvlJc w:val="left"/>
      <w:pPr>
        <w:ind w:left="947" w:hanging="326"/>
        <w:jc w:val="right"/>
      </w:pPr>
      <w:rPr>
        <w:rFonts w:hint="default" w:ascii="Arial" w:hAnsi="Arial" w:eastAsia="Arial" w:cs="Arial"/>
        <w:spacing w:val="-25"/>
        <w:w w:val="100"/>
        <w:sz w:val="18"/>
        <w:szCs w:val="18"/>
      </w:rPr>
    </w:lvl>
    <w:lvl w:ilvl="2">
      <w:start w:val="0"/>
      <w:numFmt w:val="bullet"/>
      <w:lvlText w:val="•"/>
      <w:lvlJc w:val="left"/>
      <w:pPr>
        <w:ind w:left="1416" w:hanging="326"/>
      </w:pPr>
      <w:rPr>
        <w:rFonts w:hint="default"/>
      </w:rPr>
    </w:lvl>
    <w:lvl w:ilvl="3">
      <w:start w:val="0"/>
      <w:numFmt w:val="bullet"/>
      <w:lvlText w:val="•"/>
      <w:lvlJc w:val="left"/>
      <w:pPr>
        <w:ind w:left="1893" w:hanging="326"/>
      </w:pPr>
      <w:rPr>
        <w:rFonts w:hint="default"/>
      </w:rPr>
    </w:lvl>
    <w:lvl w:ilvl="4">
      <w:start w:val="0"/>
      <w:numFmt w:val="bullet"/>
      <w:lvlText w:val="•"/>
      <w:lvlJc w:val="left"/>
      <w:pPr>
        <w:ind w:left="2370" w:hanging="326"/>
      </w:pPr>
      <w:rPr>
        <w:rFonts w:hint="default"/>
      </w:rPr>
    </w:lvl>
    <w:lvl w:ilvl="5">
      <w:start w:val="0"/>
      <w:numFmt w:val="bullet"/>
      <w:lvlText w:val="•"/>
      <w:lvlJc w:val="left"/>
      <w:pPr>
        <w:ind w:left="2847" w:hanging="326"/>
      </w:pPr>
      <w:rPr>
        <w:rFonts w:hint="default"/>
      </w:rPr>
    </w:lvl>
    <w:lvl w:ilvl="6">
      <w:start w:val="0"/>
      <w:numFmt w:val="bullet"/>
      <w:lvlText w:val="•"/>
      <w:lvlJc w:val="left"/>
      <w:pPr>
        <w:ind w:left="3324" w:hanging="326"/>
      </w:pPr>
      <w:rPr>
        <w:rFonts w:hint="default"/>
      </w:rPr>
    </w:lvl>
    <w:lvl w:ilvl="7">
      <w:start w:val="0"/>
      <w:numFmt w:val="bullet"/>
      <w:lvlText w:val="•"/>
      <w:lvlJc w:val="left"/>
      <w:pPr>
        <w:ind w:left="3801" w:hanging="326"/>
      </w:pPr>
      <w:rPr>
        <w:rFonts w:hint="default"/>
      </w:rPr>
    </w:lvl>
    <w:lvl w:ilvl="8">
      <w:start w:val="0"/>
      <w:numFmt w:val="bullet"/>
      <w:lvlText w:val="•"/>
      <w:lvlJc w:val="left"/>
      <w:pPr>
        <w:ind w:left="4278" w:hanging="326"/>
      </w:pPr>
      <w:rPr>
        <w:rFonts w:hint="default"/>
      </w:rPr>
    </w:lvl>
  </w:abstractNum>
  <w:abstractNum w:abstractNumId="0">
    <w:multiLevelType w:val="hybridMultilevel"/>
    <w:lvl w:ilvl="0">
      <w:start w:val="0"/>
      <w:numFmt w:val="bullet"/>
      <w:lvlText w:val="•"/>
      <w:lvlJc w:val="left"/>
      <w:pPr>
        <w:ind w:left="1839" w:hanging="150"/>
      </w:pPr>
      <w:rPr>
        <w:rFonts w:hint="default" w:ascii="Arial Black" w:hAnsi="Arial Black" w:eastAsia="Arial Black" w:cs="Arial Black"/>
        <w:b/>
        <w:bCs/>
        <w:w w:val="100"/>
        <w:sz w:val="18"/>
        <w:szCs w:val="18"/>
      </w:rPr>
    </w:lvl>
    <w:lvl w:ilvl="1">
      <w:start w:val="0"/>
      <w:numFmt w:val="bullet"/>
      <w:lvlText w:val="•"/>
      <w:lvlJc w:val="left"/>
      <w:pPr>
        <w:ind w:left="2718" w:hanging="150"/>
      </w:pPr>
      <w:rPr>
        <w:rFonts w:hint="default"/>
      </w:rPr>
    </w:lvl>
    <w:lvl w:ilvl="2">
      <w:start w:val="0"/>
      <w:numFmt w:val="bullet"/>
      <w:lvlText w:val="•"/>
      <w:lvlJc w:val="left"/>
      <w:pPr>
        <w:ind w:left="3596" w:hanging="150"/>
      </w:pPr>
      <w:rPr>
        <w:rFonts w:hint="default"/>
      </w:rPr>
    </w:lvl>
    <w:lvl w:ilvl="3">
      <w:start w:val="0"/>
      <w:numFmt w:val="bullet"/>
      <w:lvlText w:val="•"/>
      <w:lvlJc w:val="left"/>
      <w:pPr>
        <w:ind w:left="4474" w:hanging="150"/>
      </w:pPr>
      <w:rPr>
        <w:rFonts w:hint="default"/>
      </w:rPr>
    </w:lvl>
    <w:lvl w:ilvl="4">
      <w:start w:val="0"/>
      <w:numFmt w:val="bullet"/>
      <w:lvlText w:val="•"/>
      <w:lvlJc w:val="left"/>
      <w:pPr>
        <w:ind w:left="5352" w:hanging="150"/>
      </w:pPr>
      <w:rPr>
        <w:rFonts w:hint="default"/>
      </w:rPr>
    </w:lvl>
    <w:lvl w:ilvl="5">
      <w:start w:val="0"/>
      <w:numFmt w:val="bullet"/>
      <w:lvlText w:val="•"/>
      <w:lvlJc w:val="left"/>
      <w:pPr>
        <w:ind w:left="6230" w:hanging="150"/>
      </w:pPr>
      <w:rPr>
        <w:rFonts w:hint="default"/>
      </w:rPr>
    </w:lvl>
    <w:lvl w:ilvl="6">
      <w:start w:val="0"/>
      <w:numFmt w:val="bullet"/>
      <w:lvlText w:val="•"/>
      <w:lvlJc w:val="left"/>
      <w:pPr>
        <w:ind w:left="7108" w:hanging="150"/>
      </w:pPr>
      <w:rPr>
        <w:rFonts w:hint="default"/>
      </w:rPr>
    </w:lvl>
    <w:lvl w:ilvl="7">
      <w:start w:val="0"/>
      <w:numFmt w:val="bullet"/>
      <w:lvlText w:val="•"/>
      <w:lvlJc w:val="left"/>
      <w:pPr>
        <w:ind w:left="7986" w:hanging="150"/>
      </w:pPr>
      <w:rPr>
        <w:rFonts w:hint="default"/>
      </w:rPr>
    </w:lvl>
    <w:lvl w:ilvl="8">
      <w:start w:val="0"/>
      <w:numFmt w:val="bullet"/>
      <w:lvlText w:val="•"/>
      <w:lvlJc w:val="left"/>
      <w:pPr>
        <w:ind w:left="8864" w:hanging="15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spacing w:before="161"/>
      <w:ind w:left="115"/>
      <w:outlineLvl w:val="1"/>
    </w:pPr>
    <w:rPr>
      <w:rFonts w:ascii="Arial Black" w:hAnsi="Arial Black" w:eastAsia="Arial Black" w:cs="Arial Black"/>
      <w:b/>
      <w:bCs/>
      <w:sz w:val="22"/>
      <w:szCs w:val="22"/>
    </w:rPr>
  </w:style>
  <w:style w:styleId="Heading2" w:type="paragraph">
    <w:name w:val="Heading 2"/>
    <w:basedOn w:val="Normal"/>
    <w:uiPriority w:val="1"/>
    <w:qFormat/>
    <w:pPr>
      <w:spacing w:before="162"/>
      <w:ind w:left="399" w:hanging="288"/>
      <w:outlineLvl w:val="2"/>
    </w:pPr>
    <w:rPr>
      <w:rFonts w:ascii="Arial" w:hAnsi="Arial" w:eastAsia="Arial" w:cs="Arial"/>
      <w:b/>
      <w:bCs/>
      <w:sz w:val="21"/>
      <w:szCs w:val="21"/>
    </w:rPr>
  </w:style>
  <w:style w:styleId="ListParagraph" w:type="paragraph">
    <w:name w:val="List Paragraph"/>
    <w:basedOn w:val="Normal"/>
    <w:uiPriority w:val="1"/>
    <w:qFormat/>
    <w:pPr>
      <w:spacing w:before="82"/>
      <w:ind w:left="947" w:hanging="3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masshealth/pharmacy"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kegan</dc:creator>
  <dc:title>Microsoft Word - Pharmacy Facts_64_FINAL.txt</dc:title>
  <dcterms:created xsi:type="dcterms:W3CDTF">2017-11-20T19:40:41Z</dcterms:created>
  <dcterms:modified xsi:type="dcterms:W3CDTF">2017-11-20T19:40:41Z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2011-05-03T00:00:00Z</vt:filetime>
  </property>
  <property fmtid="{D5CDD505-2E9C-101B-9397-08002B2CF9AE}" pid="3" name="Creator">
    <vt:lpwstr>PScript5.dll Version 5.2.2</vt:lpwstr>
  </property>
  <property fmtid="{D5CDD505-2E9C-101B-9397-08002B2CF9AE}" pid="4" name="LastSaved">
    <vt:filetime>2017-11-20T00:00:00Z</vt:filetime>
  </property>
</Properties>
</file>