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rPr>
      </w:pPr>
    </w:p>
    <w:p>
      <w:pPr>
        <w:spacing w:before="0"/>
        <w:ind w:left="800" w:right="1097" w:firstLine="0"/>
        <w:jc w:val="center"/>
        <w:rPr>
          <w:rFonts w:ascii="Arial Narrow"/>
          <w:sz w:val="18"/>
        </w:rPr>
      </w:pPr>
      <w:r>
        <w:rPr/>
        <w:pict>
          <v:group style="position:absolute;margin-left:41.05793pt;margin-top:-104.701202pt;width:541.9pt;height:107.25pt;mso-position-horizontal-relative:page;mso-position-vertical-relative:paragraph;z-index:-5128" coordorigin="821,-2094" coordsize="10838,2145">
            <v:shape style="position:absolute;left:821;top:-2095;width:10838;height:2145" type="#_x0000_t75" stroked="false">
              <v:imagedata r:id="rId5" o:title=""/>
            </v:shape>
            <v:shapetype id="_x0000_t202" o:spt="202" coordsize="21600,21600" path="m,l,21600r21600,l21600,xe">
              <v:stroke joinstyle="miter"/>
              <v:path gradientshapeok="t" o:connecttype="rect"/>
            </v:shapetype>
            <v:shape style="position:absolute;left:1584;top:-1160;width:942;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65</w:t>
                    </w:r>
                  </w:p>
                  <w:p>
                    <w:pPr>
                      <w:spacing w:before="44"/>
                      <w:ind w:left="0" w:right="0" w:firstLine="0"/>
                      <w:jc w:val="left"/>
                      <w:rPr>
                        <w:rFonts w:ascii="Arial Narrow"/>
                        <w:b/>
                        <w:sz w:val="20"/>
                      </w:rPr>
                    </w:pPr>
                    <w:r>
                      <w:rPr>
                        <w:rFonts w:ascii="Arial Narrow"/>
                        <w:b/>
                        <w:sz w:val="20"/>
                      </w:rPr>
                      <w:t>July 8, 2011</w:t>
                    </w:r>
                  </w:p>
                </w:txbxContent>
              </v:textbox>
              <w10:wrap type="none"/>
            </v:shape>
            <v:shape style="position:absolute;left:10160;top:-262;width:1120;height:254" type="#_x0000_t202" filled="false" stroked="false">
              <v:textbox inset="0,0,0,0">
                <w:txbxContent>
                  <w:p>
                    <w:pPr>
                      <w:spacing w:before="0"/>
                      <w:ind w:left="0" w:right="0" w:firstLine="0"/>
                      <w:jc w:val="left"/>
                      <w:rPr>
                        <w:rFonts w:ascii="Arial Black"/>
                        <w:b/>
                        <w:sz w:val="18"/>
                      </w:rPr>
                    </w:pPr>
                    <w:r>
                      <w:rPr>
                        <w:rFonts w:ascii="Arial Black"/>
                        <w:b/>
                        <w:sz w:val="18"/>
                      </w:rPr>
                      <w:t>Page 1 of 2</w:t>
                    </w:r>
                  </w:p>
                </w:txbxContent>
              </v:textbox>
              <w10:wrap type="none"/>
            </v:shape>
            <w10:wrap type="none"/>
          </v:group>
        </w:pict>
      </w:r>
      <w:hyperlink r:id="rId6">
        <w:r>
          <w:rPr>
            <w:rFonts w:ascii="Arial Narrow"/>
            <w:sz w:val="18"/>
          </w:rPr>
          <w:t>www.mass.gov/masshealth/pharmacy</w:t>
        </w:r>
      </w:hyperlink>
    </w:p>
    <w:p>
      <w:pPr>
        <w:pStyle w:val="BodyText"/>
        <w:spacing w:line="20" w:lineRule="exact"/>
        <w:ind w:left="-6" w:right="-30"/>
        <w:rPr>
          <w:rFonts w:ascii="Arial Narrow"/>
          <w:sz w:val="2"/>
        </w:rPr>
      </w:pPr>
      <w:r>
        <w:rPr>
          <w:rFonts w:ascii="Arial Narrow"/>
          <w:sz w:val="2"/>
        </w:rPr>
        <w:pict>
          <v:group style="width:530.65pt;height:1pt;mso-position-horizontal-relative:char;mso-position-vertical-relative:line" coordorigin="0,0" coordsize="10613,20">
            <v:line style="position:absolute" from="0,10" to="10613,10" stroked="true" strokeweight=".95996pt" strokecolor="#000000">
              <v:stroke dashstyle="solid"/>
            </v:line>
          </v:group>
        </w:pict>
      </w:r>
      <w:r>
        <w:rPr>
          <w:rFonts w:ascii="Arial Narrow"/>
          <w:sz w:val="2"/>
        </w:rPr>
      </w:r>
    </w:p>
    <w:p>
      <w:pPr>
        <w:pStyle w:val="ListParagraph"/>
        <w:numPr>
          <w:ilvl w:val="0"/>
          <w:numId w:val="1"/>
        </w:numPr>
        <w:tabs>
          <w:tab w:pos="1840" w:val="left" w:leader="none"/>
        </w:tabs>
        <w:spacing w:line="240" w:lineRule="auto" w:before="0" w:after="0"/>
        <w:ind w:left="1839" w:right="0" w:hanging="149"/>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w:t>
      </w:r>
      <w:r>
        <w:rPr>
          <w:rFonts w:ascii="Arial Narrow" w:hAnsi="Arial Narrow"/>
          <w:spacing w:val="15"/>
          <w:sz w:val="18"/>
        </w:rPr>
        <w:t> </w:t>
      </w:r>
      <w:r>
        <w:rPr>
          <w:rFonts w:ascii="Arial Black" w:hAnsi="Arial Black"/>
          <w:b/>
          <w:sz w:val="18"/>
        </w:rPr>
        <w:t>•</w:t>
      </w:r>
    </w:p>
    <w:p>
      <w:pPr>
        <w:pStyle w:val="BodyText"/>
        <w:spacing w:before="1"/>
        <w:rPr>
          <w:rFonts w:ascii="Arial Black"/>
          <w:b/>
          <w:sz w:val="15"/>
        </w:rPr>
      </w:pPr>
    </w:p>
    <w:p>
      <w:pPr>
        <w:spacing w:after="0"/>
        <w:rPr>
          <w:rFonts w:ascii="Arial Black"/>
          <w:sz w:val="15"/>
        </w:rPr>
        <w:sectPr>
          <w:type w:val="continuous"/>
          <w:pgSz w:w="12240" w:h="15840"/>
          <w:pgMar w:top="400" w:bottom="0" w:left="860" w:right="740"/>
        </w:sectPr>
      </w:pPr>
    </w:p>
    <w:p>
      <w:pPr>
        <w:pStyle w:val="Heading1"/>
        <w:spacing w:before="100"/>
        <w:rPr>
          <w:b/>
        </w:rPr>
      </w:pPr>
      <w:r>
        <w:rPr/>
        <w:pict>
          <v:group style="position:absolute;margin-left:43.200001pt;margin-top:-8.093599pt;width:530.65pt;height:622.8pt;mso-position-horizontal-relative:page;mso-position-vertical-relative:paragraph;z-index:-5104" coordorigin="864,-162" coordsize="10613,12456">
            <v:shape style="position:absolute;left:864;top:-153;width:10613;height:2" coordorigin="864,-152" coordsize="10613,0" path="m864,-152l6169,-152m6169,-152l11477,-152e" filled="false" stroked="true" strokeweight=".96002pt" strokecolor="#000000">
              <v:path arrowok="t"/>
              <v:stroke dashstyle="solid"/>
            </v:shape>
            <v:line style="position:absolute" from="6174,-143" to="6174,12294" stroked="true" strokeweight=".48001pt" strokecolor="#000000">
              <v:stroke dashstyle="solid"/>
            </v:line>
            <w10:wrap type="none"/>
          </v:group>
        </w:pict>
      </w:r>
      <w:r>
        <w:rPr>
          <w:b/>
          <w:color w:val="231F20"/>
        </w:rPr>
        <w:t>MassHealth Fraud Hotline</w:t>
      </w:r>
    </w:p>
    <w:p>
      <w:pPr>
        <w:pStyle w:val="BodyText"/>
        <w:spacing w:before="241"/>
        <w:ind w:left="112" w:right="55"/>
      </w:pPr>
      <w:r>
        <w:rPr>
          <w:color w:val="231F20"/>
        </w:rPr>
        <w:t>MassHealth has launched a Fraud Hotline accessible at 1-877-437-2830. The hotline answers calls received between 8 A.M. to 5 P.M., Monday through Friday.</w:t>
      </w:r>
    </w:p>
    <w:p>
      <w:pPr>
        <w:pStyle w:val="BodyText"/>
        <w:ind w:left="111" w:right="38"/>
      </w:pPr>
      <w:r>
        <w:rPr>
          <w:color w:val="231F20"/>
        </w:rPr>
        <w:t>After-hours, weekend, and holiday calls are received by a voice-mail system. This system can be used by anyone who suspects identification theft, or member or provider fraud; to voice concerns or to report suspicions of fraud, waste, and abuse. All staff are trained to handle each referral confidentially and complete a thorough investigation. If you suspect fraud, call the Fraud Hotline at</w:t>
      </w:r>
      <w:r>
        <w:rPr>
          <w:color w:val="231F20"/>
          <w:spacing w:val="-11"/>
        </w:rPr>
        <w:t> </w:t>
      </w:r>
      <w:r>
        <w:rPr>
          <w:color w:val="231F20"/>
        </w:rPr>
        <w:t>1-877-437-2830.</w:t>
      </w:r>
    </w:p>
    <w:p>
      <w:pPr>
        <w:pStyle w:val="BodyText"/>
        <w:spacing w:before="11"/>
        <w:rPr>
          <w:sz w:val="20"/>
        </w:rPr>
      </w:pPr>
    </w:p>
    <w:p>
      <w:pPr>
        <w:pStyle w:val="Heading1"/>
        <w:rPr>
          <w:b/>
        </w:rPr>
      </w:pPr>
      <w:r>
        <w:rPr>
          <w:b/>
          <w:color w:val="231F20"/>
        </w:rPr>
        <w:t>Draft POPS Billing Guide Standard D.0</w:t>
      </w:r>
    </w:p>
    <w:p>
      <w:pPr>
        <w:pStyle w:val="BodyText"/>
        <w:spacing w:before="242"/>
        <w:ind w:left="111" w:right="77"/>
      </w:pPr>
      <w:r>
        <w:rPr>
          <w:color w:val="231F20"/>
        </w:rPr>
        <w:t>This is a reminder that, as of January 1, 2012, the pharmacy industry’s claims telecommunication standard will change. The National Council for Prescription Drug Programs (NCPDP) current standard (v5.1) will be replaced by the new telecommunication standard, vD.0. Accordingly, the MassHealth Pharmacy Program has posted on the Pharmacy page of the MassHealth Web site, a draft edition of the POPS Billing Guide in the new D.0 standard, in advance of the go-live date. This new draft D.0 POPS Billing Guide will be posted concurrently with the current POPS Billing Guide, until January 1, 2012. To view the draft billing guide go to </w:t>
      </w:r>
      <w:hyperlink r:id="rId6">
        <w:r>
          <w:rPr>
            <w:color w:val="3365FF"/>
            <w:u w:val="single" w:color="3365FF"/>
          </w:rPr>
          <w:t>www.mass.gov/masshealth/pharmacy</w:t>
        </w:r>
        <w:r>
          <w:rPr>
            <w:color w:val="3365FF"/>
          </w:rPr>
          <w:t> </w:t>
        </w:r>
      </w:hyperlink>
      <w:r>
        <w:rPr>
          <w:color w:val="231F20"/>
        </w:rPr>
        <w:t>and click on the link for MassHealth Pharmacy Publications and Notices for Pharmacy Providers, then Draft POPS Billing Guide Standard D.0.</w:t>
      </w:r>
    </w:p>
    <w:p>
      <w:pPr>
        <w:pStyle w:val="BodyText"/>
        <w:spacing w:before="11"/>
        <w:rPr>
          <w:sz w:val="20"/>
        </w:rPr>
      </w:pPr>
    </w:p>
    <w:p>
      <w:pPr>
        <w:pStyle w:val="Heading1"/>
        <w:rPr>
          <w:b/>
        </w:rPr>
      </w:pPr>
      <w:r>
        <w:rPr>
          <w:b/>
          <w:color w:val="231F20"/>
        </w:rPr>
        <w:t>Member Identification Number</w:t>
      </w:r>
    </w:p>
    <w:p>
      <w:pPr>
        <w:pStyle w:val="BodyText"/>
        <w:spacing w:before="242"/>
        <w:ind w:left="112" w:right="32"/>
      </w:pPr>
      <w:r>
        <w:rPr>
          <w:color w:val="231F20"/>
        </w:rPr>
        <w:t>Also effective January 1, 2012, all MassHealth pharmacy claims must contain the 12-digit member identification number that was introduced in May 2009. The older 10-digit member identification numbers will no longer be accepted.</w:t>
      </w:r>
    </w:p>
    <w:p>
      <w:pPr>
        <w:pStyle w:val="BodyText"/>
        <w:spacing w:before="11"/>
        <w:rPr>
          <w:sz w:val="20"/>
        </w:rPr>
      </w:pPr>
    </w:p>
    <w:p>
      <w:pPr>
        <w:pStyle w:val="Heading1"/>
        <w:rPr>
          <w:b/>
        </w:rPr>
      </w:pPr>
      <w:r>
        <w:rPr>
          <w:b/>
          <w:color w:val="231F20"/>
        </w:rPr>
        <w:t>MHDL Update</w:t>
      </w:r>
    </w:p>
    <w:p>
      <w:pPr>
        <w:pStyle w:val="BodyText"/>
        <w:spacing w:before="242"/>
        <w:ind w:left="112" w:right="32"/>
      </w:pPr>
      <w:r>
        <w:rPr>
          <w:color w:val="231F20"/>
        </w:rPr>
        <w:t>Below are certain updates to the MassHealth Drug List (MHDL). See the MHDL for a complete listing of updates.</w:t>
      </w:r>
    </w:p>
    <w:p>
      <w:pPr>
        <w:pStyle w:val="Heading2"/>
        <w:numPr>
          <w:ilvl w:val="0"/>
          <w:numId w:val="2"/>
        </w:numPr>
        <w:tabs>
          <w:tab w:pos="472" w:val="left" w:leader="none"/>
        </w:tabs>
        <w:spacing w:line="240" w:lineRule="auto" w:before="100" w:after="0"/>
        <w:ind w:left="471" w:right="0" w:hanging="359"/>
        <w:jc w:val="left"/>
      </w:pPr>
      <w:r>
        <w:rPr>
          <w:color w:val="231F20"/>
        </w:rPr>
        <w:br w:type="column"/>
        <w:t>Additions</w:t>
      </w:r>
    </w:p>
    <w:p>
      <w:pPr>
        <w:pStyle w:val="BodyText"/>
        <w:rPr>
          <w:b/>
        </w:rPr>
      </w:pPr>
    </w:p>
    <w:p>
      <w:pPr>
        <w:pStyle w:val="ListParagraph"/>
        <w:numPr>
          <w:ilvl w:val="1"/>
          <w:numId w:val="2"/>
        </w:numPr>
        <w:tabs>
          <w:tab w:pos="850" w:val="left" w:leader="none"/>
        </w:tabs>
        <w:spacing w:line="240" w:lineRule="auto" w:before="0" w:after="0"/>
        <w:ind w:left="850" w:right="616" w:hanging="360"/>
        <w:jc w:val="left"/>
        <w:rPr>
          <w:color w:val="231F20"/>
          <w:sz w:val="21"/>
        </w:rPr>
      </w:pPr>
      <w:r>
        <w:rPr>
          <w:color w:val="231F20"/>
          <w:sz w:val="21"/>
        </w:rPr>
        <w:t>The following newly marketed drugs</w:t>
      </w:r>
      <w:r>
        <w:rPr>
          <w:color w:val="231F20"/>
          <w:spacing w:val="-25"/>
          <w:sz w:val="21"/>
        </w:rPr>
        <w:t> </w:t>
      </w:r>
      <w:r>
        <w:rPr>
          <w:color w:val="231F20"/>
          <w:sz w:val="21"/>
        </w:rPr>
        <w:t>have been added to the MassHealth Drug List effective July 11,</w:t>
      </w:r>
      <w:r>
        <w:rPr>
          <w:color w:val="231F20"/>
          <w:spacing w:val="-2"/>
          <w:sz w:val="21"/>
        </w:rPr>
        <w:t> </w:t>
      </w:r>
      <w:r>
        <w:rPr>
          <w:color w:val="231F20"/>
          <w:sz w:val="21"/>
        </w:rPr>
        <w:t>2011.</w:t>
      </w:r>
    </w:p>
    <w:p>
      <w:pPr>
        <w:pStyle w:val="BodyText"/>
      </w:pPr>
    </w:p>
    <w:p>
      <w:pPr>
        <w:pStyle w:val="BodyText"/>
        <w:spacing w:line="241" w:lineRule="exact"/>
        <w:ind w:left="832"/>
        <w:rPr>
          <w:b/>
        </w:rPr>
      </w:pPr>
      <w:r>
        <w:rPr>
          <w:color w:val="231F20"/>
        </w:rPr>
        <w:t>Axiron (testosterone 2% solution) – </w:t>
      </w:r>
      <w:r>
        <w:rPr>
          <w:b/>
          <w:color w:val="231F20"/>
        </w:rPr>
        <w:t>PA</w:t>
      </w:r>
    </w:p>
    <w:p>
      <w:pPr>
        <w:pStyle w:val="BodyText"/>
        <w:ind w:left="832"/>
        <w:rPr>
          <w:b/>
        </w:rPr>
      </w:pPr>
      <w:r>
        <w:rPr>
          <w:color w:val="231F20"/>
        </w:rPr>
        <w:t>Benlysta (belimumab) – </w:t>
      </w:r>
      <w:r>
        <w:rPr>
          <w:b/>
          <w:color w:val="231F20"/>
        </w:rPr>
        <w:t>PA</w:t>
      </w:r>
    </w:p>
    <w:p>
      <w:pPr>
        <w:pStyle w:val="BodyText"/>
        <w:spacing w:before="1"/>
        <w:ind w:left="832" w:right="777"/>
        <w:rPr>
          <w:b/>
        </w:rPr>
      </w:pPr>
      <w:r>
        <w:rPr>
          <w:color w:val="231F20"/>
        </w:rPr>
        <w:t>Briellyn (ethinyl estradiol/norethindrone) Edarbi (azilsartan) – </w:t>
      </w:r>
      <w:r>
        <w:rPr>
          <w:b/>
          <w:color w:val="231F20"/>
        </w:rPr>
        <w:t>PA</w:t>
      </w:r>
    </w:p>
    <w:p>
      <w:pPr>
        <w:pStyle w:val="BodyText"/>
        <w:ind w:left="1030" w:right="503" w:hanging="180"/>
        <w:rPr>
          <w:b/>
        </w:rPr>
      </w:pPr>
      <w:r>
        <w:rPr>
          <w:color w:val="231F20"/>
        </w:rPr>
        <w:t>FORTESTA (testosterone 10 mg/actuation pump) – </w:t>
      </w:r>
      <w:r>
        <w:rPr>
          <w:b/>
          <w:color w:val="231F20"/>
        </w:rPr>
        <w:t>PA</w:t>
      </w:r>
    </w:p>
    <w:p>
      <w:pPr>
        <w:pStyle w:val="BodyText"/>
        <w:ind w:left="1030" w:right="462" w:hanging="198"/>
      </w:pPr>
      <w:r>
        <w:rPr>
          <w:color w:val="231F20"/>
        </w:rPr>
        <w:t>Generess Fe chewable (ethinyl estradiol/norethindrone/ferrous fumarate)</w:t>
      </w:r>
    </w:p>
    <w:p>
      <w:pPr>
        <w:pStyle w:val="BodyText"/>
        <w:spacing w:line="241" w:lineRule="exact"/>
        <w:ind w:left="832"/>
      </w:pPr>
      <w:r>
        <w:rPr>
          <w:color w:val="231F20"/>
        </w:rPr>
        <w:t>Loryna (ethinyl estradiol/drospirenone)</w:t>
      </w:r>
    </w:p>
    <w:p>
      <w:pPr>
        <w:pStyle w:val="BodyText"/>
        <w:ind w:left="1030" w:right="754" w:hanging="198"/>
        <w:rPr>
          <w:b/>
        </w:rPr>
      </w:pPr>
      <w:r>
        <w:rPr>
          <w:color w:val="231F20"/>
        </w:rPr>
        <w:t>Makena (hydroxyprogesterone caproate injection) – </w:t>
      </w:r>
      <w:r>
        <w:rPr>
          <w:b/>
          <w:color w:val="231F20"/>
        </w:rPr>
        <w:t>PA</w:t>
      </w:r>
    </w:p>
    <w:p>
      <w:pPr>
        <w:pStyle w:val="BodyText"/>
        <w:ind w:left="832" w:right="2166"/>
      </w:pPr>
      <w:r>
        <w:rPr>
          <w:color w:val="231F20"/>
        </w:rPr>
        <w:t>Matzim LA (diltiazem) Natroba (spinosad) – </w:t>
      </w:r>
      <w:r>
        <w:rPr>
          <w:b/>
          <w:color w:val="231F20"/>
        </w:rPr>
        <w:t>PA </w:t>
      </w:r>
      <w:r>
        <w:rPr>
          <w:color w:val="231F20"/>
        </w:rPr>
        <w:t>Zeosa chewable (ethinyl</w:t>
      </w:r>
    </w:p>
    <w:p>
      <w:pPr>
        <w:pStyle w:val="BodyText"/>
        <w:spacing w:line="241" w:lineRule="exact"/>
        <w:ind w:left="1030"/>
      </w:pPr>
      <w:r>
        <w:rPr>
          <w:color w:val="231F20"/>
        </w:rPr>
        <w:t>estradiol/norethindrone/ferrous fumarate)</w:t>
      </w:r>
    </w:p>
    <w:p>
      <w:pPr>
        <w:pStyle w:val="BodyText"/>
        <w:spacing w:before="1"/>
      </w:pPr>
    </w:p>
    <w:p>
      <w:pPr>
        <w:pStyle w:val="ListParagraph"/>
        <w:numPr>
          <w:ilvl w:val="1"/>
          <w:numId w:val="2"/>
        </w:numPr>
        <w:tabs>
          <w:tab w:pos="831" w:val="left" w:leader="none"/>
          <w:tab w:pos="832" w:val="left" w:leader="none"/>
        </w:tabs>
        <w:spacing w:line="240" w:lineRule="auto" w:before="0" w:after="0"/>
        <w:ind w:left="832" w:right="420" w:hanging="390"/>
        <w:jc w:val="left"/>
        <w:rPr>
          <w:color w:val="231F20"/>
          <w:sz w:val="21"/>
        </w:rPr>
      </w:pPr>
      <w:r>
        <w:rPr>
          <w:color w:val="231F20"/>
          <w:sz w:val="21"/>
        </w:rPr>
        <w:t>The following newly marketed drugs will be added to the MassHealth Drug List effective July 25,</w:t>
      </w:r>
      <w:r>
        <w:rPr>
          <w:color w:val="231F20"/>
          <w:spacing w:val="-1"/>
          <w:sz w:val="21"/>
        </w:rPr>
        <w:t> </w:t>
      </w:r>
      <w:r>
        <w:rPr>
          <w:color w:val="231F20"/>
          <w:sz w:val="21"/>
        </w:rPr>
        <w:t>2011.</w:t>
      </w:r>
    </w:p>
    <w:p>
      <w:pPr>
        <w:pStyle w:val="BodyText"/>
      </w:pPr>
    </w:p>
    <w:p>
      <w:pPr>
        <w:pStyle w:val="BodyText"/>
        <w:spacing w:line="241" w:lineRule="exact"/>
        <w:ind w:left="832"/>
        <w:rPr>
          <w:b/>
        </w:rPr>
      </w:pPr>
      <w:r>
        <w:rPr>
          <w:color w:val="231F20"/>
        </w:rPr>
        <w:t>Incivek (telaprevir) – </w:t>
      </w:r>
      <w:r>
        <w:rPr>
          <w:b/>
          <w:color w:val="231F20"/>
        </w:rPr>
        <w:t>PA</w:t>
      </w:r>
    </w:p>
    <w:p>
      <w:pPr>
        <w:pStyle w:val="BodyText"/>
        <w:ind w:left="832"/>
        <w:rPr>
          <w:b/>
        </w:rPr>
      </w:pPr>
      <w:r>
        <w:rPr>
          <w:color w:val="231F20"/>
        </w:rPr>
        <w:t>Victrelis (boceprevir) – </w:t>
      </w:r>
      <w:r>
        <w:rPr>
          <w:b/>
          <w:color w:val="231F20"/>
        </w:rPr>
        <w:t>PA</w:t>
      </w:r>
    </w:p>
    <w:p>
      <w:pPr>
        <w:pStyle w:val="BodyText"/>
        <w:spacing w:before="11"/>
        <w:rPr>
          <w:b/>
          <w:sz w:val="20"/>
        </w:rPr>
      </w:pPr>
    </w:p>
    <w:p>
      <w:pPr>
        <w:pStyle w:val="Heading2"/>
        <w:numPr>
          <w:ilvl w:val="0"/>
          <w:numId w:val="2"/>
        </w:numPr>
        <w:tabs>
          <w:tab w:pos="473" w:val="left" w:leader="none"/>
        </w:tabs>
        <w:spacing w:line="240" w:lineRule="auto" w:before="0" w:after="0"/>
        <w:ind w:left="472" w:right="0" w:hanging="360"/>
        <w:jc w:val="left"/>
      </w:pPr>
      <w:r>
        <w:rPr>
          <w:color w:val="231F20"/>
        </w:rPr>
        <w:t>Change in Prior-Authorization</w:t>
      </w:r>
      <w:r>
        <w:rPr>
          <w:color w:val="231F20"/>
          <w:spacing w:val="-4"/>
        </w:rPr>
        <w:t> </w:t>
      </w:r>
      <w:r>
        <w:rPr>
          <w:color w:val="231F20"/>
        </w:rPr>
        <w:t>Status</w:t>
      </w:r>
    </w:p>
    <w:p>
      <w:pPr>
        <w:pStyle w:val="BodyText"/>
        <w:rPr>
          <w:b/>
        </w:rPr>
      </w:pPr>
    </w:p>
    <w:p>
      <w:pPr>
        <w:pStyle w:val="ListParagraph"/>
        <w:numPr>
          <w:ilvl w:val="1"/>
          <w:numId w:val="2"/>
        </w:numPr>
        <w:tabs>
          <w:tab w:pos="833" w:val="left" w:leader="none"/>
        </w:tabs>
        <w:spacing w:line="240" w:lineRule="auto" w:before="1" w:after="0"/>
        <w:ind w:left="832" w:right="178" w:hanging="360"/>
        <w:jc w:val="left"/>
        <w:rPr>
          <w:sz w:val="21"/>
        </w:rPr>
      </w:pPr>
      <w:r>
        <w:rPr>
          <w:color w:val="231F20"/>
          <w:sz w:val="21"/>
        </w:rPr>
        <w:t>The following drugs have been added to the MassHealth OTC Drug List as covered</w:t>
      </w:r>
      <w:r>
        <w:rPr>
          <w:color w:val="231F20"/>
          <w:spacing w:val="-28"/>
          <w:sz w:val="21"/>
        </w:rPr>
        <w:t> </w:t>
      </w:r>
      <w:r>
        <w:rPr>
          <w:color w:val="231F20"/>
          <w:sz w:val="21"/>
        </w:rPr>
        <w:t>without requiring a prior</w:t>
      </w:r>
      <w:r>
        <w:rPr>
          <w:color w:val="231F20"/>
          <w:spacing w:val="-3"/>
          <w:sz w:val="21"/>
        </w:rPr>
        <w:t> </w:t>
      </w:r>
      <w:r>
        <w:rPr>
          <w:color w:val="231F20"/>
          <w:sz w:val="21"/>
        </w:rPr>
        <w:t>authorization.</w:t>
      </w:r>
    </w:p>
    <w:p>
      <w:pPr>
        <w:pStyle w:val="BodyText"/>
        <w:spacing w:before="11"/>
        <w:rPr>
          <w:sz w:val="20"/>
        </w:rPr>
      </w:pPr>
    </w:p>
    <w:p>
      <w:pPr>
        <w:pStyle w:val="BodyText"/>
        <w:ind w:left="832" w:right="1641"/>
      </w:pPr>
      <w:r>
        <w:rPr>
          <w:color w:val="231F20"/>
        </w:rPr>
        <w:t>branded nonoxynol-9 products cetirizine/pseudoephedrine loratadine/pseudoephedrine</w:t>
      </w:r>
    </w:p>
    <w:p>
      <w:pPr>
        <w:pStyle w:val="BodyText"/>
      </w:pPr>
    </w:p>
    <w:p>
      <w:pPr>
        <w:pStyle w:val="ListParagraph"/>
        <w:numPr>
          <w:ilvl w:val="1"/>
          <w:numId w:val="2"/>
        </w:numPr>
        <w:tabs>
          <w:tab w:pos="833" w:val="left" w:leader="none"/>
        </w:tabs>
        <w:spacing w:line="240" w:lineRule="auto" w:before="0" w:after="0"/>
        <w:ind w:left="832" w:right="141" w:hanging="360"/>
        <w:jc w:val="left"/>
        <w:rPr>
          <w:sz w:val="21"/>
        </w:rPr>
      </w:pPr>
      <w:r>
        <w:rPr>
          <w:color w:val="231F20"/>
          <w:sz w:val="21"/>
        </w:rPr>
        <w:t>The following drug will require prior authorization for all quantities effective July 25, 2011.</w:t>
      </w:r>
    </w:p>
    <w:p>
      <w:pPr>
        <w:pStyle w:val="BodyText"/>
        <w:spacing w:before="9"/>
        <w:rPr>
          <w:sz w:val="20"/>
        </w:rPr>
      </w:pPr>
    </w:p>
    <w:p>
      <w:pPr>
        <w:pStyle w:val="BodyText"/>
        <w:ind w:left="832"/>
        <w:rPr>
          <w:b/>
        </w:rPr>
      </w:pPr>
      <w:r>
        <w:rPr>
          <w:color w:val="231F20"/>
        </w:rPr>
        <w:t>Concerta ER (methylphenidate) </w:t>
      </w:r>
      <w:r>
        <w:rPr>
          <w:color w:val="231F20"/>
          <w:sz w:val="24"/>
        </w:rPr>
        <w:t>– </w:t>
      </w:r>
      <w:r>
        <w:rPr>
          <w:b/>
          <w:color w:val="231F20"/>
        </w:rPr>
        <w:t>PA</w:t>
      </w:r>
    </w:p>
    <w:p>
      <w:pPr>
        <w:pStyle w:val="BodyText"/>
        <w:spacing w:before="2"/>
        <w:rPr>
          <w:b/>
        </w:rPr>
      </w:pPr>
    </w:p>
    <w:p>
      <w:pPr>
        <w:pStyle w:val="ListParagraph"/>
        <w:numPr>
          <w:ilvl w:val="1"/>
          <w:numId w:val="2"/>
        </w:numPr>
        <w:tabs>
          <w:tab w:pos="832" w:val="left" w:leader="none"/>
        </w:tabs>
        <w:spacing w:line="240" w:lineRule="auto" w:before="0" w:after="0"/>
        <w:ind w:left="832" w:right="1087" w:hanging="361"/>
        <w:jc w:val="left"/>
        <w:rPr>
          <w:sz w:val="21"/>
        </w:rPr>
      </w:pPr>
      <w:r>
        <w:rPr>
          <w:color w:val="231F20"/>
          <w:sz w:val="21"/>
        </w:rPr>
        <w:t>The following drugs will require prior authorization effective July 25,</w:t>
      </w:r>
      <w:r>
        <w:rPr>
          <w:color w:val="231F20"/>
          <w:spacing w:val="-26"/>
          <w:sz w:val="21"/>
        </w:rPr>
        <w:t> </w:t>
      </w:r>
      <w:r>
        <w:rPr>
          <w:color w:val="231F20"/>
          <w:sz w:val="21"/>
        </w:rPr>
        <w:t>2011.</w:t>
      </w:r>
    </w:p>
    <w:p>
      <w:pPr>
        <w:spacing w:after="0" w:line="240" w:lineRule="auto"/>
        <w:jc w:val="left"/>
        <w:rPr>
          <w:sz w:val="21"/>
        </w:rPr>
        <w:sectPr>
          <w:type w:val="continuous"/>
          <w:pgSz w:w="12240" w:h="15840"/>
          <w:pgMar w:top="400" w:bottom="0" w:left="860" w:right="740"/>
          <w:cols w:num="2" w:equalWidth="0">
            <w:col w:w="5242" w:space="68"/>
            <w:col w:w="5330"/>
          </w:cols>
        </w:sectPr>
      </w:pPr>
    </w:p>
    <w:p>
      <w:pPr>
        <w:tabs>
          <w:tab w:pos="9307" w:val="left" w:leader="none"/>
        </w:tabs>
        <w:spacing w:before="72"/>
        <w:ind w:left="186" w:right="0" w:firstLine="0"/>
        <w:jc w:val="left"/>
        <w:rPr>
          <w:rFonts w:ascii="Arial Black"/>
          <w:b/>
          <w:sz w:val="18"/>
        </w:rPr>
      </w:pPr>
      <w:r>
        <w:rPr>
          <w:rFonts w:ascii="Arial Black"/>
          <w:b/>
          <w:sz w:val="18"/>
        </w:rPr>
        <w:t>Pharmacy Facts,</w:t>
      </w:r>
      <w:r>
        <w:rPr>
          <w:rFonts w:ascii="Arial Black"/>
          <w:b/>
          <w:spacing w:val="-5"/>
          <w:sz w:val="18"/>
        </w:rPr>
        <w:t> </w:t>
      </w:r>
      <w:r>
        <w:rPr>
          <w:rFonts w:ascii="Arial Black"/>
          <w:b/>
          <w:sz w:val="18"/>
        </w:rPr>
        <w:t>Number</w:t>
      </w:r>
      <w:r>
        <w:rPr>
          <w:rFonts w:ascii="Arial Black"/>
          <w:b/>
          <w:spacing w:val="-3"/>
          <w:sz w:val="18"/>
        </w:rPr>
        <w:t> </w:t>
      </w:r>
      <w:r>
        <w:rPr>
          <w:rFonts w:ascii="Arial Black"/>
          <w:b/>
          <w:sz w:val="18"/>
        </w:rPr>
        <w:t>65</w:t>
        <w:tab/>
        <w:t>Page 2 of</w:t>
      </w:r>
      <w:r>
        <w:rPr>
          <w:rFonts w:ascii="Arial Black"/>
          <w:b/>
          <w:spacing w:val="-5"/>
          <w:sz w:val="18"/>
        </w:rPr>
        <w:t> </w:t>
      </w:r>
      <w:r>
        <w:rPr>
          <w:rFonts w:ascii="Arial Black"/>
          <w:b/>
          <w:sz w:val="18"/>
        </w:rPr>
        <w:t>2</w:t>
      </w:r>
    </w:p>
    <w:p>
      <w:pPr>
        <w:pStyle w:val="BodyText"/>
        <w:spacing w:before="3"/>
        <w:rPr>
          <w:rFonts w:ascii="Arial Black"/>
          <w:b/>
          <w:sz w:val="14"/>
        </w:rPr>
      </w:pPr>
    </w:p>
    <w:p>
      <w:pPr>
        <w:spacing w:after="0"/>
        <w:rPr>
          <w:rFonts w:ascii="Arial Black"/>
          <w:sz w:val="14"/>
        </w:rPr>
        <w:sectPr>
          <w:pgSz w:w="12240" w:h="15840"/>
          <w:pgMar w:top="360" w:bottom="280" w:left="860" w:right="740"/>
        </w:sectPr>
      </w:pPr>
    </w:p>
    <w:p>
      <w:pPr>
        <w:pStyle w:val="BodyText"/>
        <w:spacing w:before="92"/>
        <w:ind w:left="767" w:right="926"/>
        <w:rPr>
          <w:b/>
        </w:rPr>
      </w:pPr>
      <w:r>
        <w:rPr>
          <w:color w:val="231F20"/>
        </w:rPr>
        <w:t>Aricept (donepezil 23 mg tablet) </w:t>
      </w:r>
      <w:r>
        <w:rPr>
          <w:color w:val="231F20"/>
          <w:sz w:val="24"/>
        </w:rPr>
        <w:t>– </w:t>
      </w:r>
      <w:r>
        <w:rPr>
          <w:b/>
          <w:color w:val="231F20"/>
        </w:rPr>
        <w:t>PA </w:t>
      </w:r>
      <w:r>
        <w:rPr>
          <w:color w:val="231F20"/>
        </w:rPr>
        <w:t>Condylox gel (podofilox gel) </w:t>
      </w:r>
      <w:r>
        <w:rPr>
          <w:color w:val="231F20"/>
          <w:sz w:val="24"/>
        </w:rPr>
        <w:t>– </w:t>
      </w:r>
      <w:r>
        <w:rPr>
          <w:b/>
          <w:color w:val="231F20"/>
        </w:rPr>
        <w:t>PA </w:t>
      </w:r>
      <w:r>
        <w:rPr>
          <w:color w:val="231F20"/>
        </w:rPr>
        <w:t>Efudex (fluorouracil 5% cream) </w:t>
      </w:r>
      <w:r>
        <w:rPr>
          <w:color w:val="231F20"/>
          <w:sz w:val="24"/>
        </w:rPr>
        <w:t>– </w:t>
      </w:r>
      <w:r>
        <w:rPr>
          <w:b/>
          <w:color w:val="231F20"/>
        </w:rPr>
        <w:t>PA </w:t>
      </w:r>
      <w:r>
        <w:rPr>
          <w:color w:val="231F20"/>
        </w:rPr>
        <w:t>Ulesfia (benzyl alcohol lotion) – </w:t>
      </w:r>
      <w:r>
        <w:rPr>
          <w:b/>
          <w:color w:val="231F20"/>
        </w:rPr>
        <w:t>PA</w:t>
      </w:r>
    </w:p>
    <w:p>
      <w:pPr>
        <w:pStyle w:val="BodyText"/>
        <w:spacing w:before="3"/>
        <w:rPr>
          <w:b/>
        </w:rPr>
      </w:pPr>
    </w:p>
    <w:p>
      <w:pPr>
        <w:pStyle w:val="ListParagraph"/>
        <w:numPr>
          <w:ilvl w:val="1"/>
          <w:numId w:val="2"/>
        </w:numPr>
        <w:tabs>
          <w:tab w:pos="768" w:val="left" w:leader="none"/>
        </w:tabs>
        <w:spacing w:line="240" w:lineRule="auto" w:before="1" w:after="0"/>
        <w:ind w:left="767" w:right="1004" w:hanging="360"/>
        <w:jc w:val="left"/>
        <w:rPr>
          <w:sz w:val="21"/>
        </w:rPr>
      </w:pPr>
      <w:r>
        <w:rPr>
          <w:color w:val="231F20"/>
          <w:sz w:val="21"/>
        </w:rPr>
        <w:t>The following drugs will require prior authorization when quantity limits are exceeded, effective July 25,</w:t>
      </w:r>
      <w:r>
        <w:rPr>
          <w:color w:val="231F20"/>
          <w:spacing w:val="-11"/>
          <w:sz w:val="21"/>
        </w:rPr>
        <w:t> </w:t>
      </w:r>
      <w:r>
        <w:rPr>
          <w:color w:val="231F20"/>
          <w:sz w:val="21"/>
        </w:rPr>
        <w:t>2011.</w:t>
      </w:r>
    </w:p>
    <w:p>
      <w:pPr>
        <w:pStyle w:val="BodyText"/>
        <w:spacing w:before="8"/>
        <w:rPr>
          <w:sz w:val="20"/>
        </w:rPr>
      </w:pPr>
    </w:p>
    <w:p>
      <w:pPr>
        <w:pStyle w:val="BodyText"/>
        <w:ind w:left="767"/>
        <w:rPr>
          <w:b/>
        </w:rPr>
      </w:pPr>
      <w:r>
        <w:rPr>
          <w:color w:val="231F20"/>
        </w:rPr>
        <w:t>Aricept # (donepezil 5 mg, 10 mg tablet) </w:t>
      </w:r>
      <w:r>
        <w:rPr>
          <w:color w:val="231F20"/>
          <w:sz w:val="24"/>
        </w:rPr>
        <w:t>– </w:t>
      </w:r>
      <w:r>
        <w:rPr>
          <w:b/>
          <w:color w:val="231F20"/>
        </w:rPr>
        <w:t>PA</w:t>
      </w:r>
    </w:p>
    <w:p>
      <w:pPr>
        <w:pStyle w:val="Heading2"/>
        <w:spacing w:line="241" w:lineRule="exact" w:before="3"/>
        <w:ind w:left="947"/>
      </w:pPr>
      <w:r>
        <w:rPr>
          <w:color w:val="231F20"/>
        </w:rPr>
        <w:t>&gt; 30 units/month</w:t>
      </w:r>
    </w:p>
    <w:p>
      <w:pPr>
        <w:spacing w:line="237" w:lineRule="auto" w:before="2"/>
        <w:ind w:left="947" w:right="216" w:hanging="180"/>
        <w:jc w:val="left"/>
        <w:rPr>
          <w:b/>
          <w:sz w:val="21"/>
        </w:rPr>
      </w:pPr>
      <w:r>
        <w:rPr>
          <w:color w:val="231F20"/>
          <w:sz w:val="21"/>
        </w:rPr>
        <w:t>Aricept ODT # (donepezil orally disintegrating tablet) </w:t>
      </w:r>
      <w:r>
        <w:rPr>
          <w:color w:val="231F20"/>
          <w:sz w:val="24"/>
        </w:rPr>
        <w:t>– </w:t>
      </w:r>
      <w:r>
        <w:rPr>
          <w:b/>
          <w:color w:val="231F20"/>
          <w:sz w:val="21"/>
        </w:rPr>
        <w:t>PA &gt; 30 units/month</w:t>
      </w:r>
    </w:p>
    <w:p>
      <w:pPr>
        <w:spacing w:line="242" w:lineRule="auto" w:before="0"/>
        <w:ind w:left="947" w:right="501" w:hanging="181"/>
        <w:jc w:val="left"/>
        <w:rPr>
          <w:b/>
          <w:sz w:val="21"/>
        </w:rPr>
      </w:pPr>
      <w:r>
        <w:rPr>
          <w:color w:val="231F20"/>
          <w:sz w:val="21"/>
        </w:rPr>
        <w:t>Exelon # (rivastigmine capsule) </w:t>
      </w:r>
      <w:r>
        <w:rPr>
          <w:color w:val="231F20"/>
          <w:sz w:val="24"/>
        </w:rPr>
        <w:t>– </w:t>
      </w:r>
      <w:r>
        <w:rPr>
          <w:b/>
          <w:color w:val="231F20"/>
          <w:sz w:val="21"/>
        </w:rPr>
        <w:t>PA &gt; 60 units/month</w:t>
      </w:r>
    </w:p>
    <w:p>
      <w:pPr>
        <w:spacing w:line="242" w:lineRule="auto" w:before="0"/>
        <w:ind w:left="947" w:right="711" w:hanging="180"/>
        <w:jc w:val="left"/>
        <w:rPr>
          <w:b/>
          <w:sz w:val="21"/>
        </w:rPr>
      </w:pPr>
      <w:r>
        <w:rPr>
          <w:color w:val="231F20"/>
          <w:sz w:val="21"/>
        </w:rPr>
        <w:t>Exelon # (rivastigmine patch) </w:t>
      </w:r>
      <w:r>
        <w:rPr>
          <w:color w:val="231F20"/>
          <w:sz w:val="24"/>
        </w:rPr>
        <w:t>– </w:t>
      </w:r>
      <w:r>
        <w:rPr>
          <w:b/>
          <w:color w:val="231F20"/>
          <w:sz w:val="21"/>
        </w:rPr>
        <w:t>PA &gt; 30 units/month</w:t>
      </w:r>
    </w:p>
    <w:p>
      <w:pPr>
        <w:spacing w:line="242" w:lineRule="auto" w:before="0"/>
        <w:ind w:left="947" w:right="560" w:hanging="181"/>
        <w:jc w:val="left"/>
        <w:rPr>
          <w:b/>
          <w:sz w:val="21"/>
        </w:rPr>
      </w:pPr>
      <w:r>
        <w:rPr>
          <w:color w:val="231F20"/>
          <w:sz w:val="21"/>
        </w:rPr>
        <w:t>Exelon (rivastigmine solution) </w:t>
      </w:r>
      <w:r>
        <w:rPr>
          <w:color w:val="231F20"/>
          <w:sz w:val="24"/>
        </w:rPr>
        <w:t>– </w:t>
      </w:r>
      <w:r>
        <w:rPr>
          <w:b/>
          <w:color w:val="231F20"/>
          <w:sz w:val="21"/>
        </w:rPr>
        <w:t>PA &gt; 180 mL/month</w:t>
      </w:r>
    </w:p>
    <w:p>
      <w:pPr>
        <w:spacing w:line="242" w:lineRule="auto" w:before="0"/>
        <w:ind w:left="947" w:right="0" w:hanging="180"/>
        <w:jc w:val="left"/>
        <w:rPr>
          <w:b/>
          <w:sz w:val="21"/>
        </w:rPr>
      </w:pPr>
      <w:r>
        <w:rPr>
          <w:color w:val="231F20"/>
          <w:sz w:val="21"/>
        </w:rPr>
        <w:t>Namenda (memantine solution) </w:t>
      </w:r>
      <w:r>
        <w:rPr>
          <w:color w:val="231F20"/>
          <w:sz w:val="24"/>
        </w:rPr>
        <w:t>– </w:t>
      </w:r>
      <w:r>
        <w:rPr>
          <w:b/>
          <w:color w:val="231F20"/>
          <w:sz w:val="21"/>
        </w:rPr>
        <w:t>PA &gt; 360 mL/month</w:t>
      </w:r>
    </w:p>
    <w:p>
      <w:pPr>
        <w:spacing w:line="242" w:lineRule="auto" w:before="0"/>
        <w:ind w:left="947" w:right="699" w:hanging="180"/>
        <w:jc w:val="left"/>
        <w:rPr>
          <w:b/>
          <w:sz w:val="21"/>
        </w:rPr>
      </w:pPr>
      <w:r>
        <w:rPr>
          <w:color w:val="231F20"/>
          <w:sz w:val="21"/>
        </w:rPr>
        <w:t>Namenda (memantine tablet) </w:t>
      </w:r>
      <w:r>
        <w:rPr>
          <w:color w:val="231F20"/>
          <w:sz w:val="24"/>
        </w:rPr>
        <w:t>– </w:t>
      </w:r>
      <w:r>
        <w:rPr>
          <w:b/>
          <w:color w:val="231F20"/>
          <w:sz w:val="21"/>
        </w:rPr>
        <w:t>PA &gt; 60 units/month</w:t>
      </w:r>
    </w:p>
    <w:p>
      <w:pPr>
        <w:spacing w:line="242" w:lineRule="auto" w:before="0"/>
        <w:ind w:left="947" w:right="23" w:hanging="181"/>
        <w:jc w:val="left"/>
        <w:rPr>
          <w:b/>
          <w:sz w:val="21"/>
        </w:rPr>
      </w:pPr>
      <w:r>
        <w:rPr>
          <w:color w:val="231F20"/>
          <w:sz w:val="21"/>
        </w:rPr>
        <w:t>Namenda (memantine titration pack) </w:t>
      </w:r>
      <w:r>
        <w:rPr>
          <w:color w:val="231F20"/>
          <w:sz w:val="24"/>
        </w:rPr>
        <w:t>– </w:t>
      </w:r>
      <w:r>
        <w:rPr>
          <w:b/>
          <w:color w:val="231F20"/>
          <w:sz w:val="21"/>
        </w:rPr>
        <w:t>PA &gt; 49 units/month</w:t>
      </w:r>
    </w:p>
    <w:p>
      <w:pPr>
        <w:spacing w:line="242" w:lineRule="auto" w:before="0"/>
        <w:ind w:left="947" w:right="56" w:hanging="180"/>
        <w:jc w:val="left"/>
        <w:rPr>
          <w:b/>
          <w:sz w:val="21"/>
        </w:rPr>
      </w:pPr>
      <w:r>
        <w:rPr>
          <w:color w:val="231F20"/>
          <w:sz w:val="21"/>
        </w:rPr>
        <w:t>Razadyne # (galantamine solution) </w:t>
      </w:r>
      <w:r>
        <w:rPr>
          <w:color w:val="231F20"/>
          <w:sz w:val="24"/>
        </w:rPr>
        <w:t>– </w:t>
      </w:r>
      <w:r>
        <w:rPr>
          <w:b/>
          <w:color w:val="231F20"/>
          <w:sz w:val="21"/>
        </w:rPr>
        <w:t>PA &gt; 180 mL/month</w:t>
      </w:r>
    </w:p>
    <w:p>
      <w:pPr>
        <w:spacing w:line="242" w:lineRule="auto" w:before="0"/>
        <w:ind w:left="947" w:right="383" w:hanging="180"/>
        <w:jc w:val="left"/>
        <w:rPr>
          <w:b/>
          <w:sz w:val="21"/>
        </w:rPr>
      </w:pPr>
      <w:r>
        <w:rPr>
          <w:color w:val="231F20"/>
          <w:sz w:val="21"/>
        </w:rPr>
        <w:t>Razadyne # (galantamine tablet) </w:t>
      </w:r>
      <w:r>
        <w:rPr>
          <w:color w:val="231F20"/>
          <w:sz w:val="24"/>
        </w:rPr>
        <w:t>– </w:t>
      </w:r>
      <w:r>
        <w:rPr>
          <w:b/>
          <w:color w:val="231F20"/>
          <w:sz w:val="21"/>
        </w:rPr>
        <w:t>PA &gt; 60 units/month</w:t>
      </w:r>
    </w:p>
    <w:p>
      <w:pPr>
        <w:spacing w:line="237" w:lineRule="auto" w:before="0"/>
        <w:ind w:left="947" w:right="17" w:hanging="180"/>
        <w:jc w:val="left"/>
        <w:rPr>
          <w:b/>
          <w:sz w:val="21"/>
        </w:rPr>
      </w:pPr>
      <w:r>
        <w:rPr>
          <w:color w:val="231F20"/>
          <w:sz w:val="21"/>
        </w:rPr>
        <w:t>Razadyne ER # (galantamine extended-release capsule) </w:t>
      </w:r>
      <w:r>
        <w:rPr>
          <w:color w:val="231F20"/>
          <w:sz w:val="24"/>
        </w:rPr>
        <w:t>– </w:t>
      </w:r>
      <w:r>
        <w:rPr>
          <w:b/>
          <w:color w:val="231F20"/>
          <w:sz w:val="21"/>
        </w:rPr>
        <w:t>PA &gt; 30 units/month</w:t>
      </w:r>
    </w:p>
    <w:p>
      <w:pPr>
        <w:pStyle w:val="ListParagraph"/>
        <w:numPr>
          <w:ilvl w:val="1"/>
          <w:numId w:val="2"/>
        </w:numPr>
        <w:tabs>
          <w:tab w:pos="768" w:val="left" w:leader="none"/>
        </w:tabs>
        <w:spacing w:line="240" w:lineRule="auto" w:before="95" w:after="0"/>
        <w:ind w:left="767" w:right="103" w:hanging="360"/>
        <w:jc w:val="left"/>
        <w:rPr>
          <w:sz w:val="21"/>
        </w:rPr>
      </w:pPr>
      <w:r>
        <w:rPr>
          <w:color w:val="231F20"/>
          <w:w w:val="100"/>
          <w:sz w:val="21"/>
        </w:rPr>
        <w:br w:type="column"/>
      </w:r>
      <w:r>
        <w:rPr>
          <w:color w:val="231F20"/>
          <w:sz w:val="21"/>
        </w:rPr>
        <w:t>The following testosterone products will</w:t>
      </w:r>
      <w:r>
        <w:rPr>
          <w:color w:val="231F20"/>
          <w:spacing w:val="-4"/>
          <w:sz w:val="21"/>
        </w:rPr>
        <w:t> </w:t>
      </w:r>
      <w:r>
        <w:rPr>
          <w:color w:val="231F20"/>
          <w:sz w:val="21"/>
        </w:rPr>
        <w:t>require prior authorization effective July 25,</w:t>
      </w:r>
      <w:r>
        <w:rPr>
          <w:color w:val="231F20"/>
          <w:spacing w:val="-13"/>
          <w:sz w:val="21"/>
        </w:rPr>
        <w:t> </w:t>
      </w:r>
      <w:r>
        <w:rPr>
          <w:color w:val="231F20"/>
          <w:sz w:val="21"/>
        </w:rPr>
        <w:t>2011.</w:t>
      </w:r>
    </w:p>
    <w:p>
      <w:pPr>
        <w:pStyle w:val="BodyText"/>
      </w:pPr>
    </w:p>
    <w:p>
      <w:pPr>
        <w:pStyle w:val="BodyText"/>
        <w:ind w:left="767" w:right="702" w:hanging="1"/>
        <w:rPr>
          <w:b/>
        </w:rPr>
      </w:pPr>
      <w:r>
        <w:rPr>
          <w:color w:val="231F20"/>
        </w:rPr>
        <w:t>Androderm (testosterone patch) – </w:t>
      </w:r>
      <w:r>
        <w:rPr>
          <w:b/>
          <w:color w:val="231F20"/>
        </w:rPr>
        <w:t>PA </w:t>
      </w:r>
      <w:r>
        <w:rPr>
          <w:color w:val="231F20"/>
        </w:rPr>
        <w:t>Androgel (testosterone 1% packet) – </w:t>
      </w:r>
      <w:r>
        <w:rPr>
          <w:b/>
          <w:color w:val="231F20"/>
        </w:rPr>
        <w:t>PA </w:t>
      </w:r>
      <w:r>
        <w:rPr>
          <w:color w:val="231F20"/>
        </w:rPr>
        <w:t>Androgel (testosterone 1% pump) – </w:t>
      </w:r>
      <w:r>
        <w:rPr>
          <w:b/>
          <w:color w:val="231F20"/>
        </w:rPr>
        <w:t>PA </w:t>
      </w:r>
      <w:r>
        <w:rPr>
          <w:color w:val="231F20"/>
        </w:rPr>
        <w:t>Testim (testosterone 1% gel) – </w:t>
      </w:r>
      <w:r>
        <w:rPr>
          <w:b/>
          <w:color w:val="231F20"/>
        </w:rPr>
        <w:t>PA</w:t>
      </w:r>
    </w:p>
    <w:p>
      <w:pPr>
        <w:pStyle w:val="BodyText"/>
        <w:spacing w:line="241" w:lineRule="exact"/>
        <w:ind w:left="775"/>
      </w:pPr>
      <w:r>
        <w:rPr>
          <w:color w:val="231F20"/>
        </w:rPr>
        <w:t>Testopel (testosterone intramuscular pellet) –</w:t>
      </w:r>
    </w:p>
    <w:p>
      <w:pPr>
        <w:pStyle w:val="Heading2"/>
        <w:ind w:left="955"/>
      </w:pPr>
      <w:r>
        <w:rPr>
          <w:color w:val="231F20"/>
        </w:rPr>
        <w:t>PA</w:t>
      </w:r>
    </w:p>
    <w:p>
      <w:pPr>
        <w:pStyle w:val="BodyText"/>
        <w:spacing w:before="1"/>
        <w:rPr>
          <w:b/>
        </w:rPr>
      </w:pPr>
    </w:p>
    <w:p>
      <w:pPr>
        <w:pStyle w:val="ListParagraph"/>
        <w:numPr>
          <w:ilvl w:val="1"/>
          <w:numId w:val="2"/>
        </w:numPr>
        <w:tabs>
          <w:tab w:pos="767" w:val="left" w:leader="none"/>
          <w:tab w:pos="768" w:val="left" w:leader="none"/>
        </w:tabs>
        <w:spacing w:line="240" w:lineRule="auto" w:before="0" w:after="0"/>
        <w:ind w:left="767" w:right="101" w:hanging="360"/>
        <w:jc w:val="left"/>
        <w:rPr>
          <w:sz w:val="21"/>
        </w:rPr>
      </w:pPr>
      <w:r>
        <w:rPr>
          <w:color w:val="231F20"/>
          <w:sz w:val="21"/>
        </w:rPr>
        <w:t>The following testosterone products will require prior authorization depending on gender effective July 25,</w:t>
      </w:r>
      <w:r>
        <w:rPr>
          <w:color w:val="231F20"/>
          <w:spacing w:val="-2"/>
          <w:sz w:val="21"/>
        </w:rPr>
        <w:t> </w:t>
      </w:r>
      <w:r>
        <w:rPr>
          <w:color w:val="231F20"/>
          <w:sz w:val="21"/>
        </w:rPr>
        <w:t>2011.</w:t>
      </w:r>
    </w:p>
    <w:p>
      <w:pPr>
        <w:pStyle w:val="BodyText"/>
        <w:spacing w:before="10"/>
        <w:rPr>
          <w:sz w:val="20"/>
        </w:rPr>
      </w:pPr>
    </w:p>
    <w:p>
      <w:pPr>
        <w:pStyle w:val="BodyText"/>
        <w:ind w:left="767"/>
      </w:pPr>
      <w:r>
        <w:rPr>
          <w:color w:val="231F20"/>
        </w:rPr>
        <w:t>Delatestryl # (testosterone enanthate)</w:t>
      </w:r>
    </w:p>
    <w:p>
      <w:pPr>
        <w:pStyle w:val="BodyText"/>
        <w:spacing w:before="1"/>
        <w:ind w:left="767"/>
      </w:pPr>
      <w:r>
        <w:rPr>
          <w:color w:val="231F20"/>
        </w:rPr>
        <w:t>Depo-testosterone # (testosterone cypionate)</w:t>
      </w:r>
    </w:p>
    <w:p>
      <w:pPr>
        <w:spacing w:after="0"/>
        <w:sectPr>
          <w:type w:val="continuous"/>
          <w:pgSz w:w="12240" w:h="15840"/>
          <w:pgMar w:top="400" w:bottom="0" w:left="860" w:right="740"/>
          <w:cols w:num="2" w:equalWidth="0">
            <w:col w:w="5229" w:space="163"/>
            <w:col w:w="5248"/>
          </w:cols>
        </w:sectPr>
      </w:pPr>
    </w:p>
    <w:p>
      <w:pPr>
        <w:pStyle w:val="BodyText"/>
        <w:rPr>
          <w:sz w:val="20"/>
        </w:rPr>
      </w:pPr>
      <w:r>
        <w:rPr/>
        <w:pict>
          <v:group style="position:absolute;margin-left:39.959999pt;margin-top:36.000038pt;width:537.450pt;height:694.05pt;mso-position-horizontal-relative:page;mso-position-vertical-relative:page;z-index:-5080" coordorigin="799,720" coordsize="10749,13881">
            <v:shape style="position:absolute;left:799;top:729;width:10749;height:2" coordorigin="799,730" coordsize="10749,0" path="m799,730l6186,730m6186,730l11548,730e" filled="false" stroked="true" strokeweight=".95996pt" strokecolor="#000000">
              <v:path arrowok="t"/>
              <v:stroke dashstyle="solid"/>
            </v:shape>
            <v:line style="position:absolute" from="6191,739" to="6191,14600" stroked="true" strokeweight=".48001pt" strokecolor="#000000">
              <v:stroke dashstyle="solid"/>
            </v:line>
            <w10:wrap type="none"/>
          </v:group>
        </w:pict>
      </w:r>
      <w:r>
        <w:rPr/>
        <w:pict>
          <v:shape style="position:absolute;margin-left:36.360001pt;margin-top:737.309998pt;width:549pt;height:1.4pt;mso-position-horizontal-relative:page;mso-position-vertical-relative:page;z-index:-5056" coordorigin="727,14746" coordsize="10980,28" path="m727,14746l11707,14746m727,14774l11707,14774e" filled="false" stroked="true" strokeweight=".66pt" strokecolor="#000000">
            <v:path arrowok="t"/>
            <v:stroke dashstyle="solid"/>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5"/>
        </w:rPr>
      </w:pPr>
    </w:p>
    <w:p>
      <w:pPr>
        <w:pStyle w:val="BodyText"/>
        <w:spacing w:line="241" w:lineRule="exact" w:before="93"/>
        <w:ind w:left="1624" w:right="1097"/>
        <w:jc w:val="center"/>
      </w:pPr>
      <w:r>
        <w:rPr/>
        <w:t>Please direct any questions or comments (or to be taken off of this fax distribution) to</w:t>
      </w:r>
    </w:p>
    <w:p>
      <w:pPr>
        <w:spacing w:line="296" w:lineRule="exact" w:before="0"/>
        <w:ind w:left="1623" w:right="1097" w:firstLine="0"/>
        <w:jc w:val="center"/>
        <w:rPr>
          <w:sz w:val="21"/>
        </w:rPr>
      </w:pPr>
      <w:r>
        <w:rPr>
          <w:rFonts w:ascii="Arial Black"/>
          <w:b/>
          <w:sz w:val="21"/>
        </w:rPr>
        <w:t>Victor Moquin </w:t>
      </w:r>
      <w:r>
        <w:rPr>
          <w:sz w:val="21"/>
        </w:rPr>
        <w:t>of ACS at 617-423-9830.</w:t>
      </w:r>
    </w:p>
    <w:sectPr>
      <w:type w:val="continuous"/>
      <w:pgSz w:w="12240" w:h="15840"/>
      <w:pgMar w:top="400" w:bottom="0" w:left="8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Arial Narrow">
    <w:altName w:val="Arial Narrow"/>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71" w:hanging="360"/>
        <w:jc w:val="left"/>
      </w:pPr>
      <w:rPr>
        <w:rFonts w:hint="default" w:ascii="Arial" w:hAnsi="Arial" w:eastAsia="Arial" w:cs="Arial"/>
        <w:b/>
        <w:bCs/>
        <w:color w:val="231F20"/>
        <w:w w:val="99"/>
        <w:sz w:val="21"/>
        <w:szCs w:val="21"/>
      </w:rPr>
    </w:lvl>
    <w:lvl w:ilvl="1">
      <w:start w:val="1"/>
      <w:numFmt w:val="lowerLetter"/>
      <w:lvlText w:val="%2."/>
      <w:lvlJc w:val="left"/>
      <w:pPr>
        <w:ind w:left="832" w:hanging="361"/>
        <w:jc w:val="right"/>
      </w:pPr>
      <w:rPr>
        <w:rFonts w:hint="default"/>
        <w:spacing w:val="-1"/>
        <w:w w:val="99"/>
      </w:rPr>
    </w:lvl>
    <w:lvl w:ilvl="2">
      <w:start w:val="0"/>
      <w:numFmt w:val="bullet"/>
      <w:lvlText w:val="•"/>
      <w:lvlJc w:val="left"/>
      <w:pPr>
        <w:ind w:left="860" w:hanging="361"/>
      </w:pPr>
      <w:rPr>
        <w:rFonts w:hint="default"/>
      </w:rPr>
    </w:lvl>
    <w:lvl w:ilvl="3">
      <w:start w:val="0"/>
      <w:numFmt w:val="bullet"/>
      <w:lvlText w:val="•"/>
      <w:lvlJc w:val="left"/>
      <w:pPr>
        <w:ind w:left="1418" w:hanging="361"/>
      </w:pPr>
      <w:rPr>
        <w:rFonts w:hint="default"/>
      </w:rPr>
    </w:lvl>
    <w:lvl w:ilvl="4">
      <w:start w:val="0"/>
      <w:numFmt w:val="bullet"/>
      <w:lvlText w:val="•"/>
      <w:lvlJc w:val="left"/>
      <w:pPr>
        <w:ind w:left="1977" w:hanging="361"/>
      </w:pPr>
      <w:rPr>
        <w:rFonts w:hint="default"/>
      </w:rPr>
    </w:lvl>
    <w:lvl w:ilvl="5">
      <w:start w:val="0"/>
      <w:numFmt w:val="bullet"/>
      <w:lvlText w:val="•"/>
      <w:lvlJc w:val="left"/>
      <w:pPr>
        <w:ind w:left="2536" w:hanging="361"/>
      </w:pPr>
      <w:rPr>
        <w:rFonts w:hint="default"/>
      </w:rPr>
    </w:lvl>
    <w:lvl w:ilvl="6">
      <w:start w:val="0"/>
      <w:numFmt w:val="bullet"/>
      <w:lvlText w:val="•"/>
      <w:lvlJc w:val="left"/>
      <w:pPr>
        <w:ind w:left="3095" w:hanging="361"/>
      </w:pPr>
      <w:rPr>
        <w:rFonts w:hint="default"/>
      </w:rPr>
    </w:lvl>
    <w:lvl w:ilvl="7">
      <w:start w:val="0"/>
      <w:numFmt w:val="bullet"/>
      <w:lvlText w:val="•"/>
      <w:lvlJc w:val="left"/>
      <w:pPr>
        <w:ind w:left="3653" w:hanging="361"/>
      </w:pPr>
      <w:rPr>
        <w:rFonts w:hint="default"/>
      </w:rPr>
    </w:lvl>
    <w:lvl w:ilvl="8">
      <w:start w:val="0"/>
      <w:numFmt w:val="bullet"/>
      <w:lvlText w:val="•"/>
      <w:lvlJc w:val="left"/>
      <w:pPr>
        <w:ind w:left="4212" w:hanging="361"/>
      </w:pPr>
      <w:rPr>
        <w:rFonts w:hint="default"/>
      </w:rPr>
    </w:lvl>
  </w:abstractNum>
  <w:abstractNum w:abstractNumId="0">
    <w:multiLevelType w:val="hybridMultilevel"/>
    <w:lvl w:ilvl="0">
      <w:start w:val="0"/>
      <w:numFmt w:val="bullet"/>
      <w:lvlText w:val="•"/>
      <w:lvlJc w:val="left"/>
      <w:pPr>
        <w:ind w:left="1839" w:hanging="150"/>
      </w:pPr>
      <w:rPr>
        <w:rFonts w:hint="default" w:ascii="Arial Black" w:hAnsi="Arial Black" w:eastAsia="Arial Black" w:cs="Arial Black"/>
        <w:b/>
        <w:bCs/>
        <w:w w:val="100"/>
        <w:sz w:val="18"/>
        <w:szCs w:val="18"/>
      </w:rPr>
    </w:lvl>
    <w:lvl w:ilvl="1">
      <w:start w:val="0"/>
      <w:numFmt w:val="bullet"/>
      <w:lvlText w:val="•"/>
      <w:lvlJc w:val="left"/>
      <w:pPr>
        <w:ind w:left="2720" w:hanging="150"/>
      </w:pPr>
      <w:rPr>
        <w:rFonts w:hint="default"/>
      </w:rPr>
    </w:lvl>
    <w:lvl w:ilvl="2">
      <w:start w:val="0"/>
      <w:numFmt w:val="bullet"/>
      <w:lvlText w:val="•"/>
      <w:lvlJc w:val="left"/>
      <w:pPr>
        <w:ind w:left="3600" w:hanging="150"/>
      </w:pPr>
      <w:rPr>
        <w:rFonts w:hint="default"/>
      </w:rPr>
    </w:lvl>
    <w:lvl w:ilvl="3">
      <w:start w:val="0"/>
      <w:numFmt w:val="bullet"/>
      <w:lvlText w:val="•"/>
      <w:lvlJc w:val="left"/>
      <w:pPr>
        <w:ind w:left="4480" w:hanging="150"/>
      </w:pPr>
      <w:rPr>
        <w:rFonts w:hint="default"/>
      </w:rPr>
    </w:lvl>
    <w:lvl w:ilvl="4">
      <w:start w:val="0"/>
      <w:numFmt w:val="bullet"/>
      <w:lvlText w:val="•"/>
      <w:lvlJc w:val="left"/>
      <w:pPr>
        <w:ind w:left="5360" w:hanging="150"/>
      </w:pPr>
      <w:rPr>
        <w:rFonts w:hint="default"/>
      </w:rPr>
    </w:lvl>
    <w:lvl w:ilvl="5">
      <w:start w:val="0"/>
      <w:numFmt w:val="bullet"/>
      <w:lvlText w:val="•"/>
      <w:lvlJc w:val="left"/>
      <w:pPr>
        <w:ind w:left="6240" w:hanging="150"/>
      </w:pPr>
      <w:rPr>
        <w:rFonts w:hint="default"/>
      </w:rPr>
    </w:lvl>
    <w:lvl w:ilvl="6">
      <w:start w:val="0"/>
      <w:numFmt w:val="bullet"/>
      <w:lvlText w:val="•"/>
      <w:lvlJc w:val="left"/>
      <w:pPr>
        <w:ind w:left="7120" w:hanging="150"/>
      </w:pPr>
      <w:rPr>
        <w:rFonts w:hint="default"/>
      </w:rPr>
    </w:lvl>
    <w:lvl w:ilvl="7">
      <w:start w:val="0"/>
      <w:numFmt w:val="bullet"/>
      <w:lvlText w:val="•"/>
      <w:lvlJc w:val="left"/>
      <w:pPr>
        <w:ind w:left="8000" w:hanging="150"/>
      </w:pPr>
      <w:rPr>
        <w:rFonts w:hint="default"/>
      </w:rPr>
    </w:lvl>
    <w:lvl w:ilvl="8">
      <w:start w:val="0"/>
      <w:numFmt w:val="bullet"/>
      <w:lvlText w:val="•"/>
      <w:lvlJc w:val="left"/>
      <w:pPr>
        <w:ind w:left="8880" w:hanging="15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1"/>
      <w:szCs w:val="21"/>
    </w:rPr>
  </w:style>
  <w:style w:styleId="Heading1" w:type="paragraph">
    <w:name w:val="Heading 1"/>
    <w:basedOn w:val="Normal"/>
    <w:uiPriority w:val="1"/>
    <w:qFormat/>
    <w:pPr>
      <w:ind w:left="112"/>
      <w:outlineLvl w:val="1"/>
    </w:pPr>
    <w:rPr>
      <w:rFonts w:ascii="Arial Black" w:hAnsi="Arial Black" w:eastAsia="Arial Black" w:cs="Arial Black"/>
      <w:b/>
      <w:bCs/>
      <w:sz w:val="22"/>
      <w:szCs w:val="22"/>
    </w:rPr>
  </w:style>
  <w:style w:styleId="Heading2" w:type="paragraph">
    <w:name w:val="Heading 2"/>
    <w:basedOn w:val="Normal"/>
    <w:uiPriority w:val="1"/>
    <w:qFormat/>
    <w:pPr>
      <w:ind w:left="471"/>
      <w:outlineLvl w:val="2"/>
    </w:pPr>
    <w:rPr>
      <w:rFonts w:ascii="Arial" w:hAnsi="Arial" w:eastAsia="Arial" w:cs="Arial"/>
      <w:b/>
      <w:bCs/>
      <w:sz w:val="21"/>
      <w:szCs w:val="21"/>
    </w:rPr>
  </w:style>
  <w:style w:styleId="ListParagraph" w:type="paragraph">
    <w:name w:val="List Paragraph"/>
    <w:basedOn w:val="Normal"/>
    <w:uiPriority w:val="1"/>
    <w:qFormat/>
    <w:pPr>
      <w:ind w:left="832" w:hanging="3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kegan</dc:creator>
  <dc:title>Microsoft Word - Pharmacy Facts # 65.doc</dc:title>
  <dcterms:created xsi:type="dcterms:W3CDTF">2017-11-24T18:42:09Z</dcterms:created>
  <dcterms:modified xsi:type="dcterms:W3CDTF">2017-11-24T18:42:09Z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2011-07-08T00:00:00Z</vt:filetime>
  </property>
  <property fmtid="{D5CDD505-2E9C-101B-9397-08002B2CF9AE}" pid="3" name="Creator">
    <vt:lpwstr>PScript5.dll Version 5.2.2</vt:lpwstr>
  </property>
  <property fmtid="{D5CDD505-2E9C-101B-9397-08002B2CF9AE}" pid="4" name="LastSaved">
    <vt:filetime>2017-11-24T00:00:00Z</vt:filetime>
  </property>
</Properties>
</file>