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1"/>
        </w:rPr>
      </w:pPr>
    </w:p>
    <w:p>
      <w:pPr>
        <w:spacing w:before="0"/>
        <w:ind w:left="1578" w:right="1675" w:firstLine="0"/>
        <w:jc w:val="center"/>
        <w:rPr>
          <w:rFonts w:ascii="Arial Narrow"/>
          <w:sz w:val="18"/>
        </w:rPr>
      </w:pPr>
      <w:r>
        <w:rPr/>
        <w:pict>
          <v:line style="position:absolute;mso-position-horizontal-relative:page;mso-position-vertical-relative:paragraph;z-index:1072" from="45pt,10.893106pt" to="564.84pt,10.893106pt" stroked="true" strokeweight=".95996pt" strokecolor="#000000">
            <v:stroke dashstyle="solid"/>
            <w10:wrap type="none"/>
          </v:line>
        </w:pict>
      </w:r>
      <w:hyperlink r:id="rId5">
        <w:r>
          <w:rPr>
            <w:rFonts w:ascii="Arial Narrow"/>
            <w:sz w:val="18"/>
          </w:rPr>
          <w:t>www.mass.gov/masshealth/pharmacy</w:t>
        </w:r>
      </w:hyperlink>
    </w:p>
    <w:p>
      <w:pPr>
        <w:spacing w:before="22"/>
        <w:ind w:left="1717" w:right="1675" w:firstLine="0"/>
        <w:jc w:val="center"/>
        <w:rPr>
          <w:rFonts w:ascii="Arial Narrow" w:hAnsi="Arial Narrow"/>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p>
    <w:p>
      <w:pPr>
        <w:pStyle w:val="BodyText"/>
        <w:spacing w:before="9"/>
        <w:rPr>
          <w:rFonts w:ascii="Arial Narrow"/>
          <w:sz w:val="14"/>
        </w:rPr>
      </w:pPr>
    </w:p>
    <w:p>
      <w:pPr>
        <w:spacing w:after="0"/>
        <w:rPr>
          <w:rFonts w:ascii="Arial Narrow"/>
          <w:sz w:val="14"/>
        </w:rPr>
        <w:sectPr>
          <w:type w:val="continuous"/>
          <w:pgSz w:w="12240" w:h="15840"/>
          <w:pgMar w:top="400" w:bottom="0" w:left="900" w:right="980"/>
        </w:sectPr>
      </w:pPr>
    </w:p>
    <w:p>
      <w:pPr>
        <w:pStyle w:val="Heading1"/>
        <w:ind w:right="296"/>
        <w:rPr>
          <w:b/>
        </w:rPr>
      </w:pPr>
      <w:r>
        <w:rPr/>
        <w:pict>
          <v:group style="position:absolute;margin-left:36pt;margin-top:-5.993563pt;width:531pt;height:601.3pt;mso-position-horizontal-relative:page;mso-position-vertical-relative:paragraph;z-index:-3616" coordorigin="720,-120" coordsize="10620,12026">
            <v:shape style="position:absolute;left:900;top:-111;width:10397;height:2" coordorigin="900,-110" coordsize="10397,0" path="m900,-110l5989,-110m5989,-110l11297,-110e" filled="false" stroked="true" strokeweight=".96002pt" strokecolor="#000000">
              <v:path arrowok="t"/>
              <v:stroke dashstyle="solid"/>
            </v:shape>
            <v:line style="position:absolute" from="5994,-101" to="5994,11896" stroked="true" strokeweight=".48001pt" strokecolor="#000000">
              <v:stroke dashstyle="solid"/>
            </v:line>
            <v:line style="position:absolute" from="720,11898" to="11340,11898" stroked="true" strokeweight=".75pt" strokecolor="#000000">
              <v:stroke dashstyle="solid"/>
            </v:line>
            <w10:wrap type="none"/>
          </v:group>
        </w:pict>
      </w:r>
      <w:r>
        <w:rPr>
          <w:b/>
        </w:rPr>
        <w:t>National Council for Prescription Drug Programs (NCPDP) Version D.0</w:t>
      </w:r>
    </w:p>
    <w:p>
      <w:pPr>
        <w:spacing w:before="121"/>
        <w:ind w:left="107" w:right="38" w:firstLine="0"/>
        <w:jc w:val="left"/>
        <w:rPr>
          <w:sz w:val="20"/>
        </w:rPr>
      </w:pPr>
      <w:r>
        <w:rPr>
          <w:sz w:val="20"/>
        </w:rPr>
        <w:t>This is a reminder that, effective January 1, 2012, the National Council for Prescription Drug Programs (NCPDP) Version D.0 transaction standards will become mandatory for all MassHealth pharmacy claims. D.0 is an updated version of the HIPAA standard for pharmacy claims transactions. All pharmacy software vendors should be upgrading their products in order to support D.0.</w:t>
      </w:r>
    </w:p>
    <w:p>
      <w:pPr>
        <w:spacing w:before="80"/>
        <w:ind w:left="108" w:right="38" w:firstLine="0"/>
        <w:jc w:val="left"/>
        <w:rPr>
          <w:sz w:val="20"/>
        </w:rPr>
      </w:pPr>
      <w:r>
        <w:rPr>
          <w:sz w:val="20"/>
        </w:rPr>
        <w:t>MassHealth has posted a draft of the D.0 version of the POPS Billing Guide on the MassHealth Pharmacy Program Web site. Please ensure your software vendor has been notified. To view the draft Billing Guide go to </w:t>
      </w:r>
      <w:hyperlink r:id="rId5">
        <w:r>
          <w:rPr>
            <w:sz w:val="20"/>
          </w:rPr>
          <w:t>www.mass.gov/masshealth/pharmacy </w:t>
        </w:r>
      </w:hyperlink>
      <w:r>
        <w:rPr>
          <w:sz w:val="20"/>
        </w:rPr>
        <w:t>and click on the link for MassHealth Pharmacy Publications and Notices for Pharmacy Providers, then Draft POPS Billing Guide Standard</w:t>
      </w:r>
      <w:r>
        <w:rPr>
          <w:spacing w:val="-6"/>
          <w:sz w:val="20"/>
        </w:rPr>
        <w:t> </w:t>
      </w:r>
      <w:r>
        <w:rPr>
          <w:sz w:val="20"/>
        </w:rPr>
        <w:t>D.0.</w:t>
      </w:r>
    </w:p>
    <w:p>
      <w:pPr>
        <w:spacing w:before="121"/>
        <w:ind w:left="107" w:right="0" w:firstLine="0"/>
        <w:jc w:val="left"/>
        <w:rPr>
          <w:rFonts w:ascii="Arial Black"/>
          <w:b/>
          <w:sz w:val="22"/>
        </w:rPr>
      </w:pPr>
      <w:r>
        <w:rPr>
          <w:rFonts w:ascii="Arial Black"/>
          <w:b/>
          <w:sz w:val="22"/>
        </w:rPr>
        <w:t>Member Identification Number</w:t>
      </w:r>
    </w:p>
    <w:p>
      <w:pPr>
        <w:spacing w:before="78"/>
        <w:ind w:left="107" w:right="31" w:firstLine="0"/>
        <w:jc w:val="left"/>
        <w:rPr>
          <w:sz w:val="20"/>
        </w:rPr>
      </w:pPr>
      <w:r>
        <w:rPr>
          <w:sz w:val="20"/>
        </w:rPr>
        <w:t>Also effective January 1, 2012, all MassHealth pharmacy claims must contain the 12-digit member identification number that was introduced in May 2009. The older 10-digit member identification numbers will no longer be accepted (i.e., claims will be denied). We are still seeing many claims being submitted with the older identification numbers.</w:t>
      </w:r>
    </w:p>
    <w:p>
      <w:pPr>
        <w:spacing w:before="123"/>
        <w:ind w:left="107" w:right="0" w:firstLine="0"/>
        <w:jc w:val="left"/>
        <w:rPr>
          <w:rFonts w:ascii="Arial Black"/>
          <w:b/>
          <w:sz w:val="22"/>
        </w:rPr>
      </w:pPr>
      <w:r>
        <w:rPr>
          <w:rFonts w:ascii="Arial Black"/>
          <w:b/>
          <w:sz w:val="22"/>
        </w:rPr>
        <w:t>MHDL Updates</w:t>
      </w:r>
    </w:p>
    <w:p>
      <w:pPr>
        <w:spacing w:before="78"/>
        <w:ind w:left="125" w:right="32" w:hanging="18"/>
        <w:jc w:val="left"/>
        <w:rPr>
          <w:sz w:val="20"/>
        </w:rPr>
      </w:pPr>
      <w:r>
        <w:rPr>
          <w:sz w:val="20"/>
        </w:rPr>
        <w:t>Below are certain updates to the MassHealth Drug List (MHDL). See the MHDL for a complete listing of updates.</w:t>
      </w:r>
    </w:p>
    <w:p>
      <w:pPr>
        <w:pStyle w:val="ListParagraph"/>
        <w:numPr>
          <w:ilvl w:val="0"/>
          <w:numId w:val="1"/>
        </w:numPr>
        <w:tabs>
          <w:tab w:pos="469" w:val="left" w:leader="none"/>
        </w:tabs>
        <w:spacing w:line="229" w:lineRule="exact" w:before="81" w:after="0"/>
        <w:ind w:left="468" w:right="0" w:hanging="360"/>
        <w:jc w:val="left"/>
        <w:rPr>
          <w:b/>
          <w:sz w:val="20"/>
        </w:rPr>
      </w:pPr>
      <w:r>
        <w:rPr>
          <w:b/>
          <w:sz w:val="20"/>
        </w:rPr>
        <w:t>Additions</w:t>
      </w:r>
    </w:p>
    <w:p>
      <w:pPr>
        <w:pStyle w:val="ListParagraph"/>
        <w:numPr>
          <w:ilvl w:val="1"/>
          <w:numId w:val="1"/>
        </w:numPr>
        <w:tabs>
          <w:tab w:pos="721" w:val="left" w:leader="none"/>
        </w:tabs>
        <w:spacing w:line="240" w:lineRule="auto" w:before="0" w:after="0"/>
        <w:ind w:left="727" w:right="91" w:hanging="245"/>
        <w:jc w:val="left"/>
        <w:rPr>
          <w:sz w:val="20"/>
        </w:rPr>
      </w:pPr>
      <w:r>
        <w:rPr>
          <w:sz w:val="20"/>
        </w:rPr>
        <w:t>The following newly marketed drugs have been added to the MassHealth Drug List, effective September 26,</w:t>
      </w:r>
      <w:r>
        <w:rPr>
          <w:spacing w:val="-3"/>
          <w:sz w:val="20"/>
        </w:rPr>
        <w:t> </w:t>
      </w:r>
      <w:r>
        <w:rPr>
          <w:sz w:val="20"/>
        </w:rPr>
        <w:t>2011.</w:t>
      </w:r>
    </w:p>
    <w:p>
      <w:pPr>
        <w:pStyle w:val="BodyText"/>
        <w:spacing w:before="82"/>
        <w:ind w:left="899" w:right="512" w:hanging="5"/>
        <w:jc w:val="both"/>
        <w:rPr>
          <w:b/>
        </w:rPr>
      </w:pPr>
      <w:r>
        <w:rPr/>
        <w:t>Amethyst (ethinyl estradiol/levonorgestrel) Androgel (testosterone 1.62% pump) – </w:t>
      </w:r>
      <w:r>
        <w:rPr>
          <w:b/>
        </w:rPr>
        <w:t>PA </w:t>
      </w:r>
      <w:r>
        <w:rPr/>
        <w:t>CAPRELSA (vandetanib) – </w:t>
      </w:r>
      <w:r>
        <w:rPr>
          <w:b/>
        </w:rPr>
        <w:t>PA</w:t>
      </w:r>
    </w:p>
    <w:p>
      <w:pPr>
        <w:pStyle w:val="BodyText"/>
        <w:spacing w:line="217" w:lineRule="exact"/>
        <w:ind w:left="899"/>
        <w:rPr>
          <w:b/>
        </w:rPr>
      </w:pPr>
      <w:r>
        <w:rPr/>
        <w:t>Daliresp (roflumilast) – </w:t>
      </w:r>
      <w:r>
        <w:rPr>
          <w:b/>
        </w:rPr>
        <w:t>PA</w:t>
      </w:r>
    </w:p>
    <w:p>
      <w:pPr>
        <w:pStyle w:val="BodyText"/>
        <w:ind w:left="900"/>
        <w:rPr>
          <w:b/>
        </w:rPr>
      </w:pPr>
      <w:r>
        <w:rPr/>
        <w:t>Dificid (fidaxomicin) – </w:t>
      </w:r>
      <w:r>
        <w:rPr>
          <w:b/>
        </w:rPr>
        <w:t>PA</w:t>
      </w:r>
    </w:p>
    <w:p>
      <w:pPr>
        <w:pStyle w:val="BodyText"/>
        <w:ind w:left="900" w:right="225"/>
        <w:rPr>
          <w:b/>
        </w:rPr>
      </w:pPr>
      <w:r>
        <w:rPr/>
        <w:t>Edurant (rilpivirine) – </w:t>
      </w:r>
      <w:r>
        <w:rPr>
          <w:b/>
        </w:rPr>
        <w:t>PA &gt; 30 units/month </w:t>
      </w:r>
      <w:r>
        <w:rPr/>
        <w:t>Fluzone Intradermal (influenza virus vaccine)</w:t>
      </w:r>
      <w:r>
        <w:rPr>
          <w:vertAlign w:val="superscript"/>
        </w:rPr>
        <w:t>1</w:t>
      </w:r>
      <w:r>
        <w:rPr>
          <w:vertAlign w:val="baseline"/>
        </w:rPr>
        <w:t> Horizant (gabapentin enacarbil) – </w:t>
      </w:r>
      <w:r>
        <w:rPr>
          <w:b/>
          <w:vertAlign w:val="baseline"/>
        </w:rPr>
        <w:t>PA</w:t>
      </w:r>
    </w:p>
    <w:p>
      <w:pPr>
        <w:pStyle w:val="BodyText"/>
        <w:spacing w:line="218" w:lineRule="exact"/>
        <w:ind w:left="900"/>
        <w:rPr>
          <w:b/>
        </w:rPr>
      </w:pPr>
      <w:r>
        <w:rPr/>
        <w:t>Nulojix (belatacept) – </w:t>
      </w:r>
      <w:r>
        <w:rPr>
          <w:b/>
        </w:rPr>
        <w:t>PA</w:t>
      </w:r>
    </w:p>
    <w:p>
      <w:pPr>
        <w:pStyle w:val="BodyText"/>
        <w:spacing w:before="1"/>
        <w:ind w:left="900" w:right="621"/>
        <w:rPr>
          <w:b/>
        </w:rPr>
      </w:pPr>
      <w:r>
        <w:rPr/>
        <w:t>Orsythia (ethinyl estradiol/levonorgestrel) Provenge (sipuleucel-T) ^ – </w:t>
      </w:r>
      <w:r>
        <w:rPr>
          <w:b/>
        </w:rPr>
        <w:t>PA</w:t>
      </w:r>
    </w:p>
    <w:p>
      <w:pPr>
        <w:pStyle w:val="BodyText"/>
        <w:ind w:left="900"/>
        <w:rPr>
          <w:b/>
        </w:rPr>
      </w:pPr>
      <w:r>
        <w:rPr/>
        <w:t>Sprix (ketorolac nasal spray) – </w:t>
      </w:r>
      <w:r>
        <w:rPr>
          <w:b/>
        </w:rPr>
        <w:t>PA</w:t>
      </w:r>
    </w:p>
    <w:p>
      <w:pPr>
        <w:pStyle w:val="BodyText"/>
        <w:spacing w:before="1"/>
        <w:ind w:left="900"/>
      </w:pPr>
      <w:r>
        <w:rPr/>
        <w:t>Syeda (ethinyl estradiol/drospirenone)</w:t>
      </w:r>
    </w:p>
    <w:p>
      <w:pPr>
        <w:pStyle w:val="BodyText"/>
        <w:spacing w:before="174"/>
        <w:ind w:left="468"/>
      </w:pPr>
      <w:r>
        <w:rPr/>
        <w:br w:type="column"/>
      </w:r>
      <w:r>
        <w:rPr/>
        <w:t>Sylatron (peginterferon alpha-2b)</w:t>
      </w:r>
    </w:p>
    <w:p>
      <w:pPr>
        <w:pStyle w:val="BodyText"/>
        <w:ind w:left="471"/>
      </w:pPr>
      <w:r>
        <w:rPr/>
        <w:t>Tamiflu (oseltamivir 6 mg/mL suspension) -</w:t>
      </w:r>
    </w:p>
    <w:p>
      <w:pPr>
        <w:pStyle w:val="Heading2"/>
        <w:ind w:left="630" w:right="400"/>
      </w:pPr>
      <w:r>
        <w:rPr/>
        <w:t>PA all quantities (June 1st to September 30th); PA &gt; 180 mL/month; and</w:t>
      </w:r>
    </w:p>
    <w:p>
      <w:pPr>
        <w:spacing w:before="0"/>
        <w:ind w:left="471" w:right="0" w:firstLine="158"/>
        <w:jc w:val="left"/>
        <w:rPr>
          <w:b/>
          <w:sz w:val="19"/>
        </w:rPr>
      </w:pPr>
      <w:r>
        <w:rPr>
          <w:b/>
          <w:sz w:val="19"/>
        </w:rPr>
        <w:t>PA &gt; 360 mL/season (October 1st to May 31st)</w:t>
      </w:r>
    </w:p>
    <w:p>
      <w:pPr>
        <w:pStyle w:val="BodyText"/>
        <w:spacing w:before="1"/>
        <w:ind w:left="630" w:right="452" w:hanging="159"/>
        <w:rPr>
          <w:b/>
        </w:rPr>
      </w:pPr>
      <w:r>
        <w:rPr/>
        <w:t>Topicort LP ointment (desoximetasone low potency ointment) – </w:t>
      </w:r>
      <w:r>
        <w:rPr>
          <w:b/>
        </w:rPr>
        <w:t>PA</w:t>
      </w:r>
    </w:p>
    <w:p>
      <w:pPr>
        <w:pStyle w:val="BodyText"/>
        <w:spacing w:line="217" w:lineRule="exact"/>
        <w:ind w:left="471"/>
        <w:rPr>
          <w:b/>
        </w:rPr>
      </w:pPr>
      <w:r>
        <w:rPr/>
        <w:t>Tradjenta (linagliptin) – </w:t>
      </w:r>
      <w:r>
        <w:rPr>
          <w:b/>
        </w:rPr>
        <w:t>PA</w:t>
      </w:r>
    </w:p>
    <w:p>
      <w:pPr>
        <w:pStyle w:val="BodyText"/>
        <w:ind w:left="471" w:right="1800"/>
      </w:pPr>
      <w:r>
        <w:rPr/>
        <w:t>Viibryd (vilazodone) – </w:t>
      </w:r>
      <w:r>
        <w:rPr>
          <w:b/>
        </w:rPr>
        <w:t>PA </w:t>
      </w:r>
      <w:r>
        <w:rPr/>
        <w:t>Viramune XR (nevirapine ER) – </w:t>
      </w:r>
      <w:r>
        <w:rPr>
          <w:b/>
        </w:rPr>
        <w:t>PA </w:t>
      </w:r>
      <w:r>
        <w:rPr/>
        <w:t>YERVOY</w:t>
      </w:r>
      <w:r>
        <w:rPr>
          <w:spacing w:val="-1"/>
        </w:rPr>
        <w:t> </w:t>
      </w:r>
      <w:r>
        <w:rPr/>
        <w:t>(ipilimumab)</w:t>
      </w:r>
    </w:p>
    <w:p>
      <w:pPr>
        <w:pStyle w:val="BodyText"/>
        <w:spacing w:line="218" w:lineRule="exact"/>
        <w:ind w:left="468"/>
        <w:rPr>
          <w:b/>
        </w:rPr>
      </w:pPr>
      <w:r>
        <w:rPr/>
        <w:t>Zytiga (abiraterone) – </w:t>
      </w:r>
      <w:r>
        <w:rPr>
          <w:b/>
        </w:rPr>
        <w:t>PA</w:t>
      </w:r>
    </w:p>
    <w:p>
      <w:pPr>
        <w:spacing w:before="96"/>
        <w:ind w:left="651" w:right="138" w:hanging="180"/>
        <w:jc w:val="left"/>
        <w:rPr>
          <w:sz w:val="14"/>
        </w:rPr>
      </w:pPr>
      <w:r>
        <w:rPr>
          <w:b/>
          <w:position w:val="7"/>
          <w:sz w:val="9"/>
        </w:rPr>
        <w:t>1 </w:t>
      </w:r>
      <w:r>
        <w:rPr>
          <w:sz w:val="14"/>
        </w:rPr>
        <w:t>Product may be obtained through the Massachusetts Department of Public Health (DPH); please check for availability. MassHealth does not pay for immunizing biologicals (i.e., vaccines) and tubercular (TB) drugs that are available free of charge through local boards of public health or through DPH without prior authorization (130 CMR 406.413(C)). MassHealth will pay pharmacies for seasonal flu vaccine serum without prior authorization if the vaccine is not available free of cost.</w:t>
      </w:r>
    </w:p>
    <w:p>
      <w:pPr>
        <w:spacing w:before="0"/>
        <w:ind w:left="651" w:right="503" w:hanging="180"/>
        <w:jc w:val="left"/>
        <w:rPr>
          <w:sz w:val="14"/>
        </w:rPr>
      </w:pPr>
      <w:r>
        <w:rPr>
          <w:color w:val="000080"/>
          <w:sz w:val="14"/>
        </w:rPr>
        <w:t>^ </w:t>
      </w:r>
      <w:r>
        <w:rPr>
          <w:sz w:val="14"/>
        </w:rPr>
        <w:t>This drug is available through the health-care professional who administers this drug. MassHealth does not pay for this drug to be dispensed through a retail pharmacy.</w:t>
      </w:r>
    </w:p>
    <w:p>
      <w:pPr>
        <w:pStyle w:val="BodyText"/>
        <w:spacing w:before="1"/>
        <w:rPr>
          <w:sz w:val="21"/>
        </w:rPr>
      </w:pPr>
    </w:p>
    <w:p>
      <w:pPr>
        <w:pStyle w:val="ListParagraph"/>
        <w:numPr>
          <w:ilvl w:val="0"/>
          <w:numId w:val="1"/>
        </w:numPr>
        <w:tabs>
          <w:tab w:pos="386" w:val="left" w:leader="none"/>
        </w:tabs>
        <w:spacing w:line="240" w:lineRule="auto" w:before="0" w:after="0"/>
        <w:ind w:left="385" w:right="0" w:hanging="277"/>
        <w:jc w:val="left"/>
        <w:rPr>
          <w:b/>
          <w:sz w:val="20"/>
        </w:rPr>
      </w:pPr>
      <w:r>
        <w:rPr>
          <w:b/>
          <w:sz w:val="20"/>
        </w:rPr>
        <w:t>Change in Prior-Authorization</w:t>
      </w:r>
      <w:r>
        <w:rPr>
          <w:b/>
          <w:spacing w:val="-6"/>
          <w:sz w:val="20"/>
        </w:rPr>
        <w:t> </w:t>
      </w:r>
      <w:r>
        <w:rPr>
          <w:b/>
          <w:sz w:val="20"/>
        </w:rPr>
        <w:t>Status</w:t>
      </w:r>
    </w:p>
    <w:p>
      <w:pPr>
        <w:pStyle w:val="ListParagraph"/>
        <w:numPr>
          <w:ilvl w:val="1"/>
          <w:numId w:val="1"/>
        </w:numPr>
        <w:tabs>
          <w:tab w:pos="652" w:val="left" w:leader="none"/>
        </w:tabs>
        <w:spacing w:line="240" w:lineRule="auto" w:before="80" w:after="0"/>
        <w:ind w:left="655" w:right="238" w:hanging="216"/>
        <w:jc w:val="left"/>
        <w:rPr>
          <w:sz w:val="19"/>
        </w:rPr>
      </w:pPr>
      <w:r>
        <w:rPr>
          <w:sz w:val="19"/>
        </w:rPr>
        <w:t>The following drug will require prior authorization</w:t>
      </w:r>
      <w:r>
        <w:rPr>
          <w:spacing w:val="-11"/>
          <w:sz w:val="19"/>
        </w:rPr>
        <w:t> </w:t>
      </w:r>
      <w:r>
        <w:rPr>
          <w:sz w:val="19"/>
        </w:rPr>
        <w:t>for those under 50 years of</w:t>
      </w:r>
      <w:r>
        <w:rPr>
          <w:spacing w:val="-1"/>
          <w:sz w:val="19"/>
        </w:rPr>
        <w:t> </w:t>
      </w:r>
      <w:r>
        <w:rPr>
          <w:sz w:val="19"/>
        </w:rPr>
        <w:t>age.</w:t>
      </w:r>
    </w:p>
    <w:p>
      <w:pPr>
        <w:spacing w:line="217" w:lineRule="exact" w:before="0"/>
        <w:ind w:left="885" w:right="0" w:firstLine="0"/>
        <w:jc w:val="left"/>
        <w:rPr>
          <w:b/>
          <w:sz w:val="19"/>
        </w:rPr>
      </w:pPr>
      <w:r>
        <w:rPr>
          <w:sz w:val="19"/>
        </w:rPr>
        <w:t>Zostavax (herpes zoster vaccine) </w:t>
      </w:r>
      <w:r>
        <w:rPr>
          <w:b/>
          <w:sz w:val="19"/>
        </w:rPr>
        <w:t>– PA &lt; 50 years</w:t>
      </w:r>
    </w:p>
    <w:p>
      <w:pPr>
        <w:pStyle w:val="ListParagraph"/>
        <w:numPr>
          <w:ilvl w:val="1"/>
          <w:numId w:val="1"/>
        </w:numPr>
        <w:tabs>
          <w:tab w:pos="652" w:val="left" w:leader="none"/>
        </w:tabs>
        <w:spacing w:line="240" w:lineRule="auto" w:before="81" w:after="0"/>
        <w:ind w:left="655" w:right="205" w:hanging="216"/>
        <w:jc w:val="left"/>
        <w:rPr>
          <w:sz w:val="19"/>
        </w:rPr>
      </w:pPr>
      <w:r>
        <w:rPr>
          <w:sz w:val="19"/>
        </w:rPr>
        <w:t>The following drugs will require prior authorization to exceed quantity limits effective October 11,</w:t>
      </w:r>
      <w:r>
        <w:rPr>
          <w:spacing w:val="-6"/>
          <w:sz w:val="19"/>
        </w:rPr>
        <w:t> </w:t>
      </w:r>
      <w:r>
        <w:rPr>
          <w:sz w:val="19"/>
        </w:rPr>
        <w:t>2011.</w:t>
      </w:r>
    </w:p>
    <w:p>
      <w:pPr>
        <w:spacing w:before="0"/>
        <w:ind w:left="991" w:right="360" w:hanging="106"/>
        <w:jc w:val="left"/>
        <w:rPr>
          <w:b/>
          <w:sz w:val="19"/>
        </w:rPr>
      </w:pPr>
      <w:r>
        <w:rPr>
          <w:sz w:val="19"/>
        </w:rPr>
        <w:t>Revlimid (lenalidomide) 5 mg, 10 mg – </w:t>
      </w:r>
      <w:r>
        <w:rPr>
          <w:b/>
          <w:sz w:val="19"/>
        </w:rPr>
        <w:t>PA &gt; 30 units/month</w:t>
      </w:r>
    </w:p>
    <w:p>
      <w:pPr>
        <w:spacing w:before="0"/>
        <w:ind w:left="991" w:right="254" w:hanging="106"/>
        <w:jc w:val="left"/>
        <w:rPr>
          <w:b/>
          <w:sz w:val="19"/>
        </w:rPr>
      </w:pPr>
      <w:r>
        <w:rPr>
          <w:sz w:val="19"/>
        </w:rPr>
        <w:t>Revlimid (lenalidomide) 15 mg, 25 mg </w:t>
      </w:r>
      <w:r>
        <w:rPr>
          <w:b/>
          <w:sz w:val="19"/>
        </w:rPr>
        <w:t>– PA &gt; 21 units/28 days</w:t>
      </w:r>
    </w:p>
    <w:p>
      <w:pPr>
        <w:pStyle w:val="ListParagraph"/>
        <w:numPr>
          <w:ilvl w:val="1"/>
          <w:numId w:val="1"/>
        </w:numPr>
        <w:tabs>
          <w:tab w:pos="652" w:val="left" w:leader="none"/>
        </w:tabs>
        <w:spacing w:line="240" w:lineRule="auto" w:before="80" w:after="0"/>
        <w:ind w:left="655" w:right="416" w:hanging="216"/>
        <w:jc w:val="left"/>
        <w:rPr>
          <w:sz w:val="19"/>
        </w:rPr>
      </w:pPr>
      <w:r>
        <w:rPr>
          <w:sz w:val="19"/>
        </w:rPr>
        <w:t>The following drugs will require prior authorization effective October 11,</w:t>
      </w:r>
      <w:r>
        <w:rPr>
          <w:spacing w:val="-1"/>
          <w:sz w:val="19"/>
        </w:rPr>
        <w:t> </w:t>
      </w:r>
      <w:r>
        <w:rPr>
          <w:sz w:val="19"/>
        </w:rPr>
        <w:t>2011.</w:t>
      </w:r>
    </w:p>
    <w:p>
      <w:pPr>
        <w:pStyle w:val="BodyText"/>
        <w:ind w:left="885"/>
        <w:rPr>
          <w:b/>
        </w:rPr>
      </w:pPr>
      <w:r>
        <w:rPr/>
        <w:t>Cardizem CD (diltiazem 360 mg) – </w:t>
      </w:r>
      <w:r>
        <w:rPr>
          <w:b/>
        </w:rPr>
        <w:t>PA</w:t>
      </w:r>
    </w:p>
    <w:p>
      <w:pPr>
        <w:pStyle w:val="BodyText"/>
        <w:ind w:left="885"/>
        <w:rPr>
          <w:b/>
        </w:rPr>
      </w:pPr>
      <w:r>
        <w:rPr/>
        <w:t>Jevtana (cabazitaxel) – </w:t>
      </w:r>
      <w:r>
        <w:rPr>
          <w:b/>
        </w:rPr>
        <w:t>PA</w:t>
      </w:r>
    </w:p>
    <w:p>
      <w:pPr>
        <w:pStyle w:val="ListParagraph"/>
        <w:numPr>
          <w:ilvl w:val="1"/>
          <w:numId w:val="1"/>
        </w:numPr>
        <w:tabs>
          <w:tab w:pos="652" w:val="left" w:leader="none"/>
        </w:tabs>
        <w:spacing w:line="240" w:lineRule="auto" w:before="80" w:after="0"/>
        <w:ind w:left="655" w:right="690" w:hanging="216"/>
        <w:jc w:val="left"/>
        <w:rPr>
          <w:sz w:val="19"/>
        </w:rPr>
      </w:pPr>
      <w:r>
        <w:rPr>
          <w:sz w:val="19"/>
        </w:rPr>
        <w:t>The following antidepressants will require prior authorization effective October 11,</w:t>
      </w:r>
      <w:r>
        <w:rPr>
          <w:spacing w:val="-1"/>
          <w:sz w:val="19"/>
        </w:rPr>
        <w:t> </w:t>
      </w:r>
      <w:r>
        <w:rPr>
          <w:sz w:val="19"/>
        </w:rPr>
        <w:t>2011.</w:t>
      </w:r>
    </w:p>
    <w:p>
      <w:pPr>
        <w:pStyle w:val="BodyText"/>
        <w:ind w:left="885"/>
        <w:rPr>
          <w:b/>
        </w:rPr>
      </w:pPr>
      <w:r>
        <w:rPr/>
        <w:t>Tofranil-PM (imipramine pamoate) – </w:t>
      </w:r>
      <w:r>
        <w:rPr>
          <w:b/>
        </w:rPr>
        <w:t>PA</w:t>
      </w:r>
    </w:p>
    <w:p>
      <w:pPr>
        <w:pStyle w:val="BodyText"/>
        <w:ind w:left="885"/>
        <w:rPr>
          <w:b/>
        </w:rPr>
      </w:pPr>
      <w:r>
        <w:rPr/>
        <w:t>venlafaxine ER tablets – </w:t>
      </w:r>
      <w:r>
        <w:rPr>
          <w:b/>
        </w:rPr>
        <w:t>PA</w:t>
      </w:r>
    </w:p>
    <w:p>
      <w:pPr>
        <w:pStyle w:val="ListParagraph"/>
        <w:numPr>
          <w:ilvl w:val="1"/>
          <w:numId w:val="1"/>
        </w:numPr>
        <w:tabs>
          <w:tab w:pos="652" w:val="left" w:leader="none"/>
        </w:tabs>
        <w:spacing w:line="240" w:lineRule="auto" w:before="80" w:after="0"/>
        <w:ind w:left="655" w:right="817" w:hanging="216"/>
        <w:jc w:val="left"/>
        <w:rPr>
          <w:sz w:val="19"/>
        </w:rPr>
      </w:pPr>
      <w:r>
        <w:rPr>
          <w:sz w:val="19"/>
        </w:rPr>
        <w:t>The following oral antibiotics will require prior authorization effective October 11,</w:t>
      </w:r>
      <w:r>
        <w:rPr>
          <w:spacing w:val="-2"/>
          <w:sz w:val="19"/>
        </w:rPr>
        <w:t> </w:t>
      </w:r>
      <w:r>
        <w:rPr>
          <w:sz w:val="19"/>
        </w:rPr>
        <w:t>2011.</w:t>
      </w:r>
    </w:p>
    <w:p>
      <w:pPr>
        <w:pStyle w:val="BodyText"/>
        <w:ind w:left="885" w:right="1400"/>
        <w:rPr>
          <w:b/>
        </w:rPr>
      </w:pPr>
      <w:r>
        <w:rPr/>
        <w:t>Avelox (moxifloxacin) – </w:t>
      </w:r>
      <w:r>
        <w:rPr>
          <w:b/>
        </w:rPr>
        <w:t>PA </w:t>
      </w:r>
      <w:r>
        <w:rPr/>
        <w:t>doxycycline monohydrate – </w:t>
      </w:r>
      <w:r>
        <w:rPr>
          <w:b/>
        </w:rPr>
        <w:t>PA </w:t>
      </w:r>
      <w:r>
        <w:rPr/>
        <w:t>Dynacin (minocycline tablets) – </w:t>
      </w:r>
      <w:r>
        <w:rPr>
          <w:b/>
        </w:rPr>
        <w:t>PA </w:t>
      </w:r>
      <w:r>
        <w:rPr/>
        <w:t>Factive (gemifloxacin) – </w:t>
      </w:r>
      <w:r>
        <w:rPr>
          <w:b/>
        </w:rPr>
        <w:t>PA </w:t>
      </w:r>
      <w:r>
        <w:rPr/>
        <w:t>Noroxin (norfloxacin) – </w:t>
      </w:r>
      <w:r>
        <w:rPr>
          <w:b/>
        </w:rPr>
        <w:t>PA</w:t>
      </w:r>
    </w:p>
    <w:p>
      <w:pPr>
        <w:pStyle w:val="ListParagraph"/>
        <w:numPr>
          <w:ilvl w:val="1"/>
          <w:numId w:val="1"/>
        </w:numPr>
        <w:tabs>
          <w:tab w:pos="652" w:val="left" w:leader="none"/>
        </w:tabs>
        <w:spacing w:line="240" w:lineRule="auto" w:before="80" w:after="0"/>
        <w:ind w:left="655" w:right="1134" w:hanging="216"/>
        <w:jc w:val="left"/>
        <w:rPr>
          <w:sz w:val="19"/>
        </w:rPr>
      </w:pPr>
      <w:r>
        <w:rPr>
          <w:sz w:val="19"/>
        </w:rPr>
        <w:t>The following androgens will require prior authorization effective October 11,</w:t>
      </w:r>
      <w:r>
        <w:rPr>
          <w:spacing w:val="-5"/>
          <w:sz w:val="19"/>
        </w:rPr>
        <w:t> </w:t>
      </w:r>
      <w:r>
        <w:rPr>
          <w:sz w:val="19"/>
        </w:rPr>
        <w:t>2011.</w:t>
      </w:r>
    </w:p>
    <w:p>
      <w:pPr>
        <w:pStyle w:val="BodyText"/>
        <w:ind w:left="885"/>
        <w:rPr>
          <w:b/>
        </w:rPr>
      </w:pPr>
      <w:r>
        <w:rPr/>
        <w:t>Delatestryl (testosterone enanthate) – </w:t>
      </w:r>
      <w:r>
        <w:rPr>
          <w:b/>
        </w:rPr>
        <w:t>PA</w:t>
      </w:r>
    </w:p>
    <w:p>
      <w:pPr>
        <w:pStyle w:val="BodyText"/>
        <w:ind w:left="885"/>
        <w:rPr>
          <w:b/>
        </w:rPr>
      </w:pPr>
      <w:r>
        <w:rPr/>
        <w:t>Depo-Testosterone (testosterone cypionate) – </w:t>
      </w:r>
      <w:r>
        <w:rPr>
          <w:b/>
        </w:rPr>
        <w:t>PA</w:t>
      </w:r>
    </w:p>
    <w:p>
      <w:pPr>
        <w:pStyle w:val="BodyText"/>
        <w:ind w:left="885"/>
        <w:rPr>
          <w:b/>
        </w:rPr>
      </w:pPr>
      <w:r>
        <w:rPr/>
        <w:t>testosterone powder – </w:t>
      </w:r>
      <w:r>
        <w:rPr>
          <w:b/>
        </w:rPr>
        <w:t>PA</w:t>
      </w:r>
    </w:p>
    <w:p>
      <w:pPr>
        <w:spacing w:after="0"/>
        <w:sectPr>
          <w:type w:val="continuous"/>
          <w:pgSz w:w="12240" w:h="15840"/>
          <w:pgMar w:top="400" w:bottom="0" w:left="900" w:right="980"/>
          <w:cols w:num="2" w:equalWidth="0">
            <w:col w:w="4995" w:space="113"/>
            <w:col w:w="5252"/>
          </w:cols>
        </w:sectPr>
      </w:pPr>
    </w:p>
    <w:p>
      <w:pPr>
        <w:pStyle w:val="BodyText"/>
        <w:spacing w:before="1"/>
        <w:rPr>
          <w:b/>
          <w:sz w:val="10"/>
        </w:rPr>
      </w:pPr>
      <w:r>
        <w:rPr/>
        <w:pict>
          <v:group style="position:absolute;margin-left:50.05793pt;margin-top:19.885714pt;width:541.9pt;height:107.25pt;mso-position-horizontal-relative:page;mso-position-vertical-relative:page;z-index:-3664" coordorigin="1001,398" coordsize="10838,2145">
            <v:shape style="position:absolute;left:1001;top:397;width:10838;height:2145" type="#_x0000_t75" stroked="false">
              <v:imagedata r:id="rId6" o:title=""/>
            </v:shape>
            <v:shapetype id="_x0000_t202" o:spt="202" coordsize="21600,21600" path="m,l,21600r21600,l21600,xe">
              <v:stroke joinstyle="miter"/>
              <v:path gradientshapeok="t" o:connecttype="rect"/>
            </v:shapetype>
            <v:shape style="position:absolute;left:1764;top:1332;width:1551;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67</w:t>
                    </w:r>
                  </w:p>
                  <w:p>
                    <w:pPr>
                      <w:spacing w:before="44"/>
                      <w:ind w:left="0" w:right="0" w:firstLine="0"/>
                      <w:jc w:val="left"/>
                      <w:rPr>
                        <w:rFonts w:ascii="Arial Narrow"/>
                        <w:b/>
                        <w:sz w:val="20"/>
                      </w:rPr>
                    </w:pPr>
                    <w:r>
                      <w:rPr>
                        <w:rFonts w:ascii="Arial Narrow"/>
                        <w:b/>
                        <w:sz w:val="20"/>
                      </w:rPr>
                      <w:t>September 21, 2011</w:t>
                    </w:r>
                  </w:p>
                </w:txbxContent>
              </v:textbox>
              <w10:wrap type="none"/>
            </v:shape>
            <w10:wrap type="none"/>
          </v:group>
        </w:pict>
      </w:r>
    </w:p>
    <w:p>
      <w:pPr>
        <w:spacing w:before="94"/>
        <w:ind w:left="3861" w:right="940" w:hanging="1743"/>
        <w:jc w:val="left"/>
        <w:rPr>
          <w:i/>
          <w:sz w:val="20"/>
        </w:rPr>
      </w:pPr>
      <w:r>
        <w:rPr>
          <w:i/>
          <w:sz w:val="20"/>
        </w:rPr>
        <w:t>Please direct any questions or comments (or to be taken off this fax distribution) to </w:t>
      </w:r>
      <w:r>
        <w:rPr>
          <w:i/>
          <w:sz w:val="20"/>
        </w:rPr>
        <w:t>Victor Moquin of ACS at 617-423-9830</w:t>
      </w:r>
    </w:p>
    <w:sectPr>
      <w:type w:val="continuous"/>
      <w:pgSz w:w="12240" w:h="15840"/>
      <w:pgMar w:top="400" w:bottom="0" w:left="90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8" w:hanging="361"/>
        <w:jc w:val="left"/>
      </w:pPr>
      <w:rPr>
        <w:rFonts w:hint="default" w:ascii="Arial" w:hAnsi="Arial" w:eastAsia="Arial" w:cs="Arial"/>
        <w:b/>
        <w:bCs/>
        <w:spacing w:val="-1"/>
        <w:w w:val="100"/>
        <w:sz w:val="20"/>
        <w:szCs w:val="20"/>
      </w:rPr>
    </w:lvl>
    <w:lvl w:ilvl="1">
      <w:start w:val="1"/>
      <w:numFmt w:val="lowerLetter"/>
      <w:lvlText w:val="%2."/>
      <w:lvlJc w:val="left"/>
      <w:pPr>
        <w:ind w:left="655" w:hanging="213"/>
        <w:jc w:val="left"/>
      </w:pPr>
      <w:rPr>
        <w:rFonts w:hint="default"/>
        <w:w w:val="99"/>
      </w:rPr>
    </w:lvl>
    <w:lvl w:ilvl="2">
      <w:start w:val="0"/>
      <w:numFmt w:val="bullet"/>
      <w:lvlText w:val="•"/>
      <w:lvlJc w:val="left"/>
      <w:pPr>
        <w:ind w:left="720" w:hanging="213"/>
      </w:pPr>
      <w:rPr>
        <w:rFonts w:hint="default"/>
      </w:rPr>
    </w:lvl>
    <w:lvl w:ilvl="3">
      <w:start w:val="0"/>
      <w:numFmt w:val="bullet"/>
      <w:lvlText w:val="•"/>
      <w:lvlJc w:val="left"/>
      <w:pPr>
        <w:ind w:left="615" w:hanging="213"/>
      </w:pPr>
      <w:rPr>
        <w:rFonts w:hint="default"/>
      </w:rPr>
    </w:lvl>
    <w:lvl w:ilvl="4">
      <w:start w:val="0"/>
      <w:numFmt w:val="bullet"/>
      <w:lvlText w:val="•"/>
      <w:lvlJc w:val="left"/>
      <w:pPr>
        <w:ind w:left="511" w:hanging="213"/>
      </w:pPr>
      <w:rPr>
        <w:rFonts w:hint="default"/>
      </w:rPr>
    </w:lvl>
    <w:lvl w:ilvl="5">
      <w:start w:val="0"/>
      <w:numFmt w:val="bullet"/>
      <w:lvlText w:val="•"/>
      <w:lvlJc w:val="left"/>
      <w:pPr>
        <w:ind w:left="407" w:hanging="213"/>
      </w:pPr>
      <w:rPr>
        <w:rFonts w:hint="default"/>
      </w:rPr>
    </w:lvl>
    <w:lvl w:ilvl="6">
      <w:start w:val="0"/>
      <w:numFmt w:val="bullet"/>
      <w:lvlText w:val="•"/>
      <w:lvlJc w:val="left"/>
      <w:pPr>
        <w:ind w:left="303" w:hanging="213"/>
      </w:pPr>
      <w:rPr>
        <w:rFonts w:hint="default"/>
      </w:rPr>
    </w:lvl>
    <w:lvl w:ilvl="7">
      <w:start w:val="0"/>
      <w:numFmt w:val="bullet"/>
      <w:lvlText w:val="•"/>
      <w:lvlJc w:val="left"/>
      <w:pPr>
        <w:ind w:left="198" w:hanging="213"/>
      </w:pPr>
      <w:rPr>
        <w:rFonts w:hint="default"/>
      </w:rPr>
    </w:lvl>
    <w:lvl w:ilvl="8">
      <w:start w:val="0"/>
      <w:numFmt w:val="bullet"/>
      <w:lvlText w:val="•"/>
      <w:lvlJc w:val="left"/>
      <w:pPr>
        <w:ind w:left="94" w:hanging="21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spacing w:before="100"/>
      <w:ind w:left="107"/>
      <w:outlineLvl w:val="1"/>
    </w:pPr>
    <w:rPr>
      <w:rFonts w:ascii="Arial Black" w:hAnsi="Arial Black" w:eastAsia="Arial Black" w:cs="Arial Black"/>
      <w:b/>
      <w:bCs/>
      <w:sz w:val="22"/>
      <w:szCs w:val="22"/>
    </w:rPr>
  </w:style>
  <w:style w:styleId="Heading2" w:type="paragraph">
    <w:name w:val="Heading 2"/>
    <w:basedOn w:val="Normal"/>
    <w:uiPriority w:val="1"/>
    <w:qFormat/>
    <w:pPr>
      <w:ind w:left="471"/>
      <w:outlineLvl w:val="2"/>
    </w:pPr>
    <w:rPr>
      <w:rFonts w:ascii="Arial" w:hAnsi="Arial" w:eastAsia="Arial" w:cs="Arial"/>
      <w:b/>
      <w:bCs/>
      <w:sz w:val="19"/>
      <w:szCs w:val="19"/>
    </w:rPr>
  </w:style>
  <w:style w:styleId="ListParagraph" w:type="paragraph">
    <w:name w:val="List Paragraph"/>
    <w:basedOn w:val="Normal"/>
    <w:uiPriority w:val="1"/>
    <w:qFormat/>
    <w:pPr>
      <w:spacing w:before="80"/>
      <w:ind w:left="655" w:hanging="216"/>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ss.gov/masshealth/pharmacy" TargetMode="Externa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rdinkin</dc:creator>
  <dc:title>Microsoft Word - Pharmacy Facts #67-09-21-11.doc</dc:title>
  <dcterms:created xsi:type="dcterms:W3CDTF">2017-11-20T20:28:28Z</dcterms:created>
  <dcterms:modified xsi:type="dcterms:W3CDTF">2017-11-20T20:28:28Z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2011-09-21T00:00:00Z</vt:filetime>
  </property>
  <property fmtid="{D5CDD505-2E9C-101B-9397-08002B2CF9AE}" pid="3" name="Creator">
    <vt:lpwstr>PScript5.dll Version 5.2.2</vt:lpwstr>
  </property>
  <property fmtid="{D5CDD505-2E9C-101B-9397-08002B2CF9AE}" pid="4" name="LastSaved">
    <vt:filetime>2017-11-20T00:00:00Z</vt:filetime>
  </property>
</Properties>
</file>