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spacing w:before="0"/>
        <w:ind w:left="3872" w:right="4029" w:firstLine="0"/>
        <w:jc w:val="center"/>
        <w:rPr>
          <w:rFonts w:ascii="Arial Narrow"/>
          <w:sz w:val="18"/>
        </w:rPr>
      </w:pPr>
      <w:r>
        <w:rPr/>
        <w:pict>
          <v:line style="position:absolute;mso-position-horizontal-relative:page;mso-position-vertical-relative:paragraph;z-index:1072" from="45pt,10.893106pt" to="567.84pt,10.893106pt" stroked="true" strokeweight=".95996pt" strokecolor="#000000">
            <v:stroke dashstyle="solid"/>
            <w10:wrap type="none"/>
          </v:line>
        </w:pict>
      </w:r>
      <w:hyperlink r:id="rId5">
        <w:r>
          <w:rPr>
            <w:rFonts w:ascii="Arial Narrow"/>
            <w:sz w:val="18"/>
          </w:rPr>
          <w:t>www.mass.gov/masshealth/pharmacy</w:t>
        </w:r>
      </w:hyperlink>
    </w:p>
    <w:p>
      <w:pPr>
        <w:spacing w:before="22"/>
        <w:ind w:left="1759" w:right="0" w:firstLine="0"/>
        <w:jc w:val="left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Editor: Vic Vangel </w:t>
      </w:r>
      <w:r>
        <w:rPr>
          <w:rFonts w:ascii="Arial Black" w:hAnsi="Arial Black"/>
          <w:b/>
          <w:sz w:val="18"/>
        </w:rPr>
        <w:t>• </w:t>
      </w:r>
      <w:r>
        <w:rPr>
          <w:rFonts w:ascii="Arial Narrow" w:hAnsi="Arial Narrow"/>
          <w:sz w:val="18"/>
        </w:rPr>
        <w:t>Contributors: Chris Burke, Gary Gilmore, Paul Jeffrey, James Monahan, Nancy Schiff</w:t>
      </w:r>
    </w:p>
    <w:p>
      <w:pPr>
        <w:spacing w:after="0"/>
        <w:jc w:val="left"/>
        <w:rPr>
          <w:rFonts w:ascii="Arial Narrow" w:hAnsi="Arial Narrow"/>
          <w:sz w:val="18"/>
        </w:rPr>
        <w:sectPr>
          <w:type w:val="continuous"/>
          <w:pgSz w:w="12240" w:h="15840"/>
          <w:pgMar w:top="380" w:bottom="280" w:left="900" w:right="920"/>
        </w:sectPr>
      </w:pPr>
    </w:p>
    <w:p>
      <w:pPr>
        <w:spacing w:before="189"/>
        <w:ind w:left="107" w:right="0" w:firstLine="0"/>
        <w:jc w:val="left"/>
        <w:rPr>
          <w:rFonts w:ascii="Arial Black"/>
          <w:b/>
          <w:sz w:val="22"/>
        </w:rPr>
      </w:pPr>
      <w:r>
        <w:rPr/>
        <w:pict>
          <v:group style="position:absolute;margin-left:36pt;margin-top:2.476396pt;width:531.85pt;height:586.9pt;mso-position-horizontal-relative:page;mso-position-vertical-relative:paragraph;z-index:-3544" coordorigin="720,50" coordsize="10637,11738">
            <v:shape style="position:absolute;left:900;top:59;width:10457;height:2" coordorigin="900,59" coordsize="10457,0" path="m900,59l6018,59m6018,59l11357,59e" filled="false" stroked="true" strokeweight=".96002pt" strokecolor="#000000">
              <v:path arrowok="t"/>
              <v:stroke dashstyle="solid"/>
            </v:shape>
            <v:line style="position:absolute" from="6023,69" to="6023,11777" stroked="true" strokeweight=".48001pt" strokecolor="#000000">
              <v:stroke dashstyle="solid"/>
            </v:line>
            <v:line style="position:absolute" from="720,11780" to="11340,11780" stroked="true" strokeweight=".75pt" strokecolor="#000000">
              <v:stroke dashstyle="solid"/>
            </v:line>
            <w10:wrap type="none"/>
          </v:group>
        </w:pict>
      </w:r>
      <w:r>
        <w:rPr>
          <w:rFonts w:ascii="Arial Black"/>
          <w:b/>
          <w:sz w:val="22"/>
        </w:rPr>
        <w:t>MHDL Updates</w:t>
      </w:r>
    </w:p>
    <w:p>
      <w:pPr>
        <w:pStyle w:val="Heading2"/>
        <w:ind w:left="125" w:right="63" w:hanging="18"/>
      </w:pPr>
      <w:r>
        <w:rPr/>
        <w:t>Below are certain updates to the MassHealth Drug List (MHDL). See the MHDL for a complete listing of updates.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81" w:after="0"/>
        <w:ind w:left="468" w:right="0" w:hanging="360"/>
        <w:jc w:val="left"/>
        <w:rPr>
          <w:b/>
          <w:sz w:val="20"/>
        </w:rPr>
      </w:pPr>
      <w:r>
        <w:rPr>
          <w:b/>
          <w:sz w:val="20"/>
        </w:rPr>
        <w:t>Additions</w:t>
      </w:r>
    </w:p>
    <w:p>
      <w:pPr>
        <w:pStyle w:val="ListParagraph"/>
        <w:numPr>
          <w:ilvl w:val="1"/>
          <w:numId w:val="1"/>
        </w:numPr>
        <w:tabs>
          <w:tab w:pos="728" w:val="left" w:leader="none"/>
        </w:tabs>
        <w:spacing w:line="240" w:lineRule="auto" w:before="58" w:after="0"/>
        <w:ind w:left="727" w:right="115" w:hanging="245"/>
        <w:jc w:val="left"/>
        <w:rPr>
          <w:sz w:val="20"/>
        </w:rPr>
      </w:pPr>
      <w:r>
        <w:rPr>
          <w:sz w:val="20"/>
        </w:rPr>
        <w:t>The following newly marketed drugs have been added to the MassHealth Drug List as of January 9,</w:t>
      </w:r>
      <w:r>
        <w:rPr>
          <w:spacing w:val="-3"/>
          <w:sz w:val="20"/>
        </w:rPr>
        <w:t> </w:t>
      </w:r>
      <w:r>
        <w:rPr>
          <w:sz w:val="20"/>
        </w:rPr>
        <w:t>2012.</w:t>
      </w:r>
    </w:p>
    <w:p>
      <w:pPr>
        <w:pStyle w:val="BodyText"/>
        <w:spacing w:before="1"/>
        <w:ind w:left="900"/>
        <w:rPr>
          <w:b/>
        </w:rPr>
      </w:pPr>
      <w:r>
        <w:rPr/>
        <w:t>ADCETRIS (brentuximab) </w:t>
      </w:r>
      <w:r>
        <w:rPr>
          <w:b/>
        </w:rPr>
        <w:t>– PA</w:t>
      </w:r>
    </w:p>
    <w:p>
      <w:pPr>
        <w:pStyle w:val="BodyText"/>
        <w:spacing w:before="1"/>
        <w:ind w:left="900" w:right="663"/>
        <w:rPr>
          <w:b/>
        </w:rPr>
      </w:pPr>
      <w:r>
        <w:rPr/>
        <w:t>Amethia (levonorgestrel/ethinyl estradiol) Arcapta (indacaterol) </w:t>
      </w:r>
      <w:r>
        <w:rPr>
          <w:b/>
        </w:rPr>
        <w:t>– PA</w:t>
      </w:r>
    </w:p>
    <w:p>
      <w:pPr>
        <w:pStyle w:val="BodyText"/>
        <w:spacing w:line="218" w:lineRule="exact"/>
        <w:ind w:left="900"/>
      </w:pPr>
      <w:r>
        <w:rPr/>
        <w:t>Biltricide (praziquantel)</w:t>
      </w:r>
    </w:p>
    <w:p>
      <w:pPr>
        <w:pStyle w:val="BodyText"/>
        <w:spacing w:line="218" w:lineRule="exact"/>
        <w:ind w:left="900"/>
        <w:rPr>
          <w:b/>
        </w:rPr>
      </w:pPr>
      <w:r>
        <w:rPr/>
        <w:t>BRILINTA (ticagrelor) </w:t>
      </w:r>
      <w:r>
        <w:rPr>
          <w:b/>
        </w:rPr>
        <w:t>– PA</w:t>
      </w:r>
    </w:p>
    <w:p>
      <w:pPr>
        <w:pStyle w:val="BodyText"/>
        <w:ind w:left="900" w:right="442" w:hanging="1"/>
        <w:rPr>
          <w:b/>
        </w:rPr>
      </w:pPr>
      <w:r>
        <w:rPr/>
        <w:t>chlorzoxazone 375 mg, 750 mg </w:t>
      </w:r>
      <w:r>
        <w:rPr>
          <w:b/>
        </w:rPr>
        <w:t>– PA </w:t>
      </w:r>
      <w:r>
        <w:rPr/>
        <w:t>Complera (emtricitabine/rilpivirine/tenofovir) Conzip ER (tramadol ER) </w:t>
      </w:r>
      <w:r>
        <w:rPr>
          <w:b/>
        </w:rPr>
        <w:t>– PA</w:t>
      </w:r>
    </w:p>
    <w:p>
      <w:pPr>
        <w:spacing w:line="218" w:lineRule="exact" w:before="0"/>
        <w:ind w:left="900" w:right="0" w:firstLine="0"/>
        <w:jc w:val="left"/>
        <w:rPr>
          <w:b/>
          <w:sz w:val="19"/>
        </w:rPr>
      </w:pPr>
      <w:r>
        <w:rPr>
          <w:sz w:val="19"/>
        </w:rPr>
        <w:t>DUEXIS (ibuprofen/famotidine) </w:t>
      </w:r>
      <w:r>
        <w:rPr>
          <w:b/>
          <w:sz w:val="19"/>
        </w:rPr>
        <w:t>– PA &lt; 60 years</w:t>
      </w:r>
    </w:p>
    <w:p>
      <w:pPr>
        <w:pStyle w:val="BodyText"/>
        <w:spacing w:before="1"/>
        <w:ind w:left="900"/>
        <w:rPr>
          <w:b/>
        </w:rPr>
      </w:pPr>
      <w:r>
        <w:rPr/>
        <w:t>FIRAZYR (icatibant) </w:t>
      </w:r>
      <w:r>
        <w:rPr>
          <w:b/>
        </w:rPr>
        <w:t>– PA</w:t>
      </w:r>
    </w:p>
    <w:p>
      <w:pPr>
        <w:pStyle w:val="BodyText"/>
        <w:ind w:left="900" w:right="661"/>
      </w:pPr>
      <w:r>
        <w:rPr/>
        <w:t>Flo-pred (prednisolone suspension) </w:t>
      </w:r>
      <w:r>
        <w:rPr>
          <w:b/>
        </w:rPr>
        <w:t>–</w:t>
      </w:r>
      <w:r>
        <w:rPr>
          <w:b/>
          <w:spacing w:val="-9"/>
        </w:rPr>
        <w:t> </w:t>
      </w:r>
      <w:r>
        <w:rPr>
          <w:b/>
        </w:rPr>
        <w:t>PA </w:t>
      </w:r>
      <w:r>
        <w:rPr/>
        <w:t>GRALISE (gabapentin ER) </w:t>
      </w:r>
      <w:r>
        <w:rPr>
          <w:b/>
        </w:rPr>
        <w:t>– PA </w:t>
      </w:r>
      <w:r>
        <w:rPr/>
        <w:t>Juvisync (sitagliptin/simvastatin) </w:t>
      </w:r>
      <w:r>
        <w:rPr>
          <w:b/>
        </w:rPr>
        <w:t>– PA </w:t>
      </w:r>
      <w:r>
        <w:rPr/>
        <w:t>Nucynta ER (tapentadol ER) </w:t>
      </w:r>
      <w:r>
        <w:rPr>
          <w:b/>
        </w:rPr>
        <w:t>– PA </w:t>
      </w:r>
      <w:r>
        <w:rPr/>
        <w:t>Phoslyra (calcium</w:t>
      </w:r>
      <w:r>
        <w:rPr>
          <w:spacing w:val="-1"/>
        </w:rPr>
        <w:t> </w:t>
      </w:r>
      <w:r>
        <w:rPr/>
        <w:t>acetate)</w:t>
      </w:r>
    </w:p>
    <w:p>
      <w:pPr>
        <w:pStyle w:val="BodyText"/>
        <w:spacing w:line="218" w:lineRule="exact"/>
        <w:ind w:left="900"/>
        <w:rPr>
          <w:b/>
        </w:rPr>
      </w:pPr>
      <w:r>
        <w:rPr/>
        <w:t>Xalkori (crizotinib) </w:t>
      </w:r>
      <w:r>
        <w:rPr>
          <w:b/>
        </w:rPr>
        <w:t>– PA</w:t>
      </w:r>
    </w:p>
    <w:p>
      <w:pPr>
        <w:spacing w:before="0"/>
        <w:ind w:left="1005" w:right="131" w:hanging="106"/>
        <w:jc w:val="left"/>
        <w:rPr>
          <w:b/>
          <w:sz w:val="19"/>
        </w:rPr>
      </w:pPr>
      <w:r>
        <w:rPr>
          <w:sz w:val="19"/>
        </w:rPr>
        <w:t>Xarelto (rivaroxaban 10 mg) </w:t>
      </w:r>
      <w:r>
        <w:rPr>
          <w:b/>
          <w:sz w:val="19"/>
        </w:rPr>
        <w:t>– PA &gt; 10 mg/day and PA &gt; 35 tablets/365 days</w:t>
      </w:r>
    </w:p>
    <w:p>
      <w:pPr>
        <w:pStyle w:val="BodyText"/>
        <w:ind w:left="900"/>
        <w:rPr>
          <w:b/>
        </w:rPr>
      </w:pPr>
      <w:r>
        <w:rPr/>
        <w:t>Xarelto (rivaroxaban 15 mg, 20 mg) </w:t>
      </w:r>
      <w:r>
        <w:rPr>
          <w:b/>
        </w:rPr>
        <w:t>– PA</w:t>
      </w:r>
    </w:p>
    <w:p>
      <w:pPr>
        <w:pStyle w:val="BodyText"/>
        <w:ind w:left="900"/>
        <w:rPr>
          <w:b/>
        </w:rPr>
      </w:pPr>
      <w:r>
        <w:rPr/>
        <w:t>Zelboraf (vemurafenib) </w:t>
      </w:r>
      <w:r>
        <w:rPr>
          <w:b/>
        </w:rPr>
        <w:t>– PA</w:t>
      </w:r>
    </w:p>
    <w:p>
      <w:pPr>
        <w:pStyle w:val="Heading2"/>
        <w:numPr>
          <w:ilvl w:val="1"/>
          <w:numId w:val="1"/>
        </w:numPr>
        <w:tabs>
          <w:tab w:pos="721" w:val="left" w:leader="none"/>
        </w:tabs>
        <w:spacing w:line="240" w:lineRule="auto" w:before="39" w:after="0"/>
        <w:ind w:left="727" w:right="351" w:hanging="245"/>
        <w:jc w:val="left"/>
      </w:pPr>
      <w:r>
        <w:rPr/>
        <w:t>The following drug has been added to the MassHealth Drug List as of January 9,</w:t>
      </w:r>
      <w:r>
        <w:rPr>
          <w:spacing w:val="-31"/>
        </w:rPr>
        <w:t> </w:t>
      </w:r>
      <w:r>
        <w:rPr/>
        <w:t>2012, due to the newly approved indication for the signs and symptoms of benign prostatic hyperplasia</w:t>
      </w:r>
      <w:r>
        <w:rPr>
          <w:spacing w:val="-2"/>
        </w:rPr>
        <w:t> </w:t>
      </w:r>
      <w:r>
        <w:rPr/>
        <w:t>(BPH).</w:t>
      </w:r>
    </w:p>
    <w:p>
      <w:pPr>
        <w:pStyle w:val="BodyText"/>
        <w:spacing w:before="2"/>
        <w:ind w:left="900"/>
        <w:rPr>
          <w:b/>
        </w:rPr>
      </w:pPr>
      <w:r>
        <w:rPr/>
        <w:t>Cialis (tadalafil) – </w:t>
      </w:r>
      <w:r>
        <w:rPr>
          <w:b/>
        </w:rPr>
        <w:t>PA</w:t>
      </w:r>
    </w:p>
    <w:p>
      <w:pPr>
        <w:pStyle w:val="Heading1"/>
        <w:numPr>
          <w:ilvl w:val="0"/>
          <w:numId w:val="1"/>
        </w:numPr>
        <w:tabs>
          <w:tab w:pos="400" w:val="left" w:leader="none"/>
        </w:tabs>
        <w:spacing w:line="240" w:lineRule="auto" w:before="80" w:after="0"/>
        <w:ind w:left="399" w:right="0" w:hanging="277"/>
        <w:jc w:val="left"/>
      </w:pPr>
      <w:r>
        <w:rPr/>
        <w:t>Change in Prior-Authorization</w:t>
      </w:r>
      <w:r>
        <w:rPr>
          <w:spacing w:val="-7"/>
        </w:rPr>
        <w:t> </w:t>
      </w:r>
      <w:r>
        <w:rPr/>
        <w:t>Status</w:t>
      </w:r>
    </w:p>
    <w:p>
      <w:pPr>
        <w:pStyle w:val="ListParagraph"/>
        <w:numPr>
          <w:ilvl w:val="1"/>
          <w:numId w:val="1"/>
        </w:numPr>
        <w:tabs>
          <w:tab w:pos="667" w:val="left" w:leader="none"/>
        </w:tabs>
        <w:spacing w:line="240" w:lineRule="auto" w:before="41" w:after="0"/>
        <w:ind w:left="669" w:right="272" w:hanging="216"/>
        <w:jc w:val="left"/>
        <w:rPr>
          <w:sz w:val="19"/>
        </w:rPr>
      </w:pPr>
      <w:r>
        <w:rPr>
          <w:sz w:val="19"/>
        </w:rPr>
        <w:t>The following drug will require prior</w:t>
      </w:r>
      <w:r>
        <w:rPr>
          <w:spacing w:val="-10"/>
          <w:sz w:val="19"/>
        </w:rPr>
        <w:t> </w:t>
      </w:r>
      <w:r>
        <w:rPr>
          <w:sz w:val="19"/>
        </w:rPr>
        <w:t>authorization effective January 23,</w:t>
      </w:r>
      <w:r>
        <w:rPr>
          <w:spacing w:val="-1"/>
          <w:sz w:val="19"/>
        </w:rPr>
        <w:t> </w:t>
      </w:r>
      <w:r>
        <w:rPr>
          <w:sz w:val="19"/>
        </w:rPr>
        <w:t>2012.</w:t>
      </w:r>
    </w:p>
    <w:p>
      <w:pPr>
        <w:pStyle w:val="BodyText"/>
        <w:spacing w:line="217" w:lineRule="exact"/>
        <w:ind w:left="899"/>
        <w:rPr>
          <w:b/>
        </w:rPr>
      </w:pPr>
      <w:r>
        <w:rPr/>
        <w:t>Effient (prasugrel) </w:t>
      </w:r>
      <w:r>
        <w:rPr>
          <w:b/>
        </w:rPr>
        <w:t>– PA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40" w:lineRule="auto" w:before="61" w:after="0"/>
        <w:ind w:left="669" w:right="345" w:hanging="216"/>
        <w:jc w:val="left"/>
        <w:rPr>
          <w:sz w:val="19"/>
        </w:rPr>
      </w:pPr>
      <w:r>
        <w:rPr>
          <w:sz w:val="19"/>
        </w:rPr>
        <w:t>The following topical antiviral agents will</w:t>
      </w:r>
      <w:r>
        <w:rPr>
          <w:spacing w:val="-8"/>
          <w:sz w:val="19"/>
        </w:rPr>
        <w:t> </w:t>
      </w:r>
      <w:r>
        <w:rPr>
          <w:sz w:val="19"/>
        </w:rPr>
        <w:t>require prior authorization for all quantities effective January 23,</w:t>
      </w:r>
      <w:r>
        <w:rPr>
          <w:spacing w:val="-1"/>
          <w:sz w:val="19"/>
        </w:rPr>
        <w:t> </w:t>
      </w:r>
      <w:r>
        <w:rPr>
          <w:sz w:val="19"/>
        </w:rPr>
        <w:t>2012.</w:t>
      </w:r>
    </w:p>
    <w:p>
      <w:pPr>
        <w:pStyle w:val="BodyText"/>
        <w:spacing w:line="217" w:lineRule="exact"/>
        <w:ind w:left="899"/>
        <w:rPr>
          <w:b/>
        </w:rPr>
      </w:pPr>
      <w:r>
        <w:rPr/>
        <w:t>Denavir (penciclovir) – </w:t>
      </w:r>
      <w:r>
        <w:rPr>
          <w:b/>
        </w:rPr>
        <w:t>PA</w:t>
      </w:r>
    </w:p>
    <w:p>
      <w:pPr>
        <w:pStyle w:val="BodyText"/>
        <w:ind w:left="899"/>
        <w:rPr>
          <w:b/>
        </w:rPr>
      </w:pPr>
      <w:r>
        <w:rPr/>
        <w:t>Zovirax (acyclovir cream) </w:t>
      </w:r>
      <w:r>
        <w:rPr>
          <w:b/>
        </w:rPr>
        <w:t>– PA</w:t>
      </w:r>
    </w:p>
    <w:p>
      <w:pPr>
        <w:pStyle w:val="ListParagraph"/>
        <w:numPr>
          <w:ilvl w:val="1"/>
          <w:numId w:val="1"/>
        </w:numPr>
        <w:tabs>
          <w:tab w:pos="667" w:val="left" w:leader="none"/>
        </w:tabs>
        <w:spacing w:line="240" w:lineRule="auto" w:before="61" w:after="0"/>
        <w:ind w:left="669" w:right="38" w:hanging="216"/>
        <w:jc w:val="left"/>
        <w:rPr>
          <w:sz w:val="19"/>
        </w:rPr>
      </w:pPr>
      <w:r>
        <w:rPr>
          <w:sz w:val="19"/>
        </w:rPr>
        <w:t>The following antiparkinson agents will require prior authorization effective January 23,</w:t>
      </w:r>
      <w:r>
        <w:rPr>
          <w:spacing w:val="-1"/>
          <w:sz w:val="19"/>
        </w:rPr>
        <w:t> </w:t>
      </w:r>
      <w:r>
        <w:rPr>
          <w:sz w:val="19"/>
        </w:rPr>
        <w:t>2012.</w:t>
      </w:r>
    </w:p>
    <w:p>
      <w:pPr>
        <w:pStyle w:val="BodyText"/>
        <w:ind w:left="899" w:right="1984"/>
        <w:rPr>
          <w:b/>
        </w:rPr>
      </w:pPr>
      <w:r>
        <w:rPr/>
        <w:t>amantadine tablet – </w:t>
      </w:r>
      <w:r>
        <w:rPr>
          <w:b/>
        </w:rPr>
        <w:t>PA </w:t>
      </w:r>
      <w:r>
        <w:rPr/>
        <w:t>selegiline capsule – </w:t>
      </w:r>
      <w:r>
        <w:rPr>
          <w:b/>
        </w:rPr>
        <w:t>PA </w:t>
      </w:r>
      <w:r>
        <w:rPr/>
        <w:t>Tasmar (tolcapone) – </w:t>
      </w:r>
      <w:r>
        <w:rPr>
          <w:b/>
        </w:rPr>
        <w:t>PA</w:t>
      </w:r>
    </w:p>
    <w:p>
      <w:pPr>
        <w:pStyle w:val="BodyText"/>
        <w:spacing w:before="5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pStyle w:val="Heading1"/>
        <w:numPr>
          <w:ilvl w:val="0"/>
          <w:numId w:val="1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</w:pPr>
      <w:r>
        <w:rPr/>
        <w:t>Deletions</w:t>
      </w:r>
    </w:p>
    <w:p>
      <w:pPr>
        <w:pStyle w:val="Heading2"/>
        <w:numPr>
          <w:ilvl w:val="1"/>
          <w:numId w:val="1"/>
        </w:numPr>
        <w:tabs>
          <w:tab w:pos="811" w:val="left" w:leader="none"/>
        </w:tabs>
        <w:spacing w:line="240" w:lineRule="auto" w:before="79" w:after="0"/>
        <w:ind w:left="824" w:right="150" w:hanging="360"/>
        <w:jc w:val="left"/>
      </w:pPr>
      <w:r>
        <w:rPr/>
        <w:t>The following drug has been removed from the MassHealth Drug List because it is not approved by the</w:t>
      </w:r>
      <w:r>
        <w:rPr>
          <w:spacing w:val="-3"/>
        </w:rPr>
        <w:t> </w:t>
      </w:r>
      <w:r>
        <w:rPr/>
        <w:t>FDA.</w:t>
      </w:r>
    </w:p>
    <w:p>
      <w:pPr>
        <w:spacing w:line="229" w:lineRule="exact" w:before="0"/>
        <w:ind w:left="1007" w:right="0" w:firstLine="0"/>
        <w:jc w:val="left"/>
        <w:rPr>
          <w:b/>
          <w:sz w:val="19"/>
        </w:rPr>
      </w:pPr>
      <w:r>
        <w:rPr>
          <w:sz w:val="20"/>
        </w:rPr>
        <w:t>LidaMantle HC (lidocaine/hydrocortisone) </w:t>
      </w:r>
      <w:r>
        <w:rPr>
          <w:b/>
          <w:color w:val="000080"/>
          <w:sz w:val="19"/>
        </w:rPr>
        <w:t>– PA</w:t>
      </w:r>
    </w:p>
    <w:p>
      <w:pPr>
        <w:pStyle w:val="ListParagraph"/>
        <w:numPr>
          <w:ilvl w:val="1"/>
          <w:numId w:val="1"/>
        </w:numPr>
        <w:tabs>
          <w:tab w:pos="811" w:val="left" w:leader="none"/>
        </w:tabs>
        <w:spacing w:line="240" w:lineRule="auto" w:before="81" w:after="0"/>
        <w:ind w:left="824" w:right="119" w:hanging="360"/>
        <w:jc w:val="left"/>
        <w:rPr>
          <w:sz w:val="20"/>
        </w:rPr>
      </w:pPr>
      <w:r>
        <w:rPr>
          <w:sz w:val="20"/>
        </w:rPr>
        <w:t>The following drugs have been removed from the MassHealth Drug List because they have been discontinued by the</w:t>
      </w:r>
      <w:r>
        <w:rPr>
          <w:spacing w:val="-7"/>
          <w:sz w:val="20"/>
        </w:rPr>
        <w:t> </w:t>
      </w:r>
      <w:r>
        <w:rPr>
          <w:sz w:val="20"/>
        </w:rPr>
        <w:t>manufacturer.</w:t>
      </w:r>
    </w:p>
    <w:p>
      <w:pPr>
        <w:pStyle w:val="BodyText"/>
        <w:spacing w:before="1"/>
        <w:ind w:left="1007"/>
        <w:rPr>
          <w:b/>
        </w:rPr>
      </w:pPr>
      <w:r>
        <w:rPr/>
        <w:t>Alamast (pemirolast) </w:t>
      </w:r>
      <w:r>
        <w:rPr>
          <w:b/>
        </w:rPr>
        <w:t>– PA</w:t>
      </w:r>
    </w:p>
    <w:p>
      <w:pPr>
        <w:pStyle w:val="BodyText"/>
        <w:ind w:left="1007" w:right="798"/>
        <w:rPr>
          <w:b/>
        </w:rPr>
      </w:pPr>
      <w:r>
        <w:rPr/>
        <w:t>Proquin XR (ciprofloxacin XR) </w:t>
      </w:r>
      <w:r>
        <w:rPr>
          <w:b/>
        </w:rPr>
        <w:t>– PA </w:t>
      </w:r>
      <w:r>
        <w:rPr/>
        <w:t>Sildec (carbinoxamine/pseudoephedrine) Xibrom (bromfenac) </w:t>
      </w:r>
      <w:r>
        <w:rPr>
          <w:b/>
        </w:rPr>
        <w:t>– PA</w:t>
      </w:r>
    </w:p>
    <w:p>
      <w:pPr>
        <w:pStyle w:val="BodyText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</w:pPr>
      <w:r>
        <w:rPr/>
        <w:t>Corrections</w:t>
      </w:r>
    </w:p>
    <w:p>
      <w:pPr>
        <w:pStyle w:val="Heading2"/>
        <w:numPr>
          <w:ilvl w:val="1"/>
          <w:numId w:val="1"/>
        </w:numPr>
        <w:tabs>
          <w:tab w:pos="811" w:val="left" w:leader="none"/>
        </w:tabs>
        <w:spacing w:line="240" w:lineRule="auto" w:before="80" w:after="0"/>
        <w:ind w:left="824" w:right="250" w:hanging="360"/>
        <w:jc w:val="left"/>
      </w:pPr>
      <w:r>
        <w:rPr/>
        <w:t>The following drugs have been added to the MassHealth Drug List. They were omitted in error. These changes do not reflect any</w:t>
      </w:r>
      <w:r>
        <w:rPr>
          <w:spacing w:val="-12"/>
        </w:rPr>
        <w:t> </w:t>
      </w:r>
      <w:r>
        <w:rPr/>
        <w:t>change in MassHealth</w:t>
      </w:r>
      <w:r>
        <w:rPr>
          <w:spacing w:val="-3"/>
        </w:rPr>
        <w:t> </w:t>
      </w:r>
      <w:r>
        <w:rPr/>
        <w:t>policy.</w:t>
      </w:r>
    </w:p>
    <w:p>
      <w:pPr>
        <w:pStyle w:val="BodyText"/>
        <w:spacing w:before="1"/>
        <w:ind w:left="1007"/>
      </w:pPr>
      <w:r>
        <w:rPr/>
        <w:t>Activase (alteplase)</w:t>
      </w:r>
    </w:p>
    <w:p>
      <w:pPr>
        <w:pStyle w:val="BodyText"/>
        <w:ind w:left="1113" w:right="387" w:hanging="106"/>
        <w:rPr>
          <w:b/>
        </w:rPr>
      </w:pPr>
      <w:r>
        <w:rPr/>
        <w:t>AquaDEKS (multivitamins/minerals/coenzyme Q10) </w:t>
      </w:r>
      <w:r>
        <w:rPr>
          <w:b/>
        </w:rPr>
        <w:t>– PA</w:t>
      </w:r>
    </w:p>
    <w:p>
      <w:pPr>
        <w:pStyle w:val="BodyText"/>
        <w:ind w:left="1137" w:right="461" w:hanging="130"/>
        <w:rPr>
          <w:b/>
        </w:rPr>
      </w:pPr>
      <w:r>
        <w:rPr/>
        <w:t>AquaDEKS (multivitamins/minerals/folic acid/ coenzyme Q10) </w:t>
      </w:r>
      <w:r>
        <w:rPr>
          <w:b/>
        </w:rPr>
        <w:t>– PA</w:t>
      </w:r>
    </w:p>
    <w:p>
      <w:pPr>
        <w:pStyle w:val="BodyText"/>
        <w:spacing w:line="217" w:lineRule="exact"/>
        <w:ind w:left="1007"/>
        <w:rPr>
          <w:b/>
        </w:rPr>
      </w:pPr>
      <w:r>
        <w:rPr/>
        <w:t>Gammaplex (immune globulin, IV) </w:t>
      </w:r>
      <w:r>
        <w:rPr>
          <w:b/>
        </w:rPr>
        <w:t>– PA</w:t>
      </w:r>
    </w:p>
    <w:p>
      <w:pPr>
        <w:pStyle w:val="BodyText"/>
        <w:spacing w:before="1"/>
        <w:ind w:left="1007"/>
      </w:pPr>
      <w:r>
        <w:rPr/>
        <w:t>Simulect (basiliximab)</w:t>
      </w:r>
    </w:p>
    <w:p>
      <w:pPr>
        <w:pStyle w:val="Heading2"/>
        <w:numPr>
          <w:ilvl w:val="1"/>
          <w:numId w:val="1"/>
        </w:numPr>
        <w:tabs>
          <w:tab w:pos="811" w:val="left" w:leader="none"/>
        </w:tabs>
        <w:spacing w:line="240" w:lineRule="auto" w:before="78" w:after="0"/>
        <w:ind w:left="824" w:right="238" w:hanging="360"/>
        <w:jc w:val="left"/>
      </w:pPr>
      <w:r>
        <w:rPr/>
        <w:t>The prior-authorization status of the following drugs has been clarified. These changes do not reflect any change in MassHealth</w:t>
      </w:r>
      <w:r>
        <w:rPr>
          <w:spacing w:val="-14"/>
        </w:rPr>
        <w:t> </w:t>
      </w:r>
      <w:r>
        <w:rPr/>
        <w:t>policy.</w:t>
      </w:r>
    </w:p>
    <w:p>
      <w:pPr>
        <w:pStyle w:val="BodyText"/>
        <w:spacing w:line="218" w:lineRule="exact" w:before="2"/>
        <w:ind w:left="1007"/>
      </w:pPr>
      <w:r>
        <w:rPr/>
        <w:t>Bactroban # (mupirocin ointment)</w:t>
      </w:r>
    </w:p>
    <w:p>
      <w:pPr>
        <w:spacing w:before="0"/>
        <w:ind w:left="1007" w:right="91" w:firstLine="0"/>
        <w:jc w:val="left"/>
        <w:rPr>
          <w:sz w:val="19"/>
        </w:rPr>
      </w:pPr>
      <w:r>
        <w:rPr>
          <w:sz w:val="19"/>
        </w:rPr>
        <w:t>EMLA # (lidocaine/prilocaine) </w:t>
      </w:r>
      <w:r>
        <w:rPr>
          <w:b/>
          <w:sz w:val="19"/>
        </w:rPr>
        <w:t>– PA &gt;30 grams/ month and PA &gt; 90 days treatment/180 days </w:t>
      </w:r>
      <w:r>
        <w:rPr>
          <w:sz w:val="19"/>
        </w:rPr>
        <w:t>hydrocortisone/pramoxine cream, lotion, ointment Sandimmune (cyclosporine)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380" w:bottom="280" w:left="900" w:right="920"/>
          <w:cols w:num="2" w:equalWidth="0">
            <w:col w:w="5026" w:space="115"/>
            <w:col w:w="5279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50.279999pt;margin-top:19.376471pt;width:542.4pt;height:107.85pt;mso-position-horizontal-relative:page;mso-position-vertical-relative:page;z-index:-3592" coordorigin="1006,388" coordsize="10848,2157">
            <v:shape style="position:absolute;left:1005;top:387;width:10848;height:2157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64;top:1332;width:1333;height:503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69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January 10, 2012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9"/>
        <w:rPr>
          <w:sz w:val="16"/>
        </w:rPr>
      </w:pPr>
    </w:p>
    <w:p>
      <w:pPr>
        <w:spacing w:before="94"/>
        <w:ind w:left="3834" w:right="528" w:hanging="1715"/>
        <w:jc w:val="left"/>
        <w:rPr>
          <w:i/>
          <w:sz w:val="20"/>
        </w:rPr>
      </w:pPr>
      <w:r>
        <w:rPr>
          <w:i/>
          <w:sz w:val="20"/>
        </w:rPr>
        <w:t>Please direct any questions or comments (or to be taken off this fax distribution) to </w:t>
      </w:r>
      <w:r>
        <w:rPr>
          <w:i/>
          <w:sz w:val="20"/>
        </w:rPr>
        <w:t>Victor Moquin of ACS at 617-423-9830.</w:t>
      </w:r>
    </w:p>
    <w:sectPr>
      <w:type w:val="continuous"/>
      <w:pgSz w:w="12240" w:h="15840"/>
      <w:pgMar w:top="38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8" w:hanging="361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824" w:hanging="347"/>
        <w:jc w:val="left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720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0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6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9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5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" w:hanging="3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468" w:hanging="360"/>
      <w:outlineLvl w:val="1"/>
    </w:pPr>
    <w:rPr>
      <w:rFonts w:ascii="Arial" w:hAnsi="Arial" w:eastAsia="Arial" w:cs="Arial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spacing w:before="80"/>
      <w:ind w:left="824" w:hanging="360"/>
      <w:outlineLvl w:val="2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824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ss.gov/masshealth/pharmacy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psousa</dc:creator>
  <dc:title>Microsoft Word - Pharmacy Facts #69-01-10-12.doc</dc:title>
  <dcterms:created xsi:type="dcterms:W3CDTF">2017-11-20T19:40:54Z</dcterms:created>
  <dcterms:modified xsi:type="dcterms:W3CDTF">2017-11-20T19:40:54Z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2017-11-20T00:00:00Z</vt:filetime>
  </property>
</Properties>
</file>