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1"/>
        <w:rPr>
          <w:rFonts w:ascii="Times New Roman"/>
        </w:rPr>
      </w:pPr>
      <w:r>
        <w:rPr>
          <w:rFonts w:ascii="Times New Roman"/>
        </w:rPr>
        <w:pict>
          <v:group style="width:542.2pt;height:86.25pt;mso-position-horizontal-relative:char;mso-position-vertical-relative:line" coordorigin="0,0" coordsize="10844,1725">
            <v:shape style="position:absolute;left:44;top:805;width:542;height:843" type="#_x0000_t75" stroked="false">
              <v:imagedata r:id="rId5" o:title=""/>
            </v:shape>
            <v:line style="position:absolute" from="10,1708" to="617,1708" stroked="true" strokeweight=".3pt" strokecolor="#231f20">
              <v:stroke dashstyle="solid"/>
            </v:line>
            <v:line style="position:absolute" from="10,1703" to="622,1703" stroked="true" strokeweight=".2pt" strokecolor="#231f20">
              <v:stroke dashstyle="solid"/>
            </v:line>
            <v:shape style="position:absolute;left:10126;top:577;width:717;height:377" coordorigin="10127,577" coordsize="717,377" path="m10558,730l10127,730,10166,779,10205,828,10232,884,10232,954,10297,911,10410,818,10463,784,10650,784,10624,780,10600,769,10577,752,10558,730xm10758,577l10760,615,10776,636,10792,657,10800,698,10785,726,10747,754,10698,775,10650,784,10463,784,10471,791,10479,796,10484,806,10486,827,10482,854,10472,884,10464,913,10462,940,10523,902,10594,874,10670,854,10749,838,10827,824,10830,803,10836,787,10841,770,10843,748,10838,714,10822,668,10796,619,10758,577xe" filled="true" fillcolor="#231f20" stroked="false">
              <v:path arrowok="t"/>
              <v:fill type="solid"/>
            </v:shape>
            <v:line style="position:absolute" from="10,525" to="10378,525" stroked="true" strokeweight=".99902pt" strokecolor="#231f20">
              <v:stroke dashstyle="solid"/>
            </v:line>
            <v:line style="position:absolute" from="15,751" to="15,1701" stroked="true" strokeweight=".49499pt" strokecolor="#231f20">
              <v:stroke dashstyle="solid"/>
            </v:line>
            <v:line style="position:absolute" from="10,749" to="622,749" stroked="true" strokeweight=".2pt" strokecolor="#231f20">
              <v:stroke dashstyle="solid"/>
            </v:line>
            <v:line style="position:absolute" from="10,744" to="617,744" stroked="true" strokeweight=".3pt" strokecolor="#231f20">
              <v:stroke dashstyle="solid"/>
            </v:line>
            <v:line style="position:absolute" from="617,1708" to="622,1708" stroked="true" strokeweight=".25201pt" strokecolor="#231f20">
              <v:stroke dashstyle="solid"/>
            </v:line>
            <v:line style="position:absolute" from="617,752" to="617,1701" stroked="true" strokeweight=".504pt" strokecolor="#231f20">
              <v:stroke dashstyle="solid"/>
            </v:line>
            <v:line style="position:absolute" from="617,744" to="622,744" stroked="true" strokeweight=".24298pt" strokecolor="#231f20">
              <v:stroke dashstyle="solid"/>
            </v:line>
            <v:shape style="position:absolute;left:8893;top:0;width:1866;height:677" type="#_x0000_t75" stroked="false">
              <v:imagedata r:id="rId6" o:title=""/>
            </v:shape>
            <v:shapetype id="_x0000_t202" o:spt="202" coordsize="21600,21600" path="m,l,21600r21600,l21600,xe">
              <v:stroke joinstyle="miter"/>
              <v:path gradientshapeok="t" o:connecttype="rect"/>
            </v:shapetype>
            <v:shape style="position:absolute;left:2;top:168;width:6802;height:276" type="#_x0000_t202" filled="false" stroked="false">
              <v:textbox inset="0,0,0,0">
                <w:txbxContent>
                  <w:p>
                    <w:pPr>
                      <w:spacing w:line="275" w:lineRule="exact" w:before="0"/>
                      <w:ind w:left="0" w:right="0" w:firstLine="0"/>
                      <w:jc w:val="left"/>
                      <w:rPr>
                        <w:rFonts w:ascii="Arial Narrow"/>
                        <w:i/>
                        <w:sz w:val="24"/>
                      </w:rPr>
                    </w:pPr>
                    <w:r>
                      <w:rPr>
                        <w:rFonts w:ascii="Arial Narrow"/>
                        <w:i/>
                        <w:color w:val="231F20"/>
                        <w:sz w:val="24"/>
                      </w:rPr>
                      <w:t>Current information for pharmacists about the MassHealth Pharmacy program</w:t>
                    </w:r>
                  </w:p>
                </w:txbxContent>
              </v:textbox>
              <w10:wrap type="none"/>
            </v:shape>
            <v:shape style="position:absolute;left:732;top:894;width:1406;height:590" type="#_x0000_t202" filled="false" stroked="false">
              <v:textbox inset="0,0,0,0">
                <w:txbxContent>
                  <w:p>
                    <w:pPr>
                      <w:spacing w:line="229" w:lineRule="exact" w:before="0"/>
                      <w:ind w:left="0" w:right="0" w:firstLine="0"/>
                      <w:jc w:val="left"/>
                      <w:rPr>
                        <w:rFonts w:ascii="Arial Narrow"/>
                        <w:b/>
                        <w:sz w:val="20"/>
                      </w:rPr>
                    </w:pPr>
                    <w:r>
                      <w:rPr>
                        <w:rFonts w:ascii="Arial Narrow"/>
                        <w:b/>
                        <w:color w:val="231F20"/>
                        <w:sz w:val="20"/>
                      </w:rPr>
                      <w:t>Number 7</w:t>
                    </w:r>
                  </w:p>
                  <w:p>
                    <w:pPr>
                      <w:spacing w:before="130"/>
                      <w:ind w:left="0" w:right="0" w:firstLine="0"/>
                      <w:jc w:val="left"/>
                      <w:rPr>
                        <w:rFonts w:ascii="Arial Narrow"/>
                        <w:b/>
                        <w:sz w:val="20"/>
                      </w:rPr>
                    </w:pPr>
                    <w:r>
                      <w:rPr>
                        <w:rFonts w:ascii="Arial Narrow"/>
                        <w:b/>
                        <w:color w:val="231F20"/>
                        <w:sz w:val="20"/>
                      </w:rPr>
                      <w:t>February 24, 2005</w:t>
                    </w:r>
                  </w:p>
                </w:txbxContent>
              </v:textbox>
              <w10:wrap type="none"/>
            </v:shape>
            <v:shape style="position:absolute;left:3072;top:593;width:4264;height:1131" type="#_x0000_t202" filled="false" stroked="false">
              <v:textbox inset="0,0,0,0">
                <w:txbxContent>
                  <w:p>
                    <w:pPr>
                      <w:spacing w:before="0"/>
                      <w:ind w:left="0" w:right="0" w:firstLine="0"/>
                      <w:jc w:val="left"/>
                      <w:rPr>
                        <w:rFonts w:ascii="Arial Black"/>
                        <w:b/>
                        <w:sz w:val="48"/>
                      </w:rPr>
                    </w:pPr>
                    <w:r>
                      <w:rPr>
                        <w:rFonts w:ascii="Arial Black"/>
                        <w:b/>
                        <w:color w:val="231F20"/>
                        <w:sz w:val="48"/>
                      </w:rPr>
                      <w:t>Pharmacy Facts</w:t>
                    </w:r>
                  </w:p>
                  <w:p>
                    <w:pPr>
                      <w:spacing w:before="115"/>
                      <w:ind w:left="51" w:right="0" w:firstLine="0"/>
                      <w:jc w:val="left"/>
                      <w:rPr>
                        <w:rFonts w:ascii="Arial Black"/>
                        <w:b/>
                        <w:sz w:val="24"/>
                      </w:rPr>
                    </w:pPr>
                    <w:r>
                      <w:rPr>
                        <w:rFonts w:ascii="Arial Black"/>
                        <w:b/>
                        <w:color w:val="231F20"/>
                        <w:sz w:val="24"/>
                      </w:rPr>
                      <w:t>MassHealth Pharmacy Program</w:t>
                    </w:r>
                  </w:p>
                </w:txbxContent>
              </v:textbox>
              <w10:wrap type="none"/>
            </v:shape>
          </v:group>
        </w:pict>
      </w:r>
      <w:r>
        <w:rPr>
          <w:rFonts w:ascii="Times New Roman"/>
        </w:rPr>
      </w:r>
    </w:p>
    <w:p>
      <w:pPr>
        <w:pStyle w:val="BodyText"/>
        <w:spacing w:before="4"/>
        <w:ind w:left="0"/>
        <w:rPr>
          <w:rFonts w:ascii="Times New Roman"/>
          <w:sz w:val="11"/>
        </w:rPr>
      </w:pPr>
      <w:r>
        <w:rPr/>
        <w:pict>
          <v:line style="position:absolute;mso-position-horizontal-relative:page;mso-position-vertical-relative:paragraph;z-index:1120;mso-wrap-distance-left:0;mso-wrap-distance-right:0" from="47.070011pt,8.985530pt" to="565.469971pt,8.985530pt" stroked="true" strokeweight=".99902pt" strokecolor="#231f20">
            <v:stroke dashstyle="solid"/>
            <w10:wrap type="topAndBottom"/>
          </v:line>
        </w:pict>
      </w:r>
    </w:p>
    <w:p>
      <w:pPr>
        <w:tabs>
          <w:tab w:pos="4282" w:val="left" w:leader="none"/>
        </w:tabs>
        <w:spacing w:before="6" w:after="64"/>
        <w:ind w:left="2912" w:right="0" w:firstLine="0"/>
        <w:jc w:val="left"/>
        <w:rPr>
          <w:rFonts w:ascii="Arial Narrow"/>
          <w:sz w:val="18"/>
        </w:rPr>
      </w:pPr>
      <w:r>
        <w:rPr>
          <w:rFonts w:ascii="Arial Narrow"/>
          <w:color w:val="231F20"/>
          <w:sz w:val="18"/>
        </w:rPr>
        <w:t>Editor:</w:t>
      </w:r>
      <w:r>
        <w:rPr>
          <w:rFonts w:ascii="Arial Narrow"/>
          <w:color w:val="231F20"/>
          <w:spacing w:val="-1"/>
          <w:sz w:val="18"/>
        </w:rPr>
        <w:t> </w:t>
      </w:r>
      <w:r>
        <w:rPr>
          <w:rFonts w:ascii="Arial Narrow"/>
          <w:color w:val="231F20"/>
          <w:sz w:val="18"/>
        </w:rPr>
        <w:t>Vic</w:t>
      </w:r>
      <w:r>
        <w:rPr>
          <w:rFonts w:ascii="Arial Narrow"/>
          <w:color w:val="231F20"/>
          <w:spacing w:val="-2"/>
          <w:sz w:val="18"/>
        </w:rPr>
        <w:t> </w:t>
      </w:r>
      <w:r>
        <w:rPr>
          <w:rFonts w:ascii="Arial Narrow"/>
          <w:color w:val="231F20"/>
          <w:spacing w:val="-3"/>
          <w:sz w:val="18"/>
        </w:rPr>
        <w:t>Vangel</w:t>
        <w:tab/>
      </w:r>
      <w:r>
        <w:rPr>
          <w:rFonts w:ascii="Arial Narrow"/>
          <w:color w:val="231F20"/>
          <w:sz w:val="18"/>
        </w:rPr>
        <w:t>Contributors: Chris Burke, Gary Gilmore, Paul</w:t>
      </w:r>
      <w:r>
        <w:rPr>
          <w:rFonts w:ascii="Arial Narrow"/>
          <w:color w:val="231F20"/>
          <w:spacing w:val="-21"/>
          <w:sz w:val="18"/>
        </w:rPr>
        <w:t> </w:t>
      </w:r>
      <w:r>
        <w:rPr>
          <w:rFonts w:ascii="Arial Narrow"/>
          <w:color w:val="231F20"/>
          <w:sz w:val="18"/>
        </w:rPr>
        <w:t>Jeffrey</w:t>
      </w:r>
    </w:p>
    <w:p>
      <w:pPr>
        <w:pStyle w:val="BodyText"/>
        <w:spacing w:line="20" w:lineRule="exact"/>
        <w:ind w:left="111"/>
        <w:rPr>
          <w:rFonts w:ascii="Arial Narrow"/>
          <w:sz w:val="2"/>
        </w:rPr>
      </w:pPr>
      <w:r>
        <w:rPr>
          <w:rFonts w:ascii="Arial Narrow"/>
          <w:sz w:val="2"/>
        </w:rPr>
        <w:pict>
          <v:group style="width:519.4pt;height:1pt;mso-position-horizontal-relative:char;mso-position-vertical-relative:line" coordorigin="0,0" coordsize="10388,20">
            <v:line style="position:absolute" from="10,10" to="10378,10" stroked="true" strokeweight=".99897pt" strokecolor="#231f20">
              <v:stroke dashstyle="solid"/>
            </v:line>
          </v:group>
        </w:pict>
      </w:r>
      <w:r>
        <w:rPr>
          <w:rFonts w:ascii="Arial Narrow"/>
          <w:sz w:val="2"/>
        </w:rPr>
      </w:r>
    </w:p>
    <w:p>
      <w:pPr>
        <w:pStyle w:val="BodyText"/>
        <w:spacing w:before="1"/>
        <w:ind w:left="0"/>
        <w:rPr>
          <w:rFonts w:ascii="Arial Narrow"/>
          <w:sz w:val="6"/>
        </w:rPr>
      </w:pPr>
    </w:p>
    <w:p>
      <w:pPr>
        <w:spacing w:after="0"/>
        <w:rPr>
          <w:rFonts w:ascii="Arial Narrow"/>
          <w:sz w:val="6"/>
        </w:rPr>
        <w:sectPr>
          <w:type w:val="continuous"/>
          <w:pgSz w:w="12240" w:h="15840"/>
          <w:pgMar w:top="420" w:bottom="280" w:left="820" w:right="360"/>
        </w:sectPr>
      </w:pPr>
    </w:p>
    <w:p>
      <w:pPr>
        <w:pStyle w:val="Heading1"/>
        <w:spacing w:line="204" w:lineRule="auto" w:before="124"/>
        <w:ind w:right="493"/>
        <w:rPr>
          <w:b/>
        </w:rPr>
      </w:pPr>
      <w:r>
        <w:rPr>
          <w:b/>
          <w:color w:val="231F20"/>
        </w:rPr>
        <w:t>Members with Limited Coverage and Other Emergency Situations</w:t>
      </w:r>
    </w:p>
    <w:p>
      <w:pPr>
        <w:pStyle w:val="BodyText"/>
        <w:spacing w:line="304" w:lineRule="auto" w:before="130"/>
        <w:ind w:right="84"/>
      </w:pPr>
      <w:r>
        <w:rPr>
          <w:color w:val="231F20"/>
          <w:w w:val="105"/>
        </w:rPr>
        <w:t>In the past we have reminded pharmacists that when, in their opinion, an emergency exists they should call the UMass DUR unit during business hours. If the situation occurs after normal business hours the pharmacist may enter a </w:t>
      </w:r>
      <w:r>
        <w:rPr>
          <w:b/>
          <w:color w:val="231F20"/>
          <w:w w:val="105"/>
        </w:rPr>
        <w:t>“3”  </w:t>
      </w:r>
      <w:r>
        <w:rPr>
          <w:color w:val="231F20"/>
          <w:w w:val="105"/>
        </w:rPr>
        <w:t>n the Level of Service Field and dispense an emergency supply of medication. The pharmacist is required to follow these procedures when a member with MassHealth Limited coverage is attempting to get a prescription</w:t>
      </w:r>
    </w:p>
    <w:p>
      <w:pPr>
        <w:pStyle w:val="BodyText"/>
        <w:spacing w:line="304" w:lineRule="auto" w:before="2"/>
        <w:ind w:right="4"/>
      </w:pPr>
      <w:r>
        <w:rPr>
          <w:color w:val="231F20"/>
          <w:w w:val="105"/>
        </w:rPr>
        <w:t>filled.</w:t>
      </w:r>
      <w:r>
        <w:rPr>
          <w:color w:val="231F20"/>
          <w:spacing w:val="-15"/>
          <w:w w:val="105"/>
        </w:rPr>
        <w:t> </w:t>
      </w:r>
      <w:r>
        <w:rPr>
          <w:color w:val="231F20"/>
          <w:w w:val="105"/>
        </w:rPr>
        <w:t>The</w:t>
      </w:r>
      <w:r>
        <w:rPr>
          <w:color w:val="231F20"/>
          <w:spacing w:val="-11"/>
          <w:w w:val="105"/>
        </w:rPr>
        <w:t> </w:t>
      </w:r>
      <w:r>
        <w:rPr>
          <w:color w:val="231F20"/>
          <w:w w:val="105"/>
        </w:rPr>
        <w:t>pharmacist</w:t>
      </w:r>
      <w:r>
        <w:rPr>
          <w:color w:val="231F20"/>
          <w:spacing w:val="-11"/>
          <w:w w:val="105"/>
        </w:rPr>
        <w:t> </w:t>
      </w:r>
      <w:r>
        <w:rPr>
          <w:color w:val="231F20"/>
          <w:w w:val="105"/>
        </w:rPr>
        <w:t>will</w:t>
      </w:r>
      <w:r>
        <w:rPr>
          <w:color w:val="231F20"/>
          <w:spacing w:val="-11"/>
          <w:w w:val="105"/>
        </w:rPr>
        <w:t> </w:t>
      </w:r>
      <w:r>
        <w:rPr>
          <w:color w:val="231F20"/>
          <w:w w:val="105"/>
        </w:rPr>
        <w:t>receive</w:t>
      </w:r>
      <w:r>
        <w:rPr>
          <w:color w:val="231F20"/>
          <w:spacing w:val="-11"/>
          <w:w w:val="105"/>
        </w:rPr>
        <w:t> </w:t>
      </w:r>
      <w:r>
        <w:rPr>
          <w:color w:val="231F20"/>
          <w:w w:val="105"/>
        </w:rPr>
        <w:t>this</w:t>
      </w:r>
      <w:r>
        <w:rPr>
          <w:color w:val="231F20"/>
          <w:spacing w:val="-11"/>
          <w:w w:val="105"/>
        </w:rPr>
        <w:t> </w:t>
      </w:r>
      <w:r>
        <w:rPr>
          <w:color w:val="231F20"/>
          <w:w w:val="105"/>
        </w:rPr>
        <w:t>message</w:t>
      </w:r>
      <w:r>
        <w:rPr>
          <w:color w:val="231F20"/>
          <w:spacing w:val="-11"/>
          <w:w w:val="105"/>
        </w:rPr>
        <w:t> </w:t>
      </w:r>
      <w:r>
        <w:rPr>
          <w:color w:val="231F20"/>
          <w:w w:val="105"/>
        </w:rPr>
        <w:t>when filling</w:t>
      </w:r>
      <w:r>
        <w:rPr>
          <w:color w:val="231F20"/>
          <w:spacing w:val="-10"/>
          <w:w w:val="105"/>
        </w:rPr>
        <w:t> </w:t>
      </w:r>
      <w:r>
        <w:rPr>
          <w:color w:val="231F20"/>
          <w:w w:val="105"/>
        </w:rPr>
        <w:t>a</w:t>
      </w:r>
      <w:r>
        <w:rPr>
          <w:color w:val="231F20"/>
          <w:spacing w:val="-10"/>
          <w:w w:val="105"/>
        </w:rPr>
        <w:t> </w:t>
      </w:r>
      <w:r>
        <w:rPr>
          <w:color w:val="231F20"/>
          <w:w w:val="105"/>
        </w:rPr>
        <w:t>medication</w:t>
      </w:r>
      <w:r>
        <w:rPr>
          <w:color w:val="231F20"/>
          <w:spacing w:val="-10"/>
          <w:w w:val="105"/>
        </w:rPr>
        <w:t> </w:t>
      </w:r>
      <w:r>
        <w:rPr>
          <w:color w:val="231F20"/>
          <w:w w:val="105"/>
        </w:rPr>
        <w:t>for</w:t>
      </w:r>
      <w:r>
        <w:rPr>
          <w:color w:val="231F20"/>
          <w:spacing w:val="-10"/>
          <w:w w:val="105"/>
        </w:rPr>
        <w:t> </w:t>
      </w:r>
      <w:r>
        <w:rPr>
          <w:color w:val="231F20"/>
          <w:w w:val="105"/>
        </w:rPr>
        <w:t>these</w:t>
      </w:r>
      <w:r>
        <w:rPr>
          <w:color w:val="231F20"/>
          <w:spacing w:val="-10"/>
          <w:w w:val="105"/>
        </w:rPr>
        <w:t> </w:t>
      </w:r>
      <w:r>
        <w:rPr>
          <w:color w:val="231F20"/>
          <w:w w:val="105"/>
        </w:rPr>
        <w:t>members:</w:t>
      </w:r>
    </w:p>
    <w:p>
      <w:pPr>
        <w:pStyle w:val="BodyText"/>
        <w:spacing w:before="3"/>
        <w:ind w:left="0"/>
        <w:rPr>
          <w:sz w:val="27"/>
        </w:rPr>
      </w:pPr>
    </w:p>
    <w:p>
      <w:pPr>
        <w:pStyle w:val="Heading1"/>
        <w:spacing w:line="247" w:lineRule="auto"/>
        <w:ind w:left="385" w:right="4" w:firstLine="140"/>
        <w:rPr>
          <w:b/>
        </w:rPr>
      </w:pPr>
      <w:r>
        <w:rPr>
          <w:b/>
          <w:color w:val="231F20"/>
        </w:rPr>
        <w:t>ATIENT HAS DRUG COVERAGE FOR ANTIBIOTICS AND EMERGENCY MEDS ONLY. PLEASE CALL DUR (BUSINESS HRS) IF RPH DETERMINES AN EMERGENCY EXISTS, OR USE LEVEL OF SERV CD 3 (AFTER HRS)</w:t>
      </w:r>
    </w:p>
    <w:p>
      <w:pPr>
        <w:pStyle w:val="BodyText"/>
        <w:ind w:left="0"/>
        <w:rPr>
          <w:rFonts w:ascii="Arial Black"/>
          <w:b/>
          <w:sz w:val="21"/>
        </w:rPr>
      </w:pPr>
    </w:p>
    <w:p>
      <w:pPr>
        <w:pStyle w:val="BodyText"/>
        <w:spacing w:line="304" w:lineRule="auto"/>
        <w:ind w:right="259"/>
      </w:pPr>
      <w:r>
        <w:rPr>
          <w:color w:val="231F20"/>
          <w:w w:val="105"/>
        </w:rPr>
        <w:t>An emergency medical condition is defined at 130 CMR 450.105(G) and 42 U.S.C. 1396b(v) as a</w:t>
      </w:r>
    </w:p>
    <w:p>
      <w:pPr>
        <w:pStyle w:val="BodyText"/>
        <w:spacing w:line="304" w:lineRule="auto" w:before="1"/>
      </w:pPr>
      <w:r>
        <w:rPr>
          <w:color w:val="231F20"/>
          <w:w w:val="105"/>
        </w:rPr>
        <w:t>medical condition with acute symptoms (including severe</w:t>
      </w:r>
      <w:r>
        <w:rPr>
          <w:color w:val="231F20"/>
          <w:spacing w:val="-11"/>
          <w:w w:val="105"/>
        </w:rPr>
        <w:t> </w:t>
      </w:r>
      <w:r>
        <w:rPr>
          <w:color w:val="231F20"/>
          <w:w w:val="105"/>
        </w:rPr>
        <w:t>pain)</w:t>
      </w:r>
      <w:r>
        <w:rPr>
          <w:color w:val="231F20"/>
          <w:spacing w:val="-11"/>
          <w:w w:val="105"/>
        </w:rPr>
        <w:t> </w:t>
      </w:r>
      <w:r>
        <w:rPr>
          <w:color w:val="231F20"/>
          <w:w w:val="105"/>
        </w:rPr>
        <w:t>such</w:t>
      </w:r>
      <w:r>
        <w:rPr>
          <w:color w:val="231F20"/>
          <w:spacing w:val="-11"/>
          <w:w w:val="105"/>
        </w:rPr>
        <w:t> </w:t>
      </w:r>
      <w:r>
        <w:rPr>
          <w:color w:val="231F20"/>
          <w:w w:val="105"/>
        </w:rPr>
        <w:t>that</w:t>
      </w:r>
      <w:r>
        <w:rPr>
          <w:color w:val="231F20"/>
          <w:spacing w:val="-11"/>
          <w:w w:val="105"/>
        </w:rPr>
        <w:t> </w:t>
      </w:r>
      <w:r>
        <w:rPr>
          <w:color w:val="231F20"/>
          <w:w w:val="105"/>
        </w:rPr>
        <w:t>absence</w:t>
      </w:r>
      <w:r>
        <w:rPr>
          <w:color w:val="231F20"/>
          <w:spacing w:val="-11"/>
          <w:w w:val="105"/>
        </w:rPr>
        <w:t> </w:t>
      </w:r>
      <w:r>
        <w:rPr>
          <w:color w:val="231F20"/>
          <w:w w:val="105"/>
        </w:rPr>
        <w:t>of</w:t>
      </w:r>
      <w:r>
        <w:rPr>
          <w:color w:val="231F20"/>
          <w:spacing w:val="-11"/>
          <w:w w:val="105"/>
        </w:rPr>
        <w:t> </w:t>
      </w:r>
      <w:r>
        <w:rPr>
          <w:color w:val="231F20"/>
          <w:w w:val="105"/>
        </w:rPr>
        <w:t>immediate</w:t>
      </w:r>
      <w:r>
        <w:rPr>
          <w:color w:val="231F20"/>
          <w:spacing w:val="-11"/>
          <w:w w:val="105"/>
        </w:rPr>
        <w:t> </w:t>
      </w:r>
      <w:r>
        <w:rPr>
          <w:color w:val="231F20"/>
          <w:w w:val="105"/>
        </w:rPr>
        <w:t>medical attention can reasonably be expected to result in serious jeopardy to</w:t>
      </w:r>
      <w:r>
        <w:rPr>
          <w:color w:val="231F20"/>
          <w:spacing w:val="-39"/>
          <w:w w:val="105"/>
        </w:rPr>
        <w:t> </w:t>
      </w:r>
      <w:r>
        <w:rPr>
          <w:color w:val="231F20"/>
          <w:w w:val="105"/>
        </w:rPr>
        <w:t>health.</w:t>
      </w:r>
    </w:p>
    <w:p>
      <w:pPr>
        <w:pStyle w:val="BodyText"/>
        <w:spacing w:before="5"/>
        <w:ind w:left="0"/>
        <w:rPr>
          <w:sz w:val="26"/>
        </w:rPr>
      </w:pPr>
    </w:p>
    <w:p>
      <w:pPr>
        <w:pStyle w:val="Heading1"/>
        <w:spacing w:line="204" w:lineRule="auto"/>
        <w:ind w:right="493"/>
        <w:rPr>
          <w:b/>
        </w:rPr>
      </w:pPr>
      <w:r>
        <w:rPr>
          <w:b/>
          <w:color w:val="231F20"/>
        </w:rPr>
        <w:t>MassHealth Drug List – Topical Antifungal Drugs</w:t>
      </w:r>
    </w:p>
    <w:p>
      <w:pPr>
        <w:pStyle w:val="BodyText"/>
        <w:spacing w:line="304" w:lineRule="auto" w:before="130"/>
        <w:ind w:right="119"/>
      </w:pPr>
      <w:r>
        <w:rPr>
          <w:color w:val="231F20"/>
          <w:w w:val="105"/>
        </w:rPr>
        <w:t>MassHealth will have new prior authorization (PA) requirements for certain topical anti-fungal drugs effective March 1, 2005. Generic topical antifungals will not require PA.</w:t>
      </w:r>
    </w:p>
    <w:p>
      <w:pPr>
        <w:pStyle w:val="Heading1"/>
        <w:spacing w:line="201" w:lineRule="auto" w:before="127"/>
        <w:ind w:right="539"/>
        <w:rPr>
          <w:b/>
        </w:rPr>
      </w:pPr>
      <w:r>
        <w:rPr>
          <w:b w:val="0"/>
        </w:rPr>
        <w:br w:type="column"/>
      </w:r>
      <w:r>
        <w:rPr>
          <w:b/>
          <w:color w:val="231F20"/>
        </w:rPr>
        <w:t>Effective March 1, 2005, PA will be required for:</w:t>
      </w:r>
    </w:p>
    <w:p>
      <w:pPr>
        <w:pStyle w:val="BodyText"/>
        <w:spacing w:line="295" w:lineRule="auto" w:before="100"/>
        <w:ind w:right="2384"/>
        <w:rPr>
          <w:b/>
        </w:rPr>
      </w:pPr>
      <w:r>
        <w:rPr/>
        <w:pict>
          <v:group style="position:absolute;margin-left:303.767517pt;margin-top:-32.865234pt;width:1pt;height:583.1pt;mso-position-horizontal-relative:page;mso-position-vertical-relative:paragraph;z-index:1192" coordorigin="6075,-657" coordsize="20,11662">
            <v:line style="position:absolute" from="6085,-647" to="6085,-513" stroked="true" strokeweight=".99899pt" strokecolor="#231f20">
              <v:stroke dashstyle="solid"/>
            </v:line>
            <v:line style="position:absolute" from="6085,-513" to="6085,10994" stroked="true" strokeweight=".99899pt" strokecolor="#231f20">
              <v:stroke dashstyle="solid"/>
            </v:line>
            <w10:wrap type="none"/>
          </v:group>
        </w:pict>
      </w:r>
      <w:r>
        <w:rPr>
          <w:color w:val="231F20"/>
          <w:w w:val="105"/>
        </w:rPr>
        <w:t>Ertaczo (sertaconazole) – </w:t>
      </w:r>
      <w:r>
        <w:rPr>
          <w:b/>
          <w:color w:val="231F20"/>
          <w:w w:val="105"/>
        </w:rPr>
        <w:t>PA </w:t>
      </w:r>
      <w:r>
        <w:rPr>
          <w:color w:val="231F20"/>
          <w:w w:val="105"/>
        </w:rPr>
        <w:t>Exelderm (sulconazole) – </w:t>
      </w:r>
      <w:r>
        <w:rPr>
          <w:b/>
          <w:color w:val="231F20"/>
          <w:w w:val="105"/>
        </w:rPr>
        <w:t>PA </w:t>
      </w:r>
      <w:r>
        <w:rPr>
          <w:color w:val="231F20"/>
          <w:w w:val="105"/>
        </w:rPr>
        <w:t>Fungizone (amphotericin B) – </w:t>
      </w:r>
      <w:r>
        <w:rPr>
          <w:b/>
          <w:color w:val="231F20"/>
          <w:w w:val="105"/>
        </w:rPr>
        <w:t>PA</w:t>
      </w:r>
    </w:p>
    <w:p>
      <w:pPr>
        <w:pStyle w:val="BodyText"/>
        <w:spacing w:line="295" w:lineRule="auto" w:before="2"/>
        <w:ind w:right="539"/>
        <w:rPr>
          <w:b/>
        </w:rPr>
      </w:pPr>
      <w:r>
        <w:rPr>
          <w:color w:val="231F20"/>
          <w:w w:val="105"/>
        </w:rPr>
        <w:t>Loprox (ciclopirox) cream, gel, lotion, shampoo, solution – </w:t>
      </w:r>
      <w:r>
        <w:rPr>
          <w:b/>
          <w:color w:val="231F20"/>
          <w:w w:val="105"/>
        </w:rPr>
        <w:t>PA</w:t>
      </w:r>
    </w:p>
    <w:p>
      <w:pPr>
        <w:pStyle w:val="BodyText"/>
        <w:spacing w:line="295" w:lineRule="auto" w:before="2"/>
        <w:ind w:right="2327"/>
        <w:rPr>
          <w:b/>
        </w:rPr>
      </w:pPr>
      <w:r>
        <w:rPr>
          <w:color w:val="231F20"/>
          <w:w w:val="105"/>
        </w:rPr>
        <w:t>Mentax (butenafine) – </w:t>
      </w:r>
      <w:r>
        <w:rPr>
          <w:b/>
          <w:color w:val="231F20"/>
          <w:w w:val="105"/>
        </w:rPr>
        <w:t>PA </w:t>
      </w:r>
      <w:r>
        <w:rPr>
          <w:color w:val="231F20"/>
          <w:w w:val="105"/>
        </w:rPr>
        <w:t>Monistat-Derm (miconazole) – </w:t>
      </w:r>
      <w:r>
        <w:rPr>
          <w:b/>
          <w:color w:val="231F20"/>
          <w:w w:val="105"/>
        </w:rPr>
        <w:t>PA </w:t>
      </w:r>
      <w:r>
        <w:rPr>
          <w:color w:val="231F20"/>
          <w:w w:val="105"/>
        </w:rPr>
        <w:t>Naftin (naftifine) – </w:t>
      </w:r>
      <w:r>
        <w:rPr>
          <w:b/>
          <w:color w:val="231F20"/>
          <w:w w:val="105"/>
        </w:rPr>
        <w:t>PA</w:t>
      </w:r>
    </w:p>
    <w:p>
      <w:pPr>
        <w:pStyle w:val="BodyText"/>
        <w:spacing w:before="2"/>
        <w:rPr>
          <w:b/>
        </w:rPr>
      </w:pPr>
      <w:r>
        <w:rPr>
          <w:color w:val="231F20"/>
          <w:w w:val="105"/>
        </w:rPr>
        <w:t>Oxistat (oxiconazole) – </w:t>
      </w:r>
      <w:r>
        <w:rPr>
          <w:b/>
          <w:color w:val="231F20"/>
          <w:w w:val="105"/>
        </w:rPr>
        <w:t>PA</w:t>
      </w:r>
    </w:p>
    <w:p>
      <w:pPr>
        <w:pStyle w:val="BodyText"/>
        <w:spacing w:line="295" w:lineRule="auto" w:before="53"/>
        <w:ind w:right="539"/>
      </w:pPr>
      <w:r>
        <w:rPr>
          <w:color w:val="231F20"/>
          <w:w w:val="105"/>
        </w:rPr>
        <w:t>Please remember that the MHDL and its updates can be found at: </w:t>
      </w:r>
      <w:hyperlink r:id="rId7">
        <w:r>
          <w:rPr>
            <w:color w:val="231F20"/>
            <w:w w:val="105"/>
          </w:rPr>
          <w:t>www.mass.gov/druglist.</w:t>
        </w:r>
      </w:hyperlink>
    </w:p>
    <w:p>
      <w:pPr>
        <w:pStyle w:val="BodyText"/>
        <w:ind w:left="0"/>
        <w:rPr>
          <w:sz w:val="21"/>
        </w:rPr>
      </w:pPr>
    </w:p>
    <w:p>
      <w:pPr>
        <w:pStyle w:val="Heading1"/>
        <w:rPr>
          <w:b/>
        </w:rPr>
      </w:pPr>
      <w:r>
        <w:rPr>
          <w:b/>
          <w:color w:val="231F20"/>
        </w:rPr>
        <w:t>Claims Pricing</w:t>
      </w:r>
    </w:p>
    <w:p>
      <w:pPr>
        <w:pStyle w:val="BodyText"/>
        <w:spacing w:line="295" w:lineRule="auto" w:before="100"/>
        <w:ind w:right="641"/>
      </w:pPr>
      <w:r>
        <w:rPr>
          <w:color w:val="231F20"/>
          <w:w w:val="105"/>
        </w:rPr>
        <w:t>MassHealth has identified that FDB provided pricing fields for Pfizer products that may have resulted in some providers being underpaid. MassHealth plans to identify and reverse these claims and reprice them with the correct price information. The problem affected some claims with a date of service between 1/1/05 and 1/31/05. MassHealth will reprocess such</w:t>
      </w:r>
    </w:p>
    <w:p>
      <w:pPr>
        <w:pStyle w:val="BodyText"/>
        <w:spacing w:line="295" w:lineRule="auto" w:before="2"/>
        <w:ind w:right="603"/>
        <w:jc w:val="both"/>
      </w:pPr>
      <w:r>
        <w:rPr>
          <w:color w:val="231F20"/>
          <w:w w:val="105"/>
        </w:rPr>
        <w:t>claims</w:t>
      </w:r>
      <w:r>
        <w:rPr>
          <w:color w:val="231F20"/>
          <w:spacing w:val="-10"/>
          <w:w w:val="105"/>
        </w:rPr>
        <w:t> </w:t>
      </w:r>
      <w:r>
        <w:rPr>
          <w:color w:val="231F20"/>
          <w:w w:val="105"/>
        </w:rPr>
        <w:t>and</w:t>
      </w:r>
      <w:r>
        <w:rPr>
          <w:color w:val="231F20"/>
          <w:spacing w:val="-10"/>
          <w:w w:val="105"/>
        </w:rPr>
        <w:t> </w:t>
      </w:r>
      <w:r>
        <w:rPr>
          <w:color w:val="231F20"/>
          <w:w w:val="105"/>
        </w:rPr>
        <w:t>expects</w:t>
      </w:r>
      <w:r>
        <w:rPr>
          <w:color w:val="231F20"/>
          <w:spacing w:val="-10"/>
          <w:w w:val="105"/>
        </w:rPr>
        <w:t> </w:t>
      </w:r>
      <w:r>
        <w:rPr>
          <w:color w:val="231F20"/>
          <w:w w:val="105"/>
        </w:rPr>
        <w:t>the</w:t>
      </w:r>
      <w:r>
        <w:rPr>
          <w:color w:val="231F20"/>
          <w:spacing w:val="-10"/>
          <w:w w:val="105"/>
        </w:rPr>
        <w:t> </w:t>
      </w:r>
      <w:r>
        <w:rPr>
          <w:color w:val="231F20"/>
          <w:w w:val="105"/>
        </w:rPr>
        <w:t>reprocessing</w:t>
      </w:r>
      <w:r>
        <w:rPr>
          <w:color w:val="231F20"/>
          <w:spacing w:val="-10"/>
          <w:w w:val="105"/>
        </w:rPr>
        <w:t> </w:t>
      </w:r>
      <w:r>
        <w:rPr>
          <w:color w:val="231F20"/>
          <w:w w:val="105"/>
        </w:rPr>
        <w:t>to</w:t>
      </w:r>
      <w:r>
        <w:rPr>
          <w:color w:val="231F20"/>
          <w:spacing w:val="-10"/>
          <w:w w:val="105"/>
        </w:rPr>
        <w:t> </w:t>
      </w:r>
      <w:r>
        <w:rPr>
          <w:color w:val="231F20"/>
          <w:w w:val="105"/>
        </w:rPr>
        <w:t>be</w:t>
      </w:r>
      <w:r>
        <w:rPr>
          <w:color w:val="231F20"/>
          <w:spacing w:val="-10"/>
          <w:w w:val="105"/>
        </w:rPr>
        <w:t> </w:t>
      </w:r>
      <w:r>
        <w:rPr>
          <w:color w:val="231F20"/>
          <w:w w:val="105"/>
        </w:rPr>
        <w:t>completed by</w:t>
      </w:r>
      <w:r>
        <w:rPr>
          <w:color w:val="231F20"/>
          <w:spacing w:val="-9"/>
          <w:w w:val="105"/>
        </w:rPr>
        <w:t> </w:t>
      </w:r>
      <w:r>
        <w:rPr>
          <w:color w:val="231F20"/>
          <w:w w:val="105"/>
        </w:rPr>
        <w:t>3/22/05.</w:t>
      </w:r>
      <w:r>
        <w:rPr>
          <w:color w:val="231F20"/>
          <w:spacing w:val="-12"/>
          <w:w w:val="105"/>
        </w:rPr>
        <w:t> </w:t>
      </w:r>
      <w:r>
        <w:rPr>
          <w:color w:val="231F20"/>
          <w:w w:val="105"/>
        </w:rPr>
        <w:t>The</w:t>
      </w:r>
      <w:r>
        <w:rPr>
          <w:color w:val="231F20"/>
          <w:spacing w:val="-9"/>
          <w:w w:val="105"/>
        </w:rPr>
        <w:t> </w:t>
      </w:r>
      <w:r>
        <w:rPr>
          <w:color w:val="231F20"/>
          <w:w w:val="105"/>
        </w:rPr>
        <w:t>reversal</w:t>
      </w:r>
      <w:r>
        <w:rPr>
          <w:color w:val="231F20"/>
          <w:spacing w:val="-9"/>
          <w:w w:val="105"/>
        </w:rPr>
        <w:t> </w:t>
      </w:r>
      <w:r>
        <w:rPr>
          <w:color w:val="231F20"/>
          <w:w w:val="105"/>
        </w:rPr>
        <w:t>and</w:t>
      </w:r>
      <w:r>
        <w:rPr>
          <w:color w:val="231F20"/>
          <w:spacing w:val="-9"/>
          <w:w w:val="105"/>
        </w:rPr>
        <w:t> </w:t>
      </w:r>
      <w:r>
        <w:rPr>
          <w:color w:val="231F20"/>
          <w:w w:val="105"/>
        </w:rPr>
        <w:t>re-bill</w:t>
      </w:r>
      <w:r>
        <w:rPr>
          <w:color w:val="231F20"/>
          <w:spacing w:val="-9"/>
          <w:w w:val="105"/>
        </w:rPr>
        <w:t> </w:t>
      </w:r>
      <w:r>
        <w:rPr>
          <w:color w:val="231F20"/>
          <w:w w:val="105"/>
        </w:rPr>
        <w:t>will</w:t>
      </w:r>
      <w:r>
        <w:rPr>
          <w:color w:val="231F20"/>
          <w:spacing w:val="-9"/>
          <w:w w:val="105"/>
        </w:rPr>
        <w:t> </w:t>
      </w:r>
      <w:r>
        <w:rPr>
          <w:color w:val="231F20"/>
          <w:w w:val="105"/>
        </w:rPr>
        <w:t>appear</w:t>
      </w:r>
      <w:r>
        <w:rPr>
          <w:color w:val="231F20"/>
          <w:spacing w:val="-9"/>
          <w:w w:val="105"/>
        </w:rPr>
        <w:t> </w:t>
      </w:r>
      <w:r>
        <w:rPr>
          <w:color w:val="231F20"/>
          <w:w w:val="105"/>
        </w:rPr>
        <w:t>on</w:t>
      </w:r>
      <w:r>
        <w:rPr>
          <w:color w:val="231F20"/>
          <w:spacing w:val="-9"/>
          <w:w w:val="105"/>
        </w:rPr>
        <w:t> </w:t>
      </w:r>
      <w:r>
        <w:rPr>
          <w:color w:val="231F20"/>
          <w:w w:val="105"/>
        </w:rPr>
        <w:t>the same remittance</w:t>
      </w:r>
      <w:r>
        <w:rPr>
          <w:color w:val="231F20"/>
          <w:spacing w:val="-37"/>
          <w:w w:val="105"/>
        </w:rPr>
        <w:t> </w:t>
      </w:r>
      <w:r>
        <w:rPr>
          <w:color w:val="231F20"/>
          <w:w w:val="105"/>
        </w:rPr>
        <w:t>advice</w:t>
      </w:r>
    </w:p>
    <w:p>
      <w:pPr>
        <w:pStyle w:val="BodyText"/>
        <w:ind w:left="0"/>
        <w:rPr>
          <w:sz w:val="21"/>
        </w:rPr>
      </w:pPr>
    </w:p>
    <w:p>
      <w:pPr>
        <w:pStyle w:val="Heading1"/>
        <w:ind w:left="271"/>
        <w:rPr>
          <w:b/>
        </w:rPr>
      </w:pPr>
      <w:r>
        <w:rPr>
          <w:b/>
          <w:color w:val="231F20"/>
        </w:rPr>
        <w:t>atient Location Code</w:t>
      </w:r>
    </w:p>
    <w:p>
      <w:pPr>
        <w:pStyle w:val="BodyText"/>
        <w:spacing w:line="295" w:lineRule="auto" w:before="100"/>
        <w:ind w:right="572"/>
      </w:pPr>
      <w:r>
        <w:rPr>
          <w:color w:val="231F20"/>
          <w:w w:val="105"/>
        </w:rPr>
        <w:t>The POPS system will be edited to prevent erroneous location codes from being entered on pharmacy claims. MassHealth will deny claims when a user enters an </w:t>
      </w:r>
      <w:r>
        <w:rPr>
          <w:color w:val="231F20"/>
          <w:spacing w:val="-6"/>
          <w:w w:val="105"/>
        </w:rPr>
        <w:t>LTC </w:t>
      </w:r>
      <w:r>
        <w:rPr>
          <w:color w:val="231F20"/>
          <w:w w:val="105"/>
        </w:rPr>
        <w:t>location code for a member who does not reside in a qualified </w:t>
      </w:r>
      <w:r>
        <w:rPr>
          <w:color w:val="231F20"/>
          <w:spacing w:val="-6"/>
          <w:w w:val="105"/>
        </w:rPr>
        <w:t>LTC </w:t>
      </w:r>
      <w:r>
        <w:rPr>
          <w:color w:val="231F20"/>
          <w:w w:val="105"/>
        </w:rPr>
        <w:t>facility. We know that there sometimes could be circumstances under which MassHealth systems may not verify that a member has </w:t>
      </w:r>
      <w:r>
        <w:rPr>
          <w:color w:val="231F20"/>
          <w:spacing w:val="-6"/>
          <w:w w:val="105"/>
        </w:rPr>
        <w:t>LTC </w:t>
      </w:r>
      <w:r>
        <w:rPr>
          <w:color w:val="231F20"/>
          <w:w w:val="105"/>
        </w:rPr>
        <w:t>coverage. If you receive a denied claim for an invalid location code and you know that the member is indeed an </w:t>
      </w:r>
      <w:r>
        <w:rPr>
          <w:color w:val="231F20"/>
          <w:spacing w:val="-6"/>
          <w:w w:val="105"/>
        </w:rPr>
        <w:t>LTC </w:t>
      </w:r>
      <w:r>
        <w:rPr>
          <w:color w:val="231F20"/>
          <w:w w:val="105"/>
        </w:rPr>
        <w:t>resident, you may call the</w:t>
      </w:r>
      <w:r>
        <w:rPr>
          <w:color w:val="231F20"/>
          <w:spacing w:val="-21"/>
          <w:w w:val="105"/>
        </w:rPr>
        <w:t> </w:t>
      </w:r>
      <w:r>
        <w:rPr>
          <w:color w:val="231F20"/>
          <w:w w:val="105"/>
        </w:rPr>
        <w:t>ACS</w:t>
      </w:r>
      <w:r>
        <w:rPr>
          <w:color w:val="231F20"/>
          <w:spacing w:val="-12"/>
          <w:w w:val="105"/>
        </w:rPr>
        <w:t> </w:t>
      </w:r>
      <w:r>
        <w:rPr>
          <w:color w:val="231F20"/>
          <w:w w:val="105"/>
        </w:rPr>
        <w:t>help</w:t>
      </w:r>
      <w:r>
        <w:rPr>
          <w:color w:val="231F20"/>
          <w:spacing w:val="-12"/>
          <w:w w:val="105"/>
        </w:rPr>
        <w:t> </w:t>
      </w:r>
      <w:r>
        <w:rPr>
          <w:color w:val="231F20"/>
          <w:w w:val="105"/>
        </w:rPr>
        <w:t>desk</w:t>
      </w:r>
      <w:r>
        <w:rPr>
          <w:color w:val="231F20"/>
          <w:spacing w:val="-12"/>
          <w:w w:val="105"/>
        </w:rPr>
        <w:t> </w:t>
      </w:r>
      <w:r>
        <w:rPr>
          <w:color w:val="231F20"/>
          <w:w w:val="105"/>
        </w:rPr>
        <w:t>at</w:t>
      </w:r>
      <w:r>
        <w:rPr>
          <w:color w:val="231F20"/>
          <w:spacing w:val="-12"/>
          <w:w w:val="105"/>
        </w:rPr>
        <w:t> </w:t>
      </w:r>
      <w:r>
        <w:rPr>
          <w:color w:val="231F20"/>
          <w:w w:val="105"/>
        </w:rPr>
        <w:t>1-866-246-8503</w:t>
      </w:r>
      <w:r>
        <w:rPr>
          <w:color w:val="231F20"/>
          <w:spacing w:val="-12"/>
          <w:w w:val="105"/>
        </w:rPr>
        <w:t> </w:t>
      </w:r>
      <w:r>
        <w:rPr>
          <w:color w:val="231F20"/>
          <w:w w:val="105"/>
        </w:rPr>
        <w:t>for</w:t>
      </w:r>
      <w:r>
        <w:rPr>
          <w:color w:val="231F20"/>
          <w:spacing w:val="-12"/>
          <w:w w:val="105"/>
        </w:rPr>
        <w:t> </w:t>
      </w:r>
      <w:r>
        <w:rPr>
          <w:color w:val="231F20"/>
          <w:w w:val="105"/>
        </w:rPr>
        <w:t>an</w:t>
      </w:r>
      <w:r>
        <w:rPr>
          <w:color w:val="231F20"/>
          <w:spacing w:val="-12"/>
          <w:w w:val="105"/>
        </w:rPr>
        <w:t> </w:t>
      </w:r>
      <w:r>
        <w:rPr>
          <w:color w:val="231F20"/>
          <w:w w:val="105"/>
        </w:rPr>
        <w:t>override.</w:t>
      </w:r>
    </w:p>
    <w:p>
      <w:pPr>
        <w:spacing w:after="0" w:line="295" w:lineRule="auto"/>
        <w:sectPr>
          <w:type w:val="continuous"/>
          <w:pgSz w:w="12240" w:h="15840"/>
          <w:pgMar w:top="420" w:bottom="280" w:left="820" w:right="360"/>
          <w:cols w:num="2" w:equalWidth="0">
            <w:col w:w="5029" w:space="407"/>
            <w:col w:w="5624"/>
          </w:cols>
        </w:sectPr>
      </w:pPr>
    </w:p>
    <w:p>
      <w:pPr>
        <w:pStyle w:val="BodyText"/>
        <w:ind w:left="0"/>
      </w:pPr>
    </w:p>
    <w:p>
      <w:pPr>
        <w:pStyle w:val="BodyText"/>
        <w:ind w:left="0"/>
      </w:pPr>
    </w:p>
    <w:p>
      <w:pPr>
        <w:pStyle w:val="BodyText"/>
        <w:spacing w:before="2"/>
        <w:ind w:left="0"/>
        <w:rPr>
          <w:sz w:val="12"/>
        </w:rPr>
      </w:pPr>
    </w:p>
    <w:p>
      <w:pPr>
        <w:pStyle w:val="BodyText"/>
        <w:spacing w:line="80" w:lineRule="exact"/>
        <w:ind w:left="110"/>
        <w:rPr>
          <w:sz w:val="8"/>
        </w:rPr>
      </w:pPr>
      <w:r>
        <w:rPr>
          <w:position w:val="-1"/>
          <w:sz w:val="8"/>
        </w:rPr>
        <w:pict>
          <v:group style="width:519.4500pt;height:4.05pt;mso-position-horizontal-relative:char;mso-position-vertical-relative:line" coordorigin="0,0" coordsize="10389,81">
            <v:line style="position:absolute" from="10,10" to="10378,10" stroked="true" strokeweight="1.008pt" strokecolor="#231f20">
              <v:stroke dashstyle="solid"/>
            </v:line>
            <v:line style="position:absolute" from="10,71" to="10378,71" stroked="true" strokeweight=".99901pt" strokecolor="#231f20">
              <v:stroke dashstyle="solid"/>
            </v:line>
          </v:group>
        </w:pict>
      </w:r>
      <w:r>
        <w:rPr>
          <w:position w:val="-1"/>
          <w:sz w:val="8"/>
        </w:rPr>
      </w:r>
    </w:p>
    <w:p>
      <w:pPr>
        <w:pStyle w:val="BodyText"/>
        <w:spacing w:before="9"/>
        <w:ind w:left="0"/>
        <w:rPr>
          <w:sz w:val="9"/>
        </w:rPr>
      </w:pPr>
    </w:p>
    <w:p>
      <w:pPr>
        <w:pStyle w:val="BodyText"/>
        <w:spacing w:before="101"/>
        <w:ind w:left="121"/>
      </w:pPr>
      <w:r>
        <w:rPr>
          <w:color w:val="231F20"/>
          <w:w w:val="105"/>
        </w:rPr>
        <w:t>Please direct any questions or comments (or to be taken off of this fax distribution) to</w:t>
      </w:r>
    </w:p>
    <w:p>
      <w:pPr>
        <w:spacing w:before="29"/>
        <w:ind w:left="121" w:right="0" w:firstLine="0"/>
        <w:jc w:val="left"/>
        <w:rPr>
          <w:sz w:val="20"/>
        </w:rPr>
      </w:pPr>
      <w:r>
        <w:rPr>
          <w:rFonts w:ascii="Arial Black"/>
          <w:b/>
          <w:color w:val="231F20"/>
          <w:w w:val="105"/>
          <w:sz w:val="20"/>
        </w:rPr>
        <w:t>Victor Moquin </w:t>
      </w:r>
      <w:r>
        <w:rPr>
          <w:color w:val="231F20"/>
          <w:w w:val="105"/>
          <w:sz w:val="20"/>
        </w:rPr>
        <w:t>of ACS at 617-423-9830</w:t>
      </w:r>
    </w:p>
    <w:sectPr>
      <w:type w:val="continuous"/>
      <w:pgSz w:w="12240" w:h="15840"/>
      <w:pgMar w:top="420" w:bottom="280" w:left="8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Narrow">
    <w:altName w:val="Arial Narrow"/>
    <w:charset w:val="0"/>
    <w:family w:val="swiss"/>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5"/>
    </w:pPr>
    <w:rPr>
      <w:rFonts w:ascii="Arial" w:hAnsi="Arial" w:eastAsia="Arial" w:cs="Arial"/>
      <w:sz w:val="20"/>
      <w:szCs w:val="20"/>
    </w:rPr>
  </w:style>
  <w:style w:styleId="Heading1" w:type="paragraph">
    <w:name w:val="Heading 1"/>
    <w:basedOn w:val="Normal"/>
    <w:uiPriority w:val="1"/>
    <w:qFormat/>
    <w:pPr>
      <w:ind w:left="115"/>
      <w:outlineLvl w:val="1"/>
    </w:pPr>
    <w:rPr>
      <w:rFonts w:ascii="Arial Black" w:hAnsi="Arial Black" w:eastAsia="Arial Black" w:cs="Arial Black"/>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www.mass.gov/drug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PHARM_faxFeb24.indd</dc:title>
  <dcterms:created xsi:type="dcterms:W3CDTF">2017-11-16T08:59:39Z</dcterms:created>
  <dcterms:modified xsi:type="dcterms:W3CDTF">2017-11-16T08:59:39Z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2005-02-22T00:00:00Z</vt:filetime>
  </property>
  <property fmtid="{D5CDD505-2E9C-101B-9397-08002B2CF9AE}" pid="3" name="Creator">
    <vt:lpwstr>Adobe InDesign 2.0.1</vt:lpwstr>
  </property>
  <property fmtid="{D5CDD505-2E9C-101B-9397-08002B2CF9AE}" pid="4" name="LastSaved">
    <vt:filetime>2017-11-16T00:00:00Z</vt:filetime>
  </property>
</Properties>
</file>