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BodyText"/>
        <w:ind w:left="3871" w:right="4071"/>
        <w:jc w:val="center"/>
        <w:rPr>
          <w:rFonts w:ascii="Arial Narrow"/>
        </w:rPr>
      </w:pPr>
      <w:r>
        <w:rPr/>
        <w:pict>
          <v:line style="position:absolute;mso-position-horizontal-relative:page;mso-position-vertical-relative:paragraph;z-index:1072" from="45.118999pt,10.833107pt" to="567.838999pt,10.833107pt" stroked="true" strokeweight=".96pt" strokecolor="#000000">
            <v:stroke dashstyle="solid"/>
            <w10:wrap type="none"/>
          </v:line>
        </w:pict>
      </w:r>
      <w:hyperlink r:id="rId5">
        <w:r>
          <w:rPr>
            <w:rFonts w:ascii="Arial Narrow"/>
          </w:rPr>
          <w:t>www.mass.gov/masshealth/pharmacy</w:t>
        </w:r>
      </w:hyperlink>
    </w:p>
    <w:p>
      <w:pPr>
        <w:pStyle w:val="BodyText"/>
        <w:spacing w:before="14"/>
        <w:ind w:left="1759"/>
        <w:rPr>
          <w:rFonts w:ascii="Arial Narrow" w:hAnsi="Arial Narrow"/>
        </w:rPr>
      </w:pPr>
      <w:r>
        <w:rPr>
          <w:rFonts w:ascii="Arial Narrow" w:hAnsi="Arial Narrow"/>
        </w:rPr>
        <w:t>Editor: Vic Vangel </w:t>
      </w:r>
      <w:r>
        <w:rPr>
          <w:rFonts w:ascii="Arial Black" w:hAnsi="Arial Black"/>
          <w:b/>
        </w:rPr>
        <w:t>• </w:t>
      </w:r>
      <w:r>
        <w:rPr>
          <w:rFonts w:ascii="Arial Narrow" w:hAnsi="Arial Narrow"/>
        </w:rPr>
        <w:t>Contributors: Chris Burke, Gary Gilmore, Paul Jeffrey, James Monahan, Nancy Schiff</w:t>
      </w:r>
    </w:p>
    <w:p>
      <w:pPr>
        <w:spacing w:after="0"/>
        <w:rPr>
          <w:rFonts w:ascii="Arial Narrow" w:hAnsi="Arial Narrow"/>
        </w:rPr>
        <w:sectPr>
          <w:type w:val="continuous"/>
          <w:pgSz w:w="12240" w:h="15840"/>
          <w:pgMar w:top="400" w:bottom="280" w:left="900" w:right="880"/>
        </w:sectPr>
      </w:pPr>
    </w:p>
    <w:p>
      <w:pPr>
        <w:pStyle w:val="Heading1"/>
        <w:spacing w:before="196"/>
        <w:rPr>
          <w:b/>
        </w:rPr>
      </w:pPr>
      <w:r>
        <w:rPr/>
        <w:pict>
          <v:group style="position:absolute;margin-left:36pt;margin-top:2.947472pt;width:531.85pt;height:586.950pt;mso-position-horizontal-relative:page;mso-position-vertical-relative:paragraph;z-index:-3592" coordorigin="720,59" coordsize="10637,11739">
            <v:line style="position:absolute" from="902,69" to="6019,69" stroked="true" strokeweight=".959pt" strokecolor="#000000">
              <v:stroke dashstyle="solid"/>
            </v:line>
            <v:rect style="position:absolute;left:6019;top:58;width:20;height:20" filled="true" fillcolor="#000000" stroked="false">
              <v:fill type="solid"/>
            </v:rect>
            <v:line style="position:absolute" from="6038,69" to="11357,69" stroked="true" strokeweight=".959pt" strokecolor="#000000">
              <v:stroke dashstyle="solid"/>
            </v:line>
            <v:line style="position:absolute" from="6024,78" to="6024,11785" stroked="true" strokeweight=".48pt" strokecolor="#000000">
              <v:stroke dashstyle="solid"/>
            </v:line>
            <v:line style="position:absolute" from="720,11790" to="11338,11790" stroked="true" strokeweight=".72pt" strokecolor="#000000">
              <v:stroke dashstyle="solid"/>
            </v:line>
            <w10:wrap type="none"/>
          </v:group>
        </w:pict>
      </w:r>
      <w:r>
        <w:rPr>
          <w:b/>
        </w:rPr>
        <w:t>MHDL Updates</w:t>
      </w:r>
    </w:p>
    <w:p>
      <w:pPr>
        <w:pStyle w:val="Heading3"/>
        <w:spacing w:before="76"/>
        <w:ind w:left="132" w:right="63" w:hanging="20"/>
      </w:pPr>
      <w:r>
        <w:rPr/>
        <w:t>Below are certain updates to the MassHealth Drug List (MHDL). See the MHDL for a complete listing of updates.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78" w:after="0"/>
        <w:ind w:left="472" w:right="0" w:hanging="360"/>
        <w:jc w:val="left"/>
        <w:rPr>
          <w:b/>
          <w:sz w:val="20"/>
        </w:rPr>
      </w:pPr>
      <w:r>
        <w:rPr>
          <w:b/>
          <w:sz w:val="20"/>
        </w:rPr>
        <w:t>Additions</w:t>
      </w:r>
    </w:p>
    <w:p>
      <w:pPr>
        <w:spacing w:line="235" w:lineRule="auto" w:before="71"/>
        <w:ind w:left="487" w:right="0" w:firstLine="0"/>
        <w:jc w:val="left"/>
        <w:rPr>
          <w:sz w:val="20"/>
        </w:rPr>
      </w:pPr>
      <w:r>
        <w:rPr>
          <w:sz w:val="20"/>
        </w:rPr>
        <w:t>The following newly marketed drugs have been added to the MassHealth Drug List as of</w:t>
      </w:r>
    </w:p>
    <w:p>
      <w:pPr>
        <w:spacing w:before="1"/>
        <w:ind w:left="487" w:right="0" w:firstLine="0"/>
        <w:jc w:val="left"/>
        <w:rPr>
          <w:sz w:val="20"/>
        </w:rPr>
      </w:pPr>
      <w:r>
        <w:rPr>
          <w:sz w:val="20"/>
        </w:rPr>
        <w:t>March 12, 2012.</w:t>
      </w:r>
    </w:p>
    <w:p>
      <w:pPr>
        <w:spacing w:before="77"/>
        <w:ind w:left="727" w:right="0" w:firstLine="0"/>
        <w:jc w:val="left"/>
        <w:rPr>
          <w:b/>
          <w:sz w:val="18"/>
        </w:rPr>
      </w:pPr>
      <w:r>
        <w:rPr>
          <w:sz w:val="18"/>
        </w:rPr>
        <w:t>Erwinaze (asparaginase </w:t>
      </w:r>
      <w:r>
        <w:rPr>
          <w:i/>
          <w:sz w:val="18"/>
        </w:rPr>
        <w:t>Erwinia chrysanthemi</w:t>
      </w:r>
      <w:r>
        <w:rPr>
          <w:sz w:val="18"/>
        </w:rPr>
        <w:t>) </w:t>
      </w:r>
      <w:r>
        <w:rPr>
          <w:b/>
          <w:sz w:val="18"/>
        </w:rPr>
        <w:t>^</w:t>
      </w:r>
    </w:p>
    <w:p>
      <w:pPr>
        <w:pStyle w:val="Heading4"/>
        <w:spacing w:before="81"/>
        <w:ind w:left="933"/>
      </w:pPr>
      <w:r>
        <w:rPr/>
        <w:t>– PA</w:t>
      </w:r>
    </w:p>
    <w:p>
      <w:pPr>
        <w:pStyle w:val="BodyText"/>
        <w:spacing w:before="4"/>
        <w:ind w:left="727" w:right="2023"/>
        <w:rPr>
          <w:b/>
        </w:rPr>
      </w:pPr>
      <w:r>
        <w:rPr/>
        <w:t>fluoxetine 60 mg tablet </w:t>
      </w:r>
      <w:r>
        <w:rPr>
          <w:b/>
        </w:rPr>
        <w:t>– PA </w:t>
      </w:r>
      <w:r>
        <w:rPr/>
        <w:t>Jakafi (ruxolitinib) </w:t>
      </w:r>
      <w:r>
        <w:rPr>
          <w:b/>
        </w:rPr>
        <w:t>– PA </w:t>
      </w:r>
      <w:r>
        <w:rPr/>
        <w:t>ONFI (clobazam) </w:t>
      </w:r>
      <w:r>
        <w:rPr>
          <w:b/>
        </w:rPr>
        <w:t>– PA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76" w:after="0"/>
        <w:ind w:left="472" w:right="0" w:hanging="360"/>
        <w:jc w:val="left"/>
        <w:rPr>
          <w:b/>
          <w:sz w:val="20"/>
        </w:rPr>
      </w:pPr>
      <w:r>
        <w:rPr>
          <w:b/>
          <w:sz w:val="20"/>
        </w:rPr>
        <w:t>New FDA “A”–Rated</w:t>
      </w:r>
      <w:r>
        <w:rPr>
          <w:b/>
          <w:spacing w:val="0"/>
          <w:sz w:val="20"/>
        </w:rPr>
        <w:t> </w:t>
      </w:r>
      <w:r>
        <w:rPr>
          <w:b/>
          <w:sz w:val="20"/>
        </w:rPr>
        <w:t>Generics</w:t>
      </w:r>
    </w:p>
    <w:p>
      <w:pPr>
        <w:pStyle w:val="Heading3"/>
        <w:spacing w:before="63"/>
        <w:ind w:right="88"/>
      </w:pPr>
      <w:r>
        <w:rPr/>
        <w:t>The following FDA “A”-rated generic drugs have been added to the MassHealth Drug List as of March 12, 2012. The brand name is listed with a # symbol, to indicate that prior authorization is required for the brand.</w:t>
      </w:r>
    </w:p>
    <w:p>
      <w:pPr>
        <w:pStyle w:val="Heading4"/>
        <w:spacing w:line="207" w:lineRule="exact" w:before="78"/>
        <w:ind w:left="731"/>
      </w:pPr>
      <w:r>
        <w:rPr/>
        <w:t>New FDA “A”-Rated</w:t>
      </w:r>
    </w:p>
    <w:p>
      <w:pPr>
        <w:tabs>
          <w:tab w:pos="3170" w:val="left" w:leader="none"/>
        </w:tabs>
        <w:spacing w:before="0"/>
        <w:ind w:left="727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Generic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Drug</w:t>
      </w:r>
      <w:r>
        <w:rPr>
          <w:b/>
          <w:sz w:val="18"/>
        </w:rPr>
        <w:tab/>
      </w:r>
      <w:r>
        <w:rPr>
          <w:b/>
          <w:sz w:val="18"/>
          <w:u w:val="single"/>
        </w:rPr>
        <w:t>Generic Equivalent</w:t>
      </w:r>
    </w:p>
    <w:p>
      <w:pPr>
        <w:pStyle w:val="BodyText"/>
        <w:spacing w:line="207" w:lineRule="exact" w:before="42"/>
        <w:ind w:left="727"/>
      </w:pPr>
      <w:r>
        <w:rPr/>
        <w:t>methylphenidate 20, 30 or</w:t>
      </w:r>
    </w:p>
    <w:p>
      <w:pPr>
        <w:spacing w:line="206" w:lineRule="exact" w:before="0"/>
        <w:ind w:left="979" w:right="0" w:firstLine="0"/>
        <w:jc w:val="left"/>
        <w:rPr>
          <w:b/>
          <w:sz w:val="18"/>
        </w:rPr>
      </w:pPr>
      <w:r>
        <w:rPr>
          <w:sz w:val="18"/>
        </w:rPr>
        <w:t>40 mg </w:t>
      </w:r>
      <w:r>
        <w:rPr>
          <w:b/>
          <w:sz w:val="18"/>
        </w:rPr>
        <w:t>– PA &gt; 60</w:t>
      </w:r>
    </w:p>
    <w:p>
      <w:pPr>
        <w:tabs>
          <w:tab w:pos="3179" w:val="left" w:leader="none"/>
        </w:tabs>
        <w:spacing w:before="0"/>
        <w:ind w:left="727" w:right="931" w:firstLine="206"/>
        <w:jc w:val="left"/>
        <w:rPr>
          <w:sz w:val="18"/>
        </w:rPr>
      </w:pPr>
      <w:r>
        <w:rPr>
          <w:b/>
          <w:sz w:val="18"/>
        </w:rPr>
        <w:t>units/month</w:t>
        <w:tab/>
      </w:r>
      <w:r>
        <w:rPr>
          <w:sz w:val="18"/>
        </w:rPr>
        <w:t>Ritalin LA</w:t>
      </w:r>
      <w:r>
        <w:rPr>
          <w:spacing w:val="-7"/>
          <w:sz w:val="18"/>
        </w:rPr>
        <w:t> </w:t>
      </w:r>
      <w:r>
        <w:rPr>
          <w:sz w:val="18"/>
        </w:rPr>
        <w:t># fluocinolone</w:t>
      </w:r>
      <w:r>
        <w:rPr>
          <w:spacing w:val="-6"/>
          <w:sz w:val="18"/>
        </w:rPr>
        <w:t> </w:t>
      </w:r>
      <w:r>
        <w:rPr>
          <w:sz w:val="18"/>
        </w:rPr>
        <w:t>oil,</w:t>
      </w:r>
    </w:p>
    <w:p>
      <w:pPr>
        <w:pStyle w:val="BodyText"/>
        <w:tabs>
          <w:tab w:pos="3213" w:val="left" w:leader="none"/>
        </w:tabs>
        <w:ind w:left="727" w:right="907" w:firstLine="206"/>
      </w:pPr>
      <w:r>
        <w:rPr/>
        <w:t>otic</w:t>
      </w:r>
      <w:r>
        <w:rPr>
          <w:spacing w:val="-2"/>
        </w:rPr>
        <w:t> </w:t>
      </w:r>
      <w:r>
        <w:rPr/>
        <w:t>drops</w:t>
        <w:tab/>
      </w:r>
      <w:r>
        <w:rPr>
          <w:spacing w:val="-3"/>
        </w:rPr>
        <w:t>DermOtic </w:t>
      </w:r>
      <w:r>
        <w:rPr/>
        <w:t># piperacillin/tazobactam</w:t>
        <w:tab/>
        <w:t>Zosyn</w:t>
      </w:r>
      <w:r>
        <w:rPr>
          <w:spacing w:val="-4"/>
        </w:rPr>
        <w:t> </w:t>
      </w:r>
      <w:r>
        <w:rPr/>
        <w:t>#</w:t>
      </w:r>
    </w:p>
    <w:p>
      <w:pPr>
        <w:pStyle w:val="Heading2"/>
        <w:numPr>
          <w:ilvl w:val="0"/>
          <w:numId w:val="1"/>
        </w:numPr>
        <w:tabs>
          <w:tab w:pos="473" w:val="left" w:leader="none"/>
        </w:tabs>
        <w:spacing w:line="240" w:lineRule="auto" w:before="80" w:after="0"/>
        <w:ind w:left="472" w:right="0" w:hanging="360"/>
        <w:jc w:val="left"/>
      </w:pPr>
      <w:r>
        <w:rPr/>
        <w:t>Change in Prior-Authorization</w:t>
      </w:r>
      <w:r>
        <w:rPr>
          <w:spacing w:val="-1"/>
        </w:rPr>
        <w:t> </w:t>
      </w:r>
      <w:r>
        <w:rPr/>
        <w:t>Status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4" w:lineRule="auto" w:before="57" w:after="0"/>
        <w:ind w:left="674" w:right="217" w:hanging="216"/>
        <w:jc w:val="left"/>
        <w:rPr>
          <w:sz w:val="18"/>
        </w:rPr>
      </w:pPr>
      <w:r>
        <w:rPr>
          <w:sz w:val="18"/>
        </w:rPr>
        <w:t>The following drug requires prior authorization </w:t>
      </w:r>
      <w:r>
        <w:rPr>
          <w:spacing w:val="-3"/>
          <w:sz w:val="18"/>
        </w:rPr>
        <w:t>when </w:t>
      </w:r>
      <w:r>
        <w:rPr>
          <w:sz w:val="18"/>
        </w:rPr>
        <w:t>exceeding quantity limits effective March 12,</w:t>
      </w:r>
      <w:r>
        <w:rPr>
          <w:spacing w:val="-15"/>
          <w:sz w:val="18"/>
        </w:rPr>
        <w:t> </w:t>
      </w:r>
      <w:r>
        <w:rPr>
          <w:sz w:val="18"/>
        </w:rPr>
        <w:t>2012.</w:t>
      </w:r>
    </w:p>
    <w:p>
      <w:pPr>
        <w:spacing w:line="307" w:lineRule="auto" w:before="53"/>
        <w:ind w:left="928" w:right="103" w:hanging="97"/>
        <w:jc w:val="left"/>
        <w:rPr>
          <w:b/>
          <w:sz w:val="18"/>
        </w:rPr>
      </w:pPr>
      <w:r>
        <w:rPr>
          <w:sz w:val="18"/>
        </w:rPr>
        <w:t>Aricept # (donepezil 10 mg tablet) </w:t>
      </w:r>
      <w:r>
        <w:rPr>
          <w:b/>
          <w:sz w:val="18"/>
        </w:rPr>
        <w:t>– PA &gt; 60 units/ month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4" w:lineRule="auto" w:before="3" w:after="0"/>
        <w:ind w:left="674" w:right="987" w:hanging="216"/>
        <w:jc w:val="left"/>
        <w:rPr>
          <w:sz w:val="18"/>
        </w:rPr>
      </w:pPr>
      <w:r>
        <w:rPr>
          <w:sz w:val="18"/>
        </w:rPr>
        <w:t>The following drug is covered without prior authorization effective March </w:t>
      </w:r>
      <w:r>
        <w:rPr>
          <w:spacing w:val="-3"/>
          <w:sz w:val="18"/>
        </w:rPr>
        <w:t>12,</w:t>
      </w:r>
      <w:r>
        <w:rPr>
          <w:spacing w:val="5"/>
          <w:sz w:val="18"/>
        </w:rPr>
        <w:t> </w:t>
      </w:r>
      <w:r>
        <w:rPr>
          <w:spacing w:val="-3"/>
          <w:sz w:val="18"/>
        </w:rPr>
        <w:t>2012.</w:t>
      </w:r>
    </w:p>
    <w:p>
      <w:pPr>
        <w:pStyle w:val="BodyText"/>
        <w:spacing w:before="53"/>
        <w:ind w:left="830"/>
      </w:pPr>
      <w:r>
        <w:rPr/>
        <w:t>Vivitrol (naltrexone injection)</w:t>
      </w:r>
    </w:p>
    <w:p>
      <w:pPr>
        <w:pStyle w:val="ListParagraph"/>
        <w:numPr>
          <w:ilvl w:val="1"/>
          <w:numId w:val="1"/>
        </w:numPr>
        <w:tabs>
          <w:tab w:pos="670" w:val="left" w:leader="none"/>
        </w:tabs>
        <w:spacing w:line="242" w:lineRule="auto" w:before="57" w:after="0"/>
        <w:ind w:left="674" w:right="340" w:hanging="216"/>
        <w:jc w:val="left"/>
        <w:rPr>
          <w:sz w:val="18"/>
        </w:rPr>
      </w:pPr>
      <w:r>
        <w:rPr>
          <w:sz w:val="18"/>
        </w:rPr>
        <w:t>The following drugs </w:t>
      </w:r>
      <w:r>
        <w:rPr>
          <w:spacing w:val="-3"/>
          <w:sz w:val="18"/>
        </w:rPr>
        <w:t>will </w:t>
      </w:r>
      <w:r>
        <w:rPr>
          <w:sz w:val="18"/>
        </w:rPr>
        <w:t>require prior authorization </w:t>
      </w:r>
      <w:r>
        <w:rPr>
          <w:spacing w:val="-3"/>
          <w:sz w:val="18"/>
        </w:rPr>
        <w:t>when </w:t>
      </w:r>
      <w:r>
        <w:rPr>
          <w:sz w:val="18"/>
        </w:rPr>
        <w:t>exceeding quantity limits effective March 26, 2012.</w:t>
      </w:r>
    </w:p>
    <w:p>
      <w:pPr>
        <w:spacing w:before="55"/>
        <w:ind w:left="837" w:right="0" w:firstLine="0"/>
        <w:jc w:val="left"/>
        <w:rPr>
          <w:b/>
          <w:sz w:val="18"/>
        </w:rPr>
      </w:pPr>
      <w:r>
        <w:rPr>
          <w:sz w:val="18"/>
        </w:rPr>
        <w:t>Spiriva (tiotropium) </w:t>
      </w:r>
      <w:r>
        <w:rPr>
          <w:b/>
          <w:sz w:val="18"/>
        </w:rPr>
        <w:t>– PA &gt; 30 units/month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4" w:lineRule="auto" w:before="61" w:after="0"/>
        <w:ind w:left="674" w:right="296" w:hanging="216"/>
        <w:jc w:val="left"/>
        <w:rPr>
          <w:sz w:val="18"/>
        </w:rPr>
      </w:pPr>
      <w:r>
        <w:rPr>
          <w:sz w:val="18"/>
        </w:rPr>
        <w:t>The following antidiarrheal agents </w:t>
      </w:r>
      <w:r>
        <w:rPr>
          <w:spacing w:val="-3"/>
          <w:sz w:val="18"/>
        </w:rPr>
        <w:t>will </w:t>
      </w:r>
      <w:r>
        <w:rPr>
          <w:sz w:val="18"/>
        </w:rPr>
        <w:t>require prior authorization effective March </w:t>
      </w:r>
      <w:r>
        <w:rPr>
          <w:spacing w:val="-3"/>
          <w:sz w:val="18"/>
        </w:rPr>
        <w:t>26,</w:t>
      </w:r>
      <w:r>
        <w:rPr>
          <w:spacing w:val="5"/>
          <w:sz w:val="18"/>
        </w:rPr>
        <w:t> </w:t>
      </w:r>
      <w:r>
        <w:rPr>
          <w:spacing w:val="-3"/>
          <w:sz w:val="18"/>
        </w:rPr>
        <w:t>2012.</w:t>
      </w:r>
    </w:p>
    <w:p>
      <w:pPr>
        <w:spacing w:line="207" w:lineRule="exact" w:before="53"/>
        <w:ind w:left="837" w:right="0" w:firstLine="0"/>
        <w:jc w:val="left"/>
        <w:rPr>
          <w:b/>
          <w:sz w:val="18"/>
        </w:rPr>
      </w:pPr>
      <w:r>
        <w:rPr>
          <w:sz w:val="18"/>
        </w:rPr>
        <w:t>opium tincture </w:t>
      </w:r>
      <w:r>
        <w:rPr>
          <w:b/>
          <w:sz w:val="18"/>
        </w:rPr>
        <w:t>– PA</w:t>
      </w:r>
    </w:p>
    <w:p>
      <w:pPr>
        <w:pStyle w:val="BodyText"/>
        <w:spacing w:line="207" w:lineRule="exact"/>
        <w:ind w:left="832"/>
        <w:rPr>
          <w:b/>
        </w:rPr>
      </w:pPr>
      <w:r>
        <w:rPr/>
        <w:t>Motofen (atropine/difenoxin) </w:t>
      </w:r>
      <w:r>
        <w:rPr>
          <w:b/>
        </w:rPr>
        <w:t>– PA</w:t>
      </w:r>
    </w:p>
    <w:p>
      <w:pPr>
        <w:spacing w:line="247" w:lineRule="auto" w:before="81"/>
        <w:ind w:left="372" w:right="38" w:hanging="188"/>
        <w:jc w:val="left"/>
        <w:rPr>
          <w:sz w:val="16"/>
        </w:rPr>
      </w:pPr>
      <w:r>
        <w:rPr>
          <w:b/>
          <w:position w:val="10"/>
          <w:sz w:val="13"/>
        </w:rPr>
        <w:t>#  </w:t>
      </w:r>
      <w:r>
        <w:rPr>
          <w:sz w:val="16"/>
        </w:rPr>
        <w:t>This is a brand-name drug with FDA “A”-rated generic equivalents. Prior authorization is required for the brand, unless</w:t>
      </w:r>
      <w:r>
        <w:rPr>
          <w:spacing w:val="-30"/>
          <w:sz w:val="16"/>
        </w:rPr>
        <w:t> </w:t>
      </w:r>
      <w:r>
        <w:rPr>
          <w:sz w:val="16"/>
        </w:rPr>
        <w:t>a particular form </w:t>
      </w:r>
      <w:r>
        <w:rPr>
          <w:spacing w:val="-3"/>
          <w:sz w:val="16"/>
        </w:rPr>
        <w:t>of </w:t>
      </w:r>
      <w:r>
        <w:rPr>
          <w:sz w:val="16"/>
        </w:rPr>
        <w:t>that drug (i.e., tablet, capsule, </w:t>
      </w:r>
      <w:r>
        <w:rPr>
          <w:spacing w:val="-4"/>
          <w:sz w:val="16"/>
        </w:rPr>
        <w:t>or </w:t>
      </w:r>
      <w:r>
        <w:rPr>
          <w:sz w:val="16"/>
        </w:rPr>
        <w:t>liquid) does not have an FDA “A”-rated generic</w:t>
      </w:r>
      <w:r>
        <w:rPr>
          <w:spacing w:val="2"/>
          <w:sz w:val="16"/>
        </w:rPr>
        <w:t> </w:t>
      </w:r>
      <w:r>
        <w:rPr>
          <w:sz w:val="16"/>
        </w:rPr>
        <w:t>equivalent.</w:t>
      </w:r>
    </w:p>
    <w:p>
      <w:pPr>
        <w:pStyle w:val="BodyText"/>
        <w:spacing w:before="4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ListParagraph"/>
        <w:numPr>
          <w:ilvl w:val="1"/>
          <w:numId w:val="1"/>
        </w:numPr>
        <w:tabs>
          <w:tab w:pos="842" w:val="left" w:leader="none"/>
          <w:tab w:pos="843" w:val="left" w:leader="none"/>
        </w:tabs>
        <w:spacing w:line="244" w:lineRule="auto" w:before="1" w:after="0"/>
        <w:ind w:left="823" w:right="536" w:hanging="336"/>
        <w:jc w:val="left"/>
        <w:rPr>
          <w:sz w:val="18"/>
        </w:rPr>
      </w:pPr>
      <w:r>
        <w:rPr>
          <w:sz w:val="18"/>
        </w:rPr>
        <w:t>The following drugs will require prior</w:t>
      </w:r>
      <w:r>
        <w:rPr>
          <w:spacing w:val="-24"/>
          <w:sz w:val="18"/>
        </w:rPr>
        <w:t> </w:t>
      </w:r>
      <w:r>
        <w:rPr>
          <w:sz w:val="18"/>
        </w:rPr>
        <w:t>authorization effective March 26,</w:t>
      </w:r>
      <w:r>
        <w:rPr>
          <w:spacing w:val="-6"/>
          <w:sz w:val="18"/>
        </w:rPr>
        <w:t> </w:t>
      </w:r>
      <w:r>
        <w:rPr>
          <w:sz w:val="18"/>
        </w:rPr>
        <w:t>2012.</w:t>
      </w:r>
    </w:p>
    <w:p>
      <w:pPr>
        <w:pStyle w:val="BodyText"/>
        <w:spacing w:before="72"/>
        <w:ind w:left="1005"/>
        <w:rPr>
          <w:b/>
        </w:rPr>
      </w:pPr>
      <w:r>
        <w:rPr/>
        <w:t>Avastin (bevacizumab) </w:t>
      </w:r>
      <w:r>
        <w:rPr>
          <w:b/>
        </w:rPr>
        <w:t>– PA</w:t>
      </w:r>
    </w:p>
    <w:p>
      <w:pPr>
        <w:pStyle w:val="BodyText"/>
        <w:spacing w:before="4"/>
        <w:ind w:left="1000" w:right="821"/>
        <w:jc w:val="both"/>
        <w:rPr>
          <w:b/>
        </w:rPr>
      </w:pPr>
      <w:r>
        <w:rPr/>
        <w:t>Berinert (c1 esterase inhibitor, human) </w:t>
      </w:r>
      <w:r>
        <w:rPr>
          <w:b/>
        </w:rPr>
        <w:t>– PA </w:t>
      </w:r>
      <w:r>
        <w:rPr/>
        <w:t>Cinryze (c1 esterase inhibitor, human) </w:t>
      </w:r>
      <w:r>
        <w:rPr>
          <w:b/>
        </w:rPr>
        <w:t>– PA </w:t>
      </w:r>
      <w:r>
        <w:rPr/>
        <w:t>naltrexone powder </w:t>
      </w:r>
      <w:r>
        <w:rPr>
          <w:b/>
        </w:rPr>
        <w:t>– PA</w:t>
      </w:r>
    </w:p>
    <w:p>
      <w:pPr>
        <w:pStyle w:val="BodyText"/>
        <w:spacing w:before="8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564" w:val="left" w:leader="none"/>
        </w:tabs>
        <w:spacing w:line="240" w:lineRule="auto" w:before="0" w:after="0"/>
        <w:ind w:left="563" w:right="0" w:hanging="283"/>
        <w:jc w:val="left"/>
      </w:pPr>
      <w:r>
        <w:rPr/>
        <w:t>Corrections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81" w:after="0"/>
        <w:ind w:left="847" w:right="529" w:hanging="207"/>
        <w:jc w:val="left"/>
        <w:rPr>
          <w:sz w:val="18"/>
        </w:rPr>
      </w:pPr>
      <w:r>
        <w:rPr>
          <w:sz w:val="18"/>
        </w:rPr>
        <w:t>The following drugs have </w:t>
      </w:r>
      <w:r>
        <w:rPr>
          <w:spacing w:val="-4"/>
          <w:sz w:val="18"/>
        </w:rPr>
        <w:t>been </w:t>
      </w:r>
      <w:r>
        <w:rPr>
          <w:sz w:val="18"/>
        </w:rPr>
        <w:t>added to the MassHealth Drug List. </w:t>
      </w:r>
      <w:r>
        <w:rPr>
          <w:spacing w:val="-3"/>
          <w:sz w:val="18"/>
        </w:rPr>
        <w:t>They were </w:t>
      </w:r>
      <w:r>
        <w:rPr>
          <w:sz w:val="18"/>
        </w:rPr>
        <w:t>omitted in </w:t>
      </w:r>
      <w:r>
        <w:rPr>
          <w:spacing w:val="-4"/>
          <w:sz w:val="18"/>
        </w:rPr>
        <w:t>error. </w:t>
      </w:r>
      <w:r>
        <w:rPr>
          <w:sz w:val="18"/>
        </w:rPr>
        <w:t>These changes do not reflect </w:t>
      </w:r>
      <w:r>
        <w:rPr>
          <w:spacing w:val="-3"/>
          <w:sz w:val="18"/>
        </w:rPr>
        <w:t>any </w:t>
      </w:r>
      <w:r>
        <w:rPr>
          <w:sz w:val="18"/>
        </w:rPr>
        <w:t>change in MassHealth</w:t>
      </w:r>
      <w:r>
        <w:rPr>
          <w:spacing w:val="-3"/>
          <w:sz w:val="18"/>
        </w:rPr>
        <w:t> </w:t>
      </w:r>
      <w:r>
        <w:rPr>
          <w:sz w:val="18"/>
        </w:rPr>
        <w:t>policy.</w:t>
      </w:r>
    </w:p>
    <w:p>
      <w:pPr>
        <w:pStyle w:val="BodyText"/>
        <w:spacing w:line="242" w:lineRule="auto" w:before="60"/>
        <w:ind w:left="1000" w:right="2402"/>
        <w:rPr>
          <w:b/>
        </w:rPr>
      </w:pPr>
      <w:r>
        <w:rPr/>
        <w:t>Atralin (tretinoin) </w:t>
      </w:r>
      <w:r>
        <w:rPr>
          <w:b/>
        </w:rPr>
        <w:t>– PA </w:t>
      </w:r>
      <w:r>
        <w:rPr/>
        <w:t>chloral hydrate solution Elspar (asparaginase) </w:t>
      </w:r>
      <w:r>
        <w:rPr>
          <w:b/>
        </w:rPr>
        <w:t>^</w:t>
      </w:r>
    </w:p>
    <w:p>
      <w:pPr>
        <w:pStyle w:val="BodyText"/>
        <w:ind w:left="1000" w:right="1167" w:hanging="1"/>
      </w:pPr>
      <w:r>
        <w:rPr/>
        <w:t>erythromycin, topical </w:t>
      </w:r>
      <w:r>
        <w:rPr>
          <w:b/>
        </w:rPr>
        <w:t>– PA </w:t>
      </w:r>
      <w:r>
        <w:rPr>
          <w:b/>
          <w:u w:val="single"/>
        </w:rPr>
        <w:t>&gt;</w:t>
      </w:r>
      <w:r>
        <w:rPr>
          <w:b/>
        </w:rPr>
        <w:t> 22 years </w:t>
      </w:r>
      <w:r>
        <w:rPr/>
        <w:t>fenofibric acid tablet 35 mg and 105 mg Ifex (ifosfamide)</w:t>
      </w:r>
    </w:p>
    <w:p>
      <w:pPr>
        <w:pStyle w:val="BodyText"/>
        <w:spacing w:line="205" w:lineRule="exact"/>
        <w:ind w:left="1000"/>
        <w:rPr>
          <w:b/>
        </w:rPr>
      </w:pPr>
      <w:r>
        <w:rPr/>
        <w:t>Oncaspar (pegasparaginase) </w:t>
      </w:r>
      <w:r>
        <w:rPr>
          <w:b/>
        </w:rPr>
        <w:t>^</w:t>
      </w:r>
    </w:p>
    <w:p>
      <w:pPr>
        <w:pStyle w:val="BodyText"/>
        <w:spacing w:line="207" w:lineRule="exact"/>
        <w:ind w:left="1000"/>
      </w:pPr>
      <w:r>
        <w:rPr/>
        <w:t>Questran Light # (cholestyramine/aspartame)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2" w:lineRule="auto" w:before="74" w:after="0"/>
        <w:ind w:left="847" w:right="155" w:hanging="207"/>
        <w:jc w:val="left"/>
        <w:rPr>
          <w:sz w:val="18"/>
        </w:rPr>
      </w:pPr>
      <w:r>
        <w:rPr>
          <w:sz w:val="18"/>
        </w:rPr>
        <w:t>The prior-authorization status of the following drug has been clarified. These changes </w:t>
      </w:r>
      <w:r>
        <w:rPr>
          <w:spacing w:val="-3"/>
          <w:sz w:val="18"/>
        </w:rPr>
        <w:t>do not reflect any </w:t>
      </w:r>
      <w:r>
        <w:rPr>
          <w:sz w:val="18"/>
        </w:rPr>
        <w:t>change in MassHealth</w:t>
      </w:r>
      <w:r>
        <w:rPr>
          <w:spacing w:val="-9"/>
          <w:sz w:val="18"/>
        </w:rPr>
        <w:t> </w:t>
      </w:r>
      <w:r>
        <w:rPr>
          <w:sz w:val="18"/>
        </w:rPr>
        <w:t>policy.</w:t>
      </w:r>
    </w:p>
    <w:p>
      <w:pPr>
        <w:spacing w:before="54"/>
        <w:ind w:left="1000" w:right="0" w:firstLine="0"/>
        <w:jc w:val="left"/>
        <w:rPr>
          <w:b/>
          <w:sz w:val="18"/>
        </w:rPr>
      </w:pPr>
      <w:r>
        <w:rPr>
          <w:sz w:val="18"/>
        </w:rPr>
        <w:t>Evoclin (clindamycin foam) </w:t>
      </w:r>
      <w:r>
        <w:rPr>
          <w:b/>
          <w:sz w:val="18"/>
        </w:rPr>
        <w:t>– PA </w:t>
      </w:r>
      <w:r>
        <w:rPr>
          <w:b/>
          <w:sz w:val="18"/>
          <w:u w:val="single"/>
        </w:rPr>
        <w:t>&gt;</w:t>
      </w:r>
      <w:r>
        <w:rPr>
          <w:b/>
          <w:sz w:val="18"/>
        </w:rPr>
        <w:t> 22 years</w:t>
      </w:r>
    </w:p>
    <w:p>
      <w:pPr>
        <w:spacing w:line="240" w:lineRule="auto" w:before="124"/>
        <w:ind w:left="285" w:right="627" w:hanging="173"/>
        <w:jc w:val="both"/>
        <w:rPr>
          <w:sz w:val="16"/>
        </w:rPr>
      </w:pPr>
      <w:r>
        <w:rPr>
          <w:b/>
          <w:sz w:val="18"/>
        </w:rPr>
        <w:t>^ </w:t>
      </w:r>
      <w:r>
        <w:rPr>
          <w:sz w:val="16"/>
        </w:rPr>
        <w:t>This drug is available through the health care professional who administers the drug. Medicaid does not pay for this drug </w:t>
      </w:r>
      <w:r>
        <w:rPr>
          <w:spacing w:val="1"/>
          <w:sz w:val="16"/>
        </w:rPr>
        <w:t>to</w:t>
      </w:r>
      <w:r>
        <w:rPr>
          <w:spacing w:val="-33"/>
          <w:sz w:val="16"/>
        </w:rPr>
        <w:t> </w:t>
      </w:r>
      <w:r>
        <w:rPr>
          <w:sz w:val="16"/>
        </w:rPr>
        <w:t>be dispensed through a retail</w:t>
      </w:r>
      <w:r>
        <w:rPr>
          <w:spacing w:val="-8"/>
          <w:sz w:val="16"/>
        </w:rPr>
        <w:t> </w:t>
      </w:r>
      <w:r>
        <w:rPr>
          <w:sz w:val="16"/>
        </w:rPr>
        <w:t>pharmacy</w:t>
      </w:r>
    </w:p>
    <w:p>
      <w:pPr>
        <w:pStyle w:val="Heading1"/>
        <w:spacing w:line="237" w:lineRule="auto"/>
        <w:ind w:right="268"/>
        <w:rPr>
          <w:b/>
        </w:rPr>
      </w:pPr>
      <w:r>
        <w:rPr>
          <w:b/>
        </w:rPr>
        <w:t>Reminder about Claims Processing When MassHealth is a Secondary Insurer</w:t>
      </w:r>
    </w:p>
    <w:p>
      <w:pPr>
        <w:pStyle w:val="Heading3"/>
        <w:ind w:left="112" w:right="260"/>
      </w:pPr>
      <w:r>
        <w:rPr/>
        <w:t>When a pharmacy is not a participating provider for a MassHealth member’s primary insurance, or the pharmacy receives a message from the primary insurer that a product is covered only at certain network pharmacies, the pharmacy cannot appropriately bill MassHealth as the primary payer using Other Coverage Code 3.</w:t>
      </w:r>
    </w:p>
    <w:p>
      <w:pPr>
        <w:spacing w:before="79"/>
        <w:ind w:left="112" w:right="55" w:firstLine="0"/>
        <w:jc w:val="left"/>
        <w:rPr>
          <w:sz w:val="20"/>
        </w:rPr>
      </w:pPr>
      <w:r>
        <w:rPr>
          <w:sz w:val="20"/>
        </w:rPr>
        <w:t>In these instances, the pharmacy must instruct the member that they need to use a participating pharmacy of the primary insurer.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00" w:bottom="280" w:left="900" w:right="880"/>
          <w:cols w:num="2" w:equalWidth="0">
            <w:col w:w="5031" w:space="90"/>
            <w:col w:w="5339"/>
          </w:cols>
        </w:sectPr>
      </w:pP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50.039001pt;margin-top:19.762995pt;width:542.4pt;height:107.25pt;mso-position-horizontal-relative:page;mso-position-vertical-relative:page;z-index:-3640" coordorigin="1001,395" coordsize="10848,2145">
            <v:shape style="position:absolute;left:1000;top:395;width:10848;height:214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61;top:1328;width:1192;height:50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Number 70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March 19, 2012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35" w:lineRule="auto" w:before="98"/>
        <w:ind w:left="3837" w:right="1040" w:hanging="1719"/>
        <w:jc w:val="left"/>
        <w:rPr>
          <w:i/>
          <w:sz w:val="20"/>
        </w:rPr>
      </w:pPr>
      <w:r>
        <w:rPr>
          <w:i/>
          <w:sz w:val="20"/>
        </w:rPr>
        <w:t>Please direct any questions or comments (or to be taken off this fax distribution) to </w:t>
      </w:r>
      <w:r>
        <w:rPr>
          <w:i/>
          <w:sz w:val="20"/>
        </w:rPr>
        <w:t>Victor Moquin of ACS at 617-423-9830.</w:t>
      </w:r>
    </w:p>
    <w:sectPr>
      <w:type w:val="continuous"/>
      <w:pgSz w:w="12240" w:h="15840"/>
      <w:pgMar w:top="400" w:bottom="28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2" w:hanging="361"/>
        <w:jc w:val="right"/>
      </w:pPr>
      <w:rPr>
        <w:rFonts w:hint="default" w:ascii="Arial" w:hAnsi="Arial" w:eastAsia="Arial" w:cs="Arial"/>
        <w:b/>
        <w:bCs/>
        <w:spacing w:val="-2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4" w:hanging="211"/>
        <w:jc w:val="left"/>
      </w:pPr>
      <w:rPr>
        <w:rFonts w:hint="default" w:ascii="Arial" w:hAnsi="Arial" w:eastAsia="Arial" w:cs="Arial"/>
        <w:spacing w:val="-1"/>
        <w:w w:val="101"/>
        <w:sz w:val="18"/>
        <w:szCs w:val="18"/>
      </w:rPr>
    </w:lvl>
    <w:lvl w:ilvl="2">
      <w:start w:val="0"/>
      <w:numFmt w:val="bullet"/>
      <w:lvlText w:val="•"/>
      <w:lvlJc w:val="left"/>
      <w:pPr>
        <w:ind w:left="840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0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32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5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3" w:hanging="2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27"/>
      <w:ind w:left="112"/>
      <w:outlineLvl w:val="1"/>
    </w:pPr>
    <w:rPr>
      <w:rFonts w:ascii="Arial Black" w:hAnsi="Arial Black" w:eastAsia="Arial Black" w:cs="Arial Black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472" w:hanging="360"/>
      <w:outlineLvl w:val="2"/>
    </w:pPr>
    <w:rPr>
      <w:rFonts w:ascii="Arial" w:hAnsi="Arial" w:eastAsia="Arial" w:cs="Arial"/>
      <w:b/>
      <w:bCs/>
      <w:sz w:val="20"/>
      <w:szCs w:val="20"/>
    </w:rPr>
  </w:style>
  <w:style w:styleId="Heading3" w:type="paragraph">
    <w:name w:val="Heading 3"/>
    <w:basedOn w:val="Normal"/>
    <w:uiPriority w:val="1"/>
    <w:qFormat/>
    <w:pPr>
      <w:ind w:left="487"/>
      <w:outlineLvl w:val="3"/>
    </w:pPr>
    <w:rPr>
      <w:rFonts w:ascii="Arial" w:hAnsi="Arial" w:eastAsia="Arial" w:cs="Arial"/>
      <w:sz w:val="20"/>
      <w:szCs w:val="20"/>
    </w:rPr>
  </w:style>
  <w:style w:styleId="Heading4" w:type="paragraph">
    <w:name w:val="Heading 4"/>
    <w:basedOn w:val="Normal"/>
    <w:uiPriority w:val="1"/>
    <w:qFormat/>
    <w:pPr>
      <w:ind w:left="727"/>
      <w:outlineLvl w:val="4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7"/>
      <w:ind w:left="674" w:hanging="21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masshealth/pharmacy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2017-11-20T20:25:30Z</dcterms:created>
  <dcterms:modified xsi:type="dcterms:W3CDTF">2017-11-20T20:25:30Z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2012-03-19T00:00:00Z</vt:filetime>
  </property>
  <property fmtid="{D5CDD505-2E9C-101B-9397-08002B2CF9AE}" pid="3" name="LastSaved">
    <vt:filetime>2012-03-19T00:00:00Z</vt:filetime>
  </property>
</Properties>
</file>