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7"/>
        <w:rPr>
          <w:rFonts w:ascii="Times New Roman"/>
          <w:sz w:val="23"/>
        </w:rPr>
      </w:pPr>
    </w:p>
    <w:p>
      <w:pPr>
        <w:spacing w:before="0"/>
        <w:ind w:left="900" w:right="1257" w:firstLine="0"/>
        <w:jc w:val="center"/>
        <w:rPr>
          <w:rFonts w:ascii="Arial Narrow"/>
          <w:sz w:val="18"/>
        </w:rPr>
      </w:pPr>
      <w:r>
        <w:rPr/>
        <w:pict>
          <v:group style="position:absolute;margin-left:50.279999pt;margin-top:-105.210442pt;width:542.4pt;height:107.85pt;mso-position-horizontal-relative:page;mso-position-vertical-relative:paragraph;z-index:-4696" coordorigin="1006,-2104" coordsize="10848,2157">
            <v:shape style="position:absolute;left:1005;top:-2105;width:10848;height:2157" type="#_x0000_t75" stroked="false">
              <v:imagedata r:id="rId5" o:title=""/>
            </v:shape>
            <v:shapetype id="_x0000_t202" o:spt="202" coordsize="21600,21600" path="m,l,21600r21600,l21600,xe">
              <v:stroke joinstyle="miter"/>
              <v:path gradientshapeok="t" o:connecttype="rect"/>
            </v:shapetype>
            <v:shape style="position:absolute;left:1764;top:-1160;width:997;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71</w:t>
                    </w:r>
                  </w:p>
                  <w:p>
                    <w:pPr>
                      <w:spacing w:before="44"/>
                      <w:ind w:left="0" w:right="0" w:firstLine="0"/>
                      <w:jc w:val="left"/>
                      <w:rPr>
                        <w:rFonts w:ascii="Arial Narrow"/>
                        <w:b/>
                        <w:sz w:val="20"/>
                      </w:rPr>
                    </w:pPr>
                    <w:r>
                      <w:rPr>
                        <w:rFonts w:ascii="Arial Narrow"/>
                        <w:b/>
                        <w:sz w:val="20"/>
                      </w:rPr>
                      <w:t>June 4, 2012</w:t>
                    </w:r>
                  </w:p>
                </w:txbxContent>
              </v:textbox>
              <w10:wrap type="none"/>
            </v:shape>
            <v:shape style="position:absolute;left:10340;top:-262;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hyperlink r:id="rId6">
        <w:r>
          <w:rPr>
            <w:rFonts w:ascii="Arial Narrow"/>
            <w:sz w:val="18"/>
          </w:rPr>
          <w:t>www.mass.gov/masshealth/pharmacy</w:t>
        </w:r>
      </w:hyperlink>
    </w:p>
    <w:p>
      <w:pPr>
        <w:pStyle w:val="BodyText"/>
        <w:spacing w:line="20" w:lineRule="exact"/>
        <w:ind w:left="310"/>
        <w:rPr>
          <w:rFonts w:ascii="Arial Narrow"/>
          <w:sz w:val="2"/>
        </w:rPr>
      </w:pPr>
      <w:r>
        <w:rPr>
          <w:rFonts w:ascii="Arial Narrow"/>
          <w:sz w:val="2"/>
        </w:rPr>
        <w:pict>
          <v:group style="width:519.85pt;height:1pt;mso-position-horizontal-relative:char;mso-position-vertical-relative:line" coordorigin="0,0" coordsize="10397,20">
            <v:line style="position:absolute" from="0,10" to="10397,10" stroked="true" strokeweight=".95996pt" strokecolor="#000000">
              <v:stroke dashstyle="solid"/>
            </v:line>
          </v:group>
        </w:pict>
      </w:r>
      <w:r>
        <w:rPr>
          <w:rFonts w:ascii="Arial Narrow"/>
          <w:sz w:val="2"/>
        </w:rPr>
      </w:r>
    </w:p>
    <w:p>
      <w:pPr>
        <w:pStyle w:val="ListParagraph"/>
        <w:numPr>
          <w:ilvl w:val="0"/>
          <w:numId w:val="1"/>
        </w:numPr>
        <w:tabs>
          <w:tab w:pos="2048" w:val="left" w:leader="none"/>
        </w:tabs>
        <w:spacing w:line="240" w:lineRule="auto" w:before="0" w:after="0"/>
        <w:ind w:left="2047"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p>
      <w:pPr>
        <w:pStyle w:val="BodyText"/>
        <w:spacing w:before="1"/>
        <w:rPr>
          <w:rFonts w:ascii="Arial Black"/>
          <w:b/>
          <w:sz w:val="12"/>
        </w:rPr>
      </w:pPr>
    </w:p>
    <w:p>
      <w:pPr>
        <w:spacing w:after="0"/>
        <w:rPr>
          <w:rFonts w:ascii="Arial Black"/>
          <w:sz w:val="12"/>
        </w:rPr>
        <w:sectPr>
          <w:type w:val="continuous"/>
          <w:pgSz w:w="12240" w:h="15840"/>
          <w:pgMar w:top="380" w:bottom="280" w:left="760" w:right="580"/>
        </w:sectPr>
      </w:pPr>
    </w:p>
    <w:p>
      <w:pPr>
        <w:pStyle w:val="Heading1"/>
        <w:ind w:left="428"/>
        <w:rPr>
          <w:b/>
        </w:rPr>
      </w:pPr>
      <w:r>
        <w:rPr/>
        <w:pict>
          <v:group style="position:absolute;margin-left:45.360001pt;margin-top:-5.993563pt;width:531pt;height:608pt;mso-position-horizontal-relative:page;mso-position-vertical-relative:paragraph;z-index:-4672" coordorigin="907,-120" coordsize="10620,12160">
            <v:shape style="position:absolute;left:1080;top:-111;width:10397;height:2" coordorigin="1080,-110" coordsize="10397,0" path="m1080,-110l6169,-110m6169,-110l11477,-110e" filled="false" stroked="true" strokeweight=".96002pt" strokecolor="#000000">
              <v:path arrowok="t"/>
              <v:stroke dashstyle="solid"/>
            </v:shape>
            <v:line style="position:absolute" from="6174,-101" to="6174,11968" stroked="true" strokeweight=".48001pt" strokecolor="#000000">
              <v:stroke dashstyle="solid"/>
            </v:line>
            <v:line style="position:absolute" from="907,12033" to="11527,12033" stroked="true" strokeweight=".75pt" strokecolor="#000000">
              <v:stroke dashstyle="solid"/>
            </v:line>
            <w10:wrap type="none"/>
          </v:group>
        </w:pict>
      </w:r>
      <w:r>
        <w:rPr>
          <w:b/>
        </w:rPr>
        <w:t>POPS Billing Guide</w:t>
      </w:r>
    </w:p>
    <w:p>
      <w:pPr>
        <w:pStyle w:val="BodyText"/>
        <w:spacing w:before="119"/>
        <w:ind w:left="445" w:right="-19" w:hanging="18"/>
      </w:pPr>
      <w:r>
        <w:rPr/>
        <w:t>MassHealth has posted a revised version of the POPS Billing Guide on the MassHealth Pharmacy Program web page. To view the current guide, go to </w:t>
      </w:r>
      <w:hyperlink r:id="rId6">
        <w:r>
          <w:rPr/>
          <w:t>www.mass.gov/masshealth/pharmacy </w:t>
        </w:r>
      </w:hyperlink>
      <w:r>
        <w:rPr/>
        <w:t>and click on the link for MassHealth Pharmacy Publications and Notices for Pharmacy Providers, then on POPS Billing Guide.</w:t>
      </w:r>
    </w:p>
    <w:p>
      <w:pPr>
        <w:pStyle w:val="BodyText"/>
        <w:spacing w:before="119"/>
        <w:ind w:left="442" w:right="1" w:hanging="15"/>
      </w:pPr>
      <w:r>
        <w:rPr/>
        <w:t>Please note that ACS, a Xerox Company, is now Xerox State Healthcare, LLC. You will see this change reflected in the POPS Billing Guide under Where to Get Help. The Pharmacy Technical Help Desk phone number (1-866-246-8503) has not changed and is available 24 hours a day, seven days a week.</w:t>
      </w:r>
    </w:p>
    <w:p>
      <w:pPr>
        <w:pStyle w:val="BodyText"/>
        <w:spacing w:before="120"/>
        <w:ind w:left="442" w:right="59" w:hanging="15"/>
      </w:pPr>
      <w:r>
        <w:rPr/>
        <w:t>Below are some changes of interest for certain claims processing issues.</w:t>
      </w:r>
    </w:p>
    <w:p>
      <w:pPr>
        <w:pStyle w:val="BodyText"/>
        <w:spacing w:before="4"/>
        <w:rPr>
          <w:sz w:val="17"/>
        </w:rPr>
      </w:pPr>
    </w:p>
    <w:p>
      <w:pPr>
        <w:pStyle w:val="Heading2"/>
        <w:numPr>
          <w:ilvl w:val="0"/>
          <w:numId w:val="2"/>
        </w:numPr>
        <w:tabs>
          <w:tab w:pos="789" w:val="left" w:leader="none"/>
        </w:tabs>
        <w:spacing w:line="240" w:lineRule="auto" w:before="1" w:after="0"/>
        <w:ind w:left="603" w:right="0" w:hanging="176"/>
        <w:jc w:val="left"/>
      </w:pPr>
      <w:r>
        <w:rPr/>
        <w:t>Member Date of</w:t>
      </w:r>
      <w:r>
        <w:rPr>
          <w:spacing w:val="-4"/>
        </w:rPr>
        <w:t> </w:t>
      </w:r>
      <w:r>
        <w:rPr/>
        <w:t>Birth</w:t>
      </w:r>
    </w:p>
    <w:p>
      <w:pPr>
        <w:pStyle w:val="BodyText"/>
        <w:spacing w:before="119"/>
        <w:ind w:left="427" w:right="215"/>
      </w:pPr>
      <w:r>
        <w:rPr/>
        <w:t>MassHealth will deny claims if the member’s date of birth submitted on the pharmacy claim does not match the date of birth that MassHealth has on file for the member. The message you will see is</w:t>
      </w:r>
    </w:p>
    <w:p>
      <w:pPr>
        <w:pStyle w:val="BodyText"/>
        <w:spacing w:before="161"/>
        <w:ind w:left="687" w:right="867"/>
      </w:pPr>
      <w:r>
        <w:rPr/>
        <w:t>“THE DATE OF BIRTH ENTERED DOES NOT MATCH THE DATE OF BIRTH ON FILE WITH MASSHEALTH.”</w:t>
      </w:r>
    </w:p>
    <w:p>
      <w:pPr>
        <w:pStyle w:val="BodyText"/>
        <w:spacing w:before="120"/>
        <w:ind w:left="427" w:right="348"/>
      </w:pPr>
      <w:r>
        <w:rPr/>
        <w:t>When you see this message, you should verify the member’s MassHealth ID # and date of birth, then reprocess the claim with correct information, as necessary.</w:t>
      </w:r>
    </w:p>
    <w:p>
      <w:pPr>
        <w:pStyle w:val="BodyText"/>
        <w:spacing w:before="119"/>
        <w:ind w:left="427" w:right="103"/>
      </w:pPr>
      <w:r>
        <w:rPr/>
        <w:t>Pharmacies can use the MassHealth Eligibility Verification System (EVS) or contact the Xerox Technical Help Desk at 1-866-246-8503 to determine date of birth that is listed on file for the member.</w:t>
      </w:r>
    </w:p>
    <w:p>
      <w:pPr>
        <w:pStyle w:val="BodyText"/>
        <w:spacing w:before="121"/>
        <w:ind w:left="427" w:right="114"/>
      </w:pPr>
      <w:r>
        <w:rPr/>
        <w:t>Please note that Xerox cannot change a member’s date of birth. If the member’s date of birth is incorrect on the MassHealth file, the member must contact MassHealth Customer Service at 1-800-841-2900 for assistance (Hours: Monday – Friday, excluding holidays, 8:00 A.M. – 5:00 P.M.). MassHealth Customer Service will guide the member though the necessary steps to resolve this issue.</w:t>
      </w:r>
    </w:p>
    <w:p>
      <w:pPr>
        <w:pStyle w:val="Heading2"/>
        <w:numPr>
          <w:ilvl w:val="0"/>
          <w:numId w:val="2"/>
        </w:numPr>
        <w:tabs>
          <w:tab w:pos="603" w:val="left" w:leader="none"/>
          <w:tab w:pos="604" w:val="left" w:leader="none"/>
        </w:tabs>
        <w:spacing w:line="240" w:lineRule="auto" w:before="99" w:after="0"/>
        <w:ind w:left="603" w:right="1279" w:hanging="374"/>
        <w:jc w:val="left"/>
      </w:pPr>
      <w:r>
        <w:rPr>
          <w:spacing w:val="-1"/>
          <w:w w:val="100"/>
        </w:rPr>
        <w:br w:type="column"/>
      </w:r>
      <w:r>
        <w:rPr/>
        <w:t>Claim Submission When MassHealth</w:t>
      </w:r>
      <w:r>
        <w:rPr>
          <w:spacing w:val="-26"/>
        </w:rPr>
        <w:t> </w:t>
      </w:r>
      <w:r>
        <w:rPr/>
        <w:t>is Secondary</w:t>
      </w:r>
      <w:r>
        <w:rPr>
          <w:spacing w:val="-3"/>
        </w:rPr>
        <w:t> </w:t>
      </w:r>
      <w:r>
        <w:rPr/>
        <w:t>Insurer</w:t>
      </w:r>
    </w:p>
    <w:p>
      <w:pPr>
        <w:pStyle w:val="ListParagraph"/>
        <w:numPr>
          <w:ilvl w:val="1"/>
          <w:numId w:val="2"/>
        </w:numPr>
        <w:tabs>
          <w:tab w:pos="948" w:val="left" w:leader="none"/>
        </w:tabs>
        <w:spacing w:line="240" w:lineRule="auto" w:before="119" w:after="0"/>
        <w:ind w:left="963" w:right="457" w:hanging="360"/>
        <w:jc w:val="left"/>
        <w:rPr>
          <w:rFonts w:ascii="Arial"/>
          <w:sz w:val="20"/>
        </w:rPr>
      </w:pPr>
      <w:r>
        <w:rPr>
          <w:rFonts w:ascii="Arial"/>
          <w:sz w:val="20"/>
        </w:rPr>
        <w:t>When MassHealth is the secondary insurer</w:t>
      </w:r>
      <w:r>
        <w:rPr>
          <w:rFonts w:ascii="Arial"/>
          <w:spacing w:val="-17"/>
          <w:sz w:val="20"/>
        </w:rPr>
        <w:t> </w:t>
      </w:r>
      <w:r>
        <w:rPr>
          <w:rFonts w:ascii="Arial"/>
          <w:sz w:val="20"/>
        </w:rPr>
        <w:t>and Medicare B is the primary</w:t>
      </w:r>
      <w:r>
        <w:rPr>
          <w:rFonts w:ascii="Arial"/>
          <w:spacing w:val="-9"/>
          <w:sz w:val="20"/>
        </w:rPr>
        <w:t> </w:t>
      </w:r>
      <w:r>
        <w:rPr>
          <w:rFonts w:ascii="Arial"/>
          <w:sz w:val="20"/>
        </w:rPr>
        <w:t>insurer:</w:t>
      </w:r>
    </w:p>
    <w:p>
      <w:pPr>
        <w:pStyle w:val="ListParagraph"/>
        <w:numPr>
          <w:ilvl w:val="2"/>
          <w:numId w:val="2"/>
        </w:numPr>
        <w:tabs>
          <w:tab w:pos="1211" w:val="left" w:leader="none"/>
        </w:tabs>
        <w:spacing w:line="235" w:lineRule="auto" w:before="128" w:after="0"/>
        <w:ind w:left="967" w:right="335" w:hanging="18"/>
        <w:jc w:val="left"/>
        <w:rPr>
          <w:sz w:val="20"/>
        </w:rPr>
      </w:pPr>
      <w:r>
        <w:rPr>
          <w:sz w:val="20"/>
        </w:rPr>
        <w:t>For claims </w:t>
      </w:r>
      <w:r>
        <w:rPr>
          <w:b/>
          <w:sz w:val="20"/>
        </w:rPr>
        <w:t>approved </w:t>
      </w:r>
      <w:r>
        <w:rPr>
          <w:sz w:val="20"/>
        </w:rPr>
        <w:t>by Medicare B where MassHealth is the secondary insurer, enter 99 as the Other Payer ID Qualifier (NCPDP Field 339- 6C) and enter the applicable Medicare B carrier code (listed in Appendix C of the </w:t>
      </w:r>
      <w:r>
        <w:rPr>
          <w:i/>
          <w:sz w:val="21"/>
        </w:rPr>
        <w:t>MassHealth Pharmacy Manual</w:t>
      </w:r>
      <w:r>
        <w:rPr>
          <w:sz w:val="20"/>
        </w:rPr>
        <w:t>) in the corresponding Other Payer ID (NCPDP Field</w:t>
      </w:r>
      <w:r>
        <w:rPr>
          <w:spacing w:val="-6"/>
          <w:sz w:val="20"/>
        </w:rPr>
        <w:t> </w:t>
      </w:r>
      <w:r>
        <w:rPr>
          <w:sz w:val="20"/>
        </w:rPr>
        <w:t>340-7C).</w:t>
      </w:r>
    </w:p>
    <w:p>
      <w:pPr>
        <w:spacing w:before="164"/>
        <w:ind w:left="949" w:right="730" w:firstLine="0"/>
        <w:jc w:val="left"/>
        <w:rPr>
          <w:sz w:val="19"/>
        </w:rPr>
      </w:pPr>
      <w:r>
        <w:rPr>
          <w:sz w:val="19"/>
        </w:rPr>
        <w:t>Appendix C lists the MassHealth TPL carrier codes. To access the Pharmacy Manual, go to </w:t>
      </w:r>
      <w:hyperlink r:id="rId7">
        <w:r>
          <w:rPr>
            <w:color w:val="0000FF"/>
            <w:sz w:val="19"/>
            <w:u w:val="single" w:color="0000FF"/>
          </w:rPr>
          <w:t>www.mass.gov/masshealthpubs</w:t>
        </w:r>
        <w:r>
          <w:rPr>
            <w:sz w:val="19"/>
          </w:rPr>
          <w:t>. </w:t>
        </w:r>
      </w:hyperlink>
      <w:r>
        <w:rPr>
          <w:sz w:val="19"/>
        </w:rPr>
        <w:t>Click on Provider Library, then on MassHealth Provider Manuals, then on Pharmacy Manual.</w:t>
      </w:r>
    </w:p>
    <w:p>
      <w:pPr>
        <w:pStyle w:val="ListParagraph"/>
        <w:numPr>
          <w:ilvl w:val="2"/>
          <w:numId w:val="2"/>
        </w:numPr>
        <w:tabs>
          <w:tab w:pos="1257" w:val="left" w:leader="none"/>
        </w:tabs>
        <w:spacing w:line="240" w:lineRule="auto" w:before="162" w:after="0"/>
        <w:ind w:left="967" w:right="287" w:hanging="18"/>
        <w:jc w:val="left"/>
        <w:rPr>
          <w:sz w:val="20"/>
        </w:rPr>
      </w:pPr>
      <w:r>
        <w:rPr>
          <w:sz w:val="20"/>
        </w:rPr>
        <w:t>For claims </w:t>
      </w:r>
      <w:r>
        <w:rPr>
          <w:b/>
          <w:sz w:val="20"/>
        </w:rPr>
        <w:t>denied </w:t>
      </w:r>
      <w:r>
        <w:rPr>
          <w:sz w:val="20"/>
        </w:rPr>
        <w:t>by Medicare B, enter 99 as the Other Payer ID Qualifier and enter the applicable Medicare B carrier code (listed in Appendix C) as the corresponding Other Payer ID.</w:t>
      </w:r>
    </w:p>
    <w:p>
      <w:pPr>
        <w:pStyle w:val="ListParagraph"/>
        <w:numPr>
          <w:ilvl w:val="1"/>
          <w:numId w:val="2"/>
        </w:numPr>
        <w:tabs>
          <w:tab w:pos="965" w:val="left" w:leader="none"/>
        </w:tabs>
        <w:spacing w:line="240" w:lineRule="auto" w:before="117" w:after="0"/>
        <w:ind w:left="963" w:right="438" w:hanging="360"/>
        <w:jc w:val="left"/>
        <w:rPr>
          <w:rFonts w:ascii="Arial"/>
          <w:sz w:val="20"/>
        </w:rPr>
      </w:pPr>
      <w:r>
        <w:rPr>
          <w:rFonts w:ascii="Arial"/>
          <w:sz w:val="20"/>
        </w:rPr>
        <w:t>When MassHealth is the secondary insurer and Medicare-C or D is the primary</w:t>
      </w:r>
      <w:r>
        <w:rPr>
          <w:rFonts w:ascii="Arial"/>
          <w:spacing w:val="-13"/>
          <w:sz w:val="20"/>
        </w:rPr>
        <w:t> </w:t>
      </w:r>
      <w:r>
        <w:rPr>
          <w:rFonts w:ascii="Arial"/>
          <w:sz w:val="20"/>
        </w:rPr>
        <w:t>insurer:</w:t>
      </w:r>
    </w:p>
    <w:p>
      <w:pPr>
        <w:pStyle w:val="ListParagraph"/>
        <w:numPr>
          <w:ilvl w:val="2"/>
          <w:numId w:val="2"/>
        </w:numPr>
        <w:tabs>
          <w:tab w:pos="1211" w:val="left" w:leader="none"/>
        </w:tabs>
        <w:spacing w:line="240" w:lineRule="auto" w:before="122" w:after="0"/>
        <w:ind w:left="963" w:right="313" w:hanging="14"/>
        <w:jc w:val="left"/>
        <w:rPr>
          <w:sz w:val="20"/>
        </w:rPr>
      </w:pPr>
      <w:r>
        <w:rPr>
          <w:sz w:val="20"/>
        </w:rPr>
        <w:t>For claims </w:t>
      </w:r>
      <w:r>
        <w:rPr>
          <w:b/>
          <w:sz w:val="20"/>
        </w:rPr>
        <w:t>approved </w:t>
      </w:r>
      <w:r>
        <w:rPr>
          <w:sz w:val="20"/>
        </w:rPr>
        <w:t>by Medicare C or D where MassHealth is the secondary insurer, enter 99 as the Other Payer ID Qualifier and enter the applicable Medicare C or D carrier code (listed in Appendix C) as the corresponding Other Payer</w:t>
      </w:r>
      <w:r>
        <w:rPr>
          <w:spacing w:val="-1"/>
          <w:sz w:val="20"/>
        </w:rPr>
        <w:t> </w:t>
      </w:r>
      <w:r>
        <w:rPr>
          <w:sz w:val="20"/>
        </w:rPr>
        <w:t>ID.</w:t>
      </w:r>
    </w:p>
    <w:p>
      <w:pPr>
        <w:pStyle w:val="ListParagraph"/>
        <w:numPr>
          <w:ilvl w:val="2"/>
          <w:numId w:val="2"/>
        </w:numPr>
        <w:tabs>
          <w:tab w:pos="1257" w:val="left" w:leader="none"/>
        </w:tabs>
        <w:spacing w:line="240" w:lineRule="auto" w:before="120" w:after="0"/>
        <w:ind w:left="963" w:right="359" w:hanging="14"/>
        <w:jc w:val="left"/>
        <w:rPr>
          <w:sz w:val="20"/>
        </w:rPr>
      </w:pPr>
      <w:r>
        <w:rPr>
          <w:sz w:val="20"/>
        </w:rPr>
        <w:t>For claims </w:t>
      </w:r>
      <w:r>
        <w:rPr>
          <w:b/>
          <w:sz w:val="20"/>
        </w:rPr>
        <w:t>denied </w:t>
      </w:r>
      <w:r>
        <w:rPr>
          <w:sz w:val="20"/>
        </w:rPr>
        <w:t>by Medicare C or D, enter 99 as the Other Payer ID Qualifier and enter the applicable Medicare C or D carrier code (listed in Appendix C) as the corresponding Other Payer ID.</w:t>
      </w:r>
    </w:p>
    <w:p>
      <w:pPr>
        <w:spacing w:before="118"/>
        <w:ind w:left="949" w:right="576" w:firstLine="0"/>
        <w:jc w:val="left"/>
        <w:rPr>
          <w:sz w:val="18"/>
        </w:rPr>
      </w:pPr>
      <w:r>
        <w:rPr>
          <w:sz w:val="18"/>
          <w:u w:val="single"/>
        </w:rPr>
        <w:t>Note 1</w:t>
      </w:r>
      <w:r>
        <w:rPr>
          <w:sz w:val="18"/>
        </w:rPr>
        <w:t>: Only a Medicare C or D carrier code may be used to override a member’s C or D coverage when there is no payment and the claim is a one- time, 72-hour override.</w:t>
      </w:r>
    </w:p>
    <w:p>
      <w:pPr>
        <w:spacing w:before="120"/>
        <w:ind w:left="949" w:right="515" w:firstLine="0"/>
        <w:jc w:val="left"/>
        <w:rPr>
          <w:sz w:val="18"/>
        </w:rPr>
      </w:pPr>
      <w:r>
        <w:rPr>
          <w:sz w:val="18"/>
          <w:u w:val="single"/>
        </w:rPr>
        <w:t>Note 2</w:t>
      </w:r>
      <w:r>
        <w:rPr>
          <w:sz w:val="18"/>
        </w:rPr>
        <w:t>: Medications excluded from the Medicare D Drug Program will continue to be covered for MassHealth members who are dually eligible for both Medicare and MassHealth, as long as the drug is also covered by MassHealth. Claims submitted to MassHealth for these excluded medications do not require the completion of a Coordination of Benefits/Other Payment Segment.</w:t>
      </w:r>
    </w:p>
    <w:p>
      <w:pPr>
        <w:spacing w:after="0"/>
        <w:jc w:val="left"/>
        <w:rPr>
          <w:sz w:val="18"/>
        </w:rPr>
        <w:sectPr>
          <w:type w:val="continuous"/>
          <w:pgSz w:w="12240" w:h="15840"/>
          <w:pgMar w:top="380" w:bottom="280" w:left="760" w:right="580"/>
          <w:cols w:num="2" w:equalWidth="0">
            <w:col w:w="5253" w:space="40"/>
            <w:col w:w="5607"/>
          </w:cols>
        </w:sectPr>
      </w:pPr>
    </w:p>
    <w:p>
      <w:pPr>
        <w:tabs>
          <w:tab w:pos="9677" w:val="left" w:leader="none"/>
        </w:tabs>
        <w:spacing w:before="72"/>
        <w:ind w:left="111" w:right="0" w:firstLine="0"/>
        <w:jc w:val="left"/>
        <w:rPr>
          <w:rFonts w:ascii="Arial Black"/>
          <w:b/>
          <w:sz w:val="18"/>
        </w:rPr>
      </w:pPr>
      <w:r>
        <w:rPr>
          <w:rFonts w:ascii="Arial Black"/>
          <w:b/>
          <w:sz w:val="18"/>
        </w:rPr>
        <w:t>Pharmacy Facts,</w:t>
      </w:r>
      <w:r>
        <w:rPr>
          <w:rFonts w:ascii="Arial Black"/>
          <w:b/>
          <w:spacing w:val="-5"/>
          <w:sz w:val="18"/>
        </w:rPr>
        <w:t> </w:t>
      </w:r>
      <w:r>
        <w:rPr>
          <w:rFonts w:ascii="Arial Black"/>
          <w:b/>
          <w:sz w:val="18"/>
        </w:rPr>
        <w:t>Number</w:t>
      </w:r>
      <w:r>
        <w:rPr>
          <w:rFonts w:ascii="Arial Black"/>
          <w:b/>
          <w:spacing w:val="-3"/>
          <w:sz w:val="18"/>
        </w:rPr>
        <w:t> </w:t>
      </w:r>
      <w:r>
        <w:rPr>
          <w:rFonts w:ascii="Arial Black"/>
          <w:b/>
          <w:sz w:val="18"/>
        </w:rPr>
        <w:t>71</w:t>
        <w:tab/>
        <w:t>Page 2 of</w:t>
      </w:r>
      <w:r>
        <w:rPr>
          <w:rFonts w:ascii="Arial Black"/>
          <w:b/>
          <w:spacing w:val="-5"/>
          <w:sz w:val="18"/>
        </w:rPr>
        <w:t> </w:t>
      </w:r>
      <w:r>
        <w:rPr>
          <w:rFonts w:ascii="Arial Black"/>
          <w:b/>
          <w:sz w:val="18"/>
        </w:rPr>
        <w:t>2</w:t>
      </w:r>
    </w:p>
    <w:p>
      <w:pPr>
        <w:pStyle w:val="BodyText"/>
        <w:spacing w:before="3"/>
        <w:rPr>
          <w:rFonts w:ascii="Arial Black"/>
          <w:b/>
          <w:sz w:val="11"/>
        </w:rPr>
      </w:pPr>
    </w:p>
    <w:p>
      <w:pPr>
        <w:spacing w:after="0"/>
        <w:rPr>
          <w:rFonts w:ascii="Arial Black"/>
          <w:sz w:val="11"/>
        </w:rPr>
        <w:sectPr>
          <w:pgSz w:w="12240" w:h="15840"/>
          <w:pgMar w:top="360" w:bottom="280" w:left="760" w:right="580"/>
        </w:sectPr>
      </w:pPr>
    </w:p>
    <w:p>
      <w:pPr>
        <w:pStyle w:val="ListParagraph"/>
        <w:numPr>
          <w:ilvl w:val="1"/>
          <w:numId w:val="2"/>
        </w:numPr>
        <w:tabs>
          <w:tab w:pos="522" w:val="left" w:leader="none"/>
        </w:tabs>
        <w:spacing w:line="240" w:lineRule="auto" w:before="94" w:after="0"/>
        <w:ind w:left="521" w:right="446" w:hanging="360"/>
        <w:jc w:val="left"/>
        <w:rPr>
          <w:rFonts w:ascii="Arial"/>
          <w:sz w:val="20"/>
        </w:rPr>
      </w:pPr>
      <w:r>
        <w:rPr>
          <w:rFonts w:ascii="Arial"/>
          <w:sz w:val="20"/>
        </w:rPr>
        <w:t>When MassHealth is the secondary insurer and a commercial insurer is the primary</w:t>
      </w:r>
      <w:r>
        <w:rPr>
          <w:rFonts w:ascii="Arial"/>
          <w:spacing w:val="-8"/>
          <w:sz w:val="20"/>
        </w:rPr>
        <w:t> </w:t>
      </w:r>
      <w:r>
        <w:rPr>
          <w:rFonts w:ascii="Arial"/>
          <w:sz w:val="20"/>
        </w:rPr>
        <w:t>insurer:</w:t>
      </w:r>
    </w:p>
    <w:p>
      <w:pPr>
        <w:pStyle w:val="ListParagraph"/>
        <w:numPr>
          <w:ilvl w:val="2"/>
          <w:numId w:val="2"/>
        </w:numPr>
        <w:tabs>
          <w:tab w:pos="784" w:val="left" w:leader="none"/>
        </w:tabs>
        <w:spacing w:line="240" w:lineRule="auto" w:before="122" w:after="0"/>
        <w:ind w:left="534" w:right="74" w:hanging="13"/>
        <w:jc w:val="left"/>
        <w:rPr>
          <w:sz w:val="20"/>
        </w:rPr>
      </w:pPr>
      <w:r>
        <w:rPr>
          <w:sz w:val="20"/>
        </w:rPr>
        <w:t>For claims </w:t>
      </w:r>
      <w:r>
        <w:rPr>
          <w:b/>
          <w:sz w:val="20"/>
        </w:rPr>
        <w:t>approved </w:t>
      </w:r>
      <w:r>
        <w:rPr>
          <w:sz w:val="20"/>
        </w:rPr>
        <w:t>by the commercial insurer, the Other Payer ID Qualifier must be equal to 99 and the corresponding Other Payer ID must be one of the commercial carrier codes listed in Appendix C or the Other Payer ID Qualifier must be equal to 03 and the corresponding Other Payer ID (BIN) must be known to the Pharmacy On Line Processing System (POPS) system.</w:t>
      </w:r>
    </w:p>
    <w:p>
      <w:pPr>
        <w:pStyle w:val="ListParagraph"/>
        <w:numPr>
          <w:ilvl w:val="2"/>
          <w:numId w:val="2"/>
        </w:numPr>
        <w:tabs>
          <w:tab w:pos="830" w:val="left" w:leader="none"/>
        </w:tabs>
        <w:spacing w:line="240" w:lineRule="auto" w:before="120" w:after="0"/>
        <w:ind w:left="534" w:right="356" w:hanging="13"/>
        <w:jc w:val="left"/>
        <w:rPr>
          <w:sz w:val="20"/>
        </w:rPr>
      </w:pPr>
      <w:r>
        <w:rPr>
          <w:sz w:val="20"/>
        </w:rPr>
        <w:t>For claims </w:t>
      </w:r>
      <w:r>
        <w:rPr>
          <w:b/>
          <w:sz w:val="20"/>
        </w:rPr>
        <w:t>denied </w:t>
      </w:r>
      <w:r>
        <w:rPr>
          <w:sz w:val="20"/>
        </w:rPr>
        <w:t>by the commercial insurer, enter 99 as the Other Payer ID Qualifier and enter one of the commercial carrier codes listed in Appendix C as the corresponding Other Payer</w:t>
      </w:r>
      <w:r>
        <w:rPr>
          <w:spacing w:val="-19"/>
          <w:sz w:val="20"/>
        </w:rPr>
        <w:t> </w:t>
      </w:r>
      <w:r>
        <w:rPr>
          <w:sz w:val="20"/>
        </w:rPr>
        <w:t>ID.</w:t>
      </w:r>
    </w:p>
    <w:p>
      <w:pPr>
        <w:pStyle w:val="BodyText"/>
        <w:spacing w:before="120"/>
        <w:ind w:left="534" w:right="64" w:hanging="14"/>
        <w:rPr>
          <w:rFonts w:ascii="Tahoma" w:hAnsi="Tahoma"/>
        </w:rPr>
      </w:pPr>
      <w:r>
        <w:rPr>
          <w:rFonts w:ascii="Tahoma" w:hAnsi="Tahoma"/>
          <w:u w:val="single"/>
        </w:rPr>
        <w:t>Note</w:t>
      </w:r>
      <w:r>
        <w:rPr>
          <w:rFonts w:ascii="Tahoma" w:hAnsi="Tahoma"/>
        </w:rPr>
        <w:t>: Only a commercial carrier code may be used to override a member’s commercial coverage when there is no</w:t>
      </w:r>
      <w:r>
        <w:rPr>
          <w:rFonts w:ascii="Tahoma" w:hAnsi="Tahoma"/>
          <w:spacing w:val="-2"/>
        </w:rPr>
        <w:t> </w:t>
      </w:r>
      <w:r>
        <w:rPr>
          <w:rFonts w:ascii="Tahoma" w:hAnsi="Tahoma"/>
        </w:rPr>
        <w:t>payment.</w:t>
      </w:r>
    </w:p>
    <w:p>
      <w:pPr>
        <w:pStyle w:val="Heading2"/>
        <w:numPr>
          <w:ilvl w:val="0"/>
          <w:numId w:val="2"/>
        </w:numPr>
        <w:tabs>
          <w:tab w:pos="508" w:val="left" w:leader="none"/>
        </w:tabs>
        <w:spacing w:line="240" w:lineRule="auto" w:before="198" w:after="0"/>
        <w:ind w:left="507" w:right="0" w:hanging="360"/>
        <w:jc w:val="left"/>
      </w:pPr>
      <w:r>
        <w:rPr/>
        <w:t>Route of</w:t>
      </w:r>
      <w:r>
        <w:rPr>
          <w:spacing w:val="-3"/>
        </w:rPr>
        <w:t> </w:t>
      </w:r>
      <w:r>
        <w:rPr/>
        <w:t>Administration</w:t>
      </w:r>
    </w:p>
    <w:p>
      <w:pPr>
        <w:pStyle w:val="BodyText"/>
        <w:spacing w:before="123"/>
        <w:ind w:left="161" w:right="56" w:hanging="15"/>
        <w:rPr>
          <w:rFonts w:ascii="Tahoma"/>
        </w:rPr>
      </w:pPr>
      <w:r>
        <w:rPr>
          <w:rFonts w:ascii="Tahoma"/>
        </w:rPr>
        <w:t>Acceptable values for the Route of Administration (NCPDP Field 995-E2) have been updated.</w:t>
      </w:r>
    </w:p>
    <w:p>
      <w:pPr>
        <w:pStyle w:val="Heading1"/>
        <w:spacing w:before="198"/>
        <w:rPr>
          <w:b/>
        </w:rPr>
      </w:pPr>
      <w:r>
        <w:rPr>
          <w:b/>
        </w:rPr>
        <w:t>MHDL Updates</w:t>
      </w:r>
    </w:p>
    <w:p>
      <w:pPr>
        <w:pStyle w:val="Heading2"/>
        <w:numPr>
          <w:ilvl w:val="0"/>
          <w:numId w:val="3"/>
        </w:numPr>
        <w:tabs>
          <w:tab w:pos="508" w:val="left" w:leader="none"/>
        </w:tabs>
        <w:spacing w:line="240" w:lineRule="auto" w:before="119" w:after="0"/>
        <w:ind w:left="507" w:right="0" w:hanging="360"/>
        <w:jc w:val="left"/>
      </w:pPr>
      <w:r>
        <w:rPr/>
        <w:t>Additions</w:t>
      </w:r>
    </w:p>
    <w:p>
      <w:pPr>
        <w:pStyle w:val="ListParagraph"/>
        <w:numPr>
          <w:ilvl w:val="1"/>
          <w:numId w:val="3"/>
        </w:numPr>
        <w:tabs>
          <w:tab w:pos="839" w:val="left" w:leader="none"/>
        </w:tabs>
        <w:spacing w:line="240" w:lineRule="auto" w:before="80" w:after="0"/>
        <w:ind w:left="881" w:right="319" w:hanging="360"/>
        <w:jc w:val="left"/>
        <w:rPr>
          <w:rFonts w:ascii="Arial"/>
          <w:sz w:val="20"/>
        </w:rPr>
      </w:pPr>
      <w:r>
        <w:rPr>
          <w:rFonts w:ascii="Arial"/>
          <w:sz w:val="20"/>
        </w:rPr>
        <w:t>The following newly marketed drugs have been added to the MassHealth Drug List, effective May 14,</w:t>
      </w:r>
      <w:r>
        <w:rPr>
          <w:rFonts w:ascii="Arial"/>
          <w:spacing w:val="-3"/>
          <w:sz w:val="20"/>
        </w:rPr>
        <w:t> </w:t>
      </w:r>
      <w:r>
        <w:rPr>
          <w:rFonts w:ascii="Arial"/>
          <w:sz w:val="20"/>
        </w:rPr>
        <w:t>2012.</w:t>
      </w:r>
    </w:p>
    <w:p>
      <w:pPr>
        <w:spacing w:before="80"/>
        <w:ind w:left="1065" w:right="0" w:firstLine="0"/>
        <w:jc w:val="left"/>
        <w:rPr>
          <w:sz w:val="19"/>
        </w:rPr>
      </w:pPr>
      <w:r>
        <w:rPr>
          <w:sz w:val="19"/>
        </w:rPr>
        <w:t>Afinitor (everolimus 7.5 mg)</w:t>
      </w:r>
    </w:p>
    <w:p>
      <w:pPr>
        <w:spacing w:before="19"/>
        <w:ind w:left="1065" w:right="0" w:firstLine="0"/>
        <w:jc w:val="left"/>
        <w:rPr>
          <w:b/>
          <w:sz w:val="19"/>
        </w:rPr>
      </w:pPr>
      <w:r>
        <w:rPr>
          <w:sz w:val="19"/>
        </w:rPr>
        <w:t>BYDUREON (exenatide extended-release) </w:t>
      </w:r>
      <w:r>
        <w:rPr>
          <w:b/>
          <w:sz w:val="19"/>
        </w:rPr>
        <w:t>– PA</w:t>
      </w:r>
    </w:p>
    <w:p>
      <w:pPr>
        <w:spacing w:before="23"/>
        <w:ind w:left="1407" w:right="587" w:hanging="360"/>
        <w:jc w:val="left"/>
        <w:rPr>
          <w:b/>
          <w:sz w:val="19"/>
        </w:rPr>
      </w:pPr>
      <w:r>
        <w:rPr>
          <w:sz w:val="19"/>
        </w:rPr>
        <w:t>DUTOPROL (metoprolol extended-release / hydrochlorothiazide – </w:t>
      </w:r>
      <w:r>
        <w:rPr>
          <w:b/>
          <w:sz w:val="19"/>
        </w:rPr>
        <w:t>PA&gt;</w:t>
      </w:r>
    </w:p>
    <w:p>
      <w:pPr>
        <w:spacing w:line="217" w:lineRule="exact" w:before="0"/>
        <w:ind w:left="1065" w:right="0" w:firstLine="0"/>
        <w:jc w:val="left"/>
        <w:rPr>
          <w:b/>
          <w:sz w:val="19"/>
        </w:rPr>
      </w:pPr>
      <w:r>
        <w:rPr>
          <w:sz w:val="19"/>
        </w:rPr>
        <w:t>Edarbyclor (azilsartan/chlorthalidone) </w:t>
      </w:r>
      <w:r>
        <w:rPr>
          <w:b/>
          <w:sz w:val="19"/>
        </w:rPr>
        <w:t>– PA</w:t>
      </w:r>
    </w:p>
    <w:p>
      <w:pPr>
        <w:spacing w:before="0"/>
        <w:ind w:left="1029" w:right="1885" w:firstLine="35"/>
        <w:jc w:val="left"/>
        <w:rPr>
          <w:rFonts w:ascii="Tahoma" w:hAnsi="Tahoma"/>
          <w:b/>
          <w:sz w:val="19"/>
        </w:rPr>
      </w:pPr>
      <w:r>
        <w:rPr>
          <w:sz w:val="19"/>
        </w:rPr>
        <w:t>Erivedge (vismodegib) </w:t>
      </w:r>
      <w:r>
        <w:rPr>
          <w:b/>
          <w:sz w:val="19"/>
        </w:rPr>
        <w:t>– PA </w:t>
      </w:r>
      <w:r>
        <w:rPr>
          <w:sz w:val="19"/>
        </w:rPr>
        <w:t>EYLEA (aflibercept) </w:t>
      </w:r>
      <w:r>
        <w:rPr>
          <w:b/>
          <w:sz w:val="19"/>
        </w:rPr>
        <w:t>^ </w:t>
      </w:r>
      <w:r>
        <w:rPr>
          <w:rFonts w:ascii="Tahoma" w:hAnsi="Tahoma"/>
          <w:sz w:val="19"/>
        </w:rPr>
        <w:t>Ferriprox (deferiprone) </w:t>
      </w:r>
      <w:r>
        <w:rPr>
          <w:rFonts w:ascii="Tahoma" w:hAnsi="Tahoma"/>
          <w:b/>
          <w:sz w:val="19"/>
        </w:rPr>
        <w:t>– PA </w:t>
      </w:r>
      <w:r>
        <w:rPr>
          <w:rFonts w:ascii="Tahoma" w:hAnsi="Tahoma"/>
          <w:sz w:val="19"/>
        </w:rPr>
        <w:t>INLYTA (axitinib) </w:t>
      </w:r>
      <w:r>
        <w:rPr>
          <w:rFonts w:ascii="Tahoma" w:hAnsi="Tahoma"/>
          <w:b/>
          <w:sz w:val="19"/>
        </w:rPr>
        <w:t>– PA</w:t>
      </w:r>
    </w:p>
    <w:p>
      <w:pPr>
        <w:spacing w:before="1"/>
        <w:ind w:left="1407" w:right="1437" w:hanging="379"/>
        <w:jc w:val="left"/>
        <w:rPr>
          <w:rFonts w:ascii="Tahoma" w:hAnsi="Tahoma"/>
          <w:b/>
          <w:sz w:val="19"/>
        </w:rPr>
      </w:pPr>
      <w:r>
        <w:rPr>
          <w:rFonts w:ascii="Tahoma" w:hAnsi="Tahoma"/>
          <w:sz w:val="19"/>
        </w:rPr>
        <w:t>Janumet XR (sitagliptin/metformin extended-release) </w:t>
      </w:r>
      <w:r>
        <w:rPr>
          <w:rFonts w:ascii="Tahoma" w:hAnsi="Tahoma"/>
          <w:b/>
          <w:sz w:val="19"/>
        </w:rPr>
        <w:t>– PA</w:t>
      </w:r>
    </w:p>
    <w:p>
      <w:pPr>
        <w:spacing w:before="1"/>
        <w:ind w:left="1029" w:right="0" w:firstLine="0"/>
        <w:jc w:val="left"/>
        <w:rPr>
          <w:rFonts w:ascii="Tahoma" w:hAnsi="Tahoma"/>
          <w:b/>
          <w:sz w:val="19"/>
        </w:rPr>
      </w:pPr>
      <w:r>
        <w:rPr>
          <w:rFonts w:ascii="Tahoma" w:hAnsi="Tahoma"/>
          <w:sz w:val="19"/>
        </w:rPr>
        <w:t>Jentadueto (linagliptin/metformin) </w:t>
      </w:r>
      <w:r>
        <w:rPr>
          <w:rFonts w:ascii="Tahoma" w:hAnsi="Tahoma"/>
          <w:b/>
          <w:sz w:val="19"/>
        </w:rPr>
        <w:t>– PA</w:t>
      </w:r>
    </w:p>
    <w:p>
      <w:pPr>
        <w:spacing w:before="0"/>
        <w:ind w:left="1029" w:right="0" w:firstLine="0"/>
        <w:jc w:val="left"/>
        <w:rPr>
          <w:rFonts w:ascii="Tahoma" w:hAnsi="Tahoma"/>
          <w:b/>
          <w:sz w:val="19"/>
        </w:rPr>
      </w:pPr>
      <w:r>
        <w:rPr>
          <w:rFonts w:ascii="Tahoma" w:hAnsi="Tahoma"/>
          <w:sz w:val="19"/>
        </w:rPr>
        <w:t>Kalydeco (ivacaftor) </w:t>
      </w:r>
      <w:r>
        <w:rPr>
          <w:rFonts w:ascii="Tahoma" w:hAnsi="Tahoma"/>
          <w:b/>
          <w:sz w:val="19"/>
        </w:rPr>
        <w:t>– PA</w:t>
      </w:r>
    </w:p>
    <w:p>
      <w:pPr>
        <w:spacing w:before="0"/>
        <w:ind w:left="1407" w:right="128" w:hanging="361"/>
        <w:jc w:val="left"/>
        <w:rPr>
          <w:rFonts w:ascii="Tahoma" w:hAnsi="Tahoma"/>
          <w:b/>
          <w:sz w:val="19"/>
        </w:rPr>
      </w:pPr>
      <w:r>
        <w:rPr>
          <w:rFonts w:ascii="Tahoma" w:hAnsi="Tahoma"/>
          <w:sz w:val="19"/>
        </w:rPr>
        <w:t>Oxecta # (oxycodone immediate-release 5 mg) </w:t>
      </w:r>
      <w:r>
        <w:rPr>
          <w:rFonts w:ascii="Tahoma" w:hAnsi="Tahoma"/>
          <w:b/>
          <w:sz w:val="19"/>
        </w:rPr>
        <w:t>– PA &gt; 240 mg/day</w:t>
      </w:r>
    </w:p>
    <w:p>
      <w:pPr>
        <w:spacing w:before="0"/>
        <w:ind w:left="1398" w:right="187" w:hanging="374"/>
        <w:jc w:val="left"/>
        <w:rPr>
          <w:rFonts w:ascii="Tahoma" w:hAnsi="Tahoma"/>
          <w:b/>
          <w:sz w:val="19"/>
        </w:rPr>
      </w:pPr>
      <w:r>
        <w:rPr>
          <w:rFonts w:ascii="Tahoma" w:hAnsi="Tahoma"/>
          <w:sz w:val="19"/>
        </w:rPr>
        <w:t>Oxecta (oxycodone immediate-release 7.5 mg) </w:t>
      </w:r>
      <w:r>
        <w:rPr>
          <w:rFonts w:ascii="Tahoma" w:hAnsi="Tahoma"/>
          <w:b/>
          <w:sz w:val="19"/>
        </w:rPr>
        <w:t>– PA</w:t>
      </w:r>
    </w:p>
    <w:p>
      <w:pPr>
        <w:spacing w:line="229" w:lineRule="exact" w:before="0"/>
        <w:ind w:left="1025" w:right="0" w:firstLine="0"/>
        <w:jc w:val="left"/>
        <w:rPr>
          <w:rFonts w:ascii="Tahoma" w:hAnsi="Tahoma"/>
          <w:b/>
          <w:sz w:val="19"/>
        </w:rPr>
      </w:pPr>
      <w:r>
        <w:rPr>
          <w:rFonts w:ascii="Tahoma" w:hAnsi="Tahoma"/>
          <w:sz w:val="19"/>
        </w:rPr>
        <w:t>Rectiv (nitroglycerin 0.4% ointment) </w:t>
      </w:r>
      <w:r>
        <w:rPr>
          <w:rFonts w:ascii="Tahoma" w:hAnsi="Tahoma"/>
          <w:b/>
          <w:sz w:val="19"/>
        </w:rPr>
        <w:t>– PA</w:t>
      </w:r>
    </w:p>
    <w:p>
      <w:pPr>
        <w:pStyle w:val="Heading2"/>
        <w:numPr>
          <w:ilvl w:val="0"/>
          <w:numId w:val="3"/>
        </w:numPr>
        <w:tabs>
          <w:tab w:pos="517" w:val="left" w:leader="none"/>
        </w:tabs>
        <w:spacing w:line="240" w:lineRule="auto" w:before="95" w:after="0"/>
        <w:ind w:left="516" w:right="0" w:hanging="355"/>
        <w:jc w:val="left"/>
      </w:pPr>
      <w:r>
        <w:rPr>
          <w:w w:val="100"/>
        </w:rPr>
        <w:br w:type="column"/>
      </w:r>
      <w:r>
        <w:rPr/>
        <w:t>New FDA “A”-Rated Generics</w:t>
      </w:r>
    </w:p>
    <w:p>
      <w:pPr>
        <w:spacing w:before="120"/>
        <w:ind w:left="165" w:right="244" w:hanging="18"/>
        <w:jc w:val="left"/>
        <w:rPr>
          <w:sz w:val="19"/>
        </w:rPr>
      </w:pPr>
      <w:r>
        <w:rPr>
          <w:sz w:val="19"/>
        </w:rPr>
        <w:t>The following FDA “A”-rated generic drugs have been added to the MassHealth Drug List. The brand name is listed with a</w:t>
      </w:r>
    </w:p>
    <w:p>
      <w:pPr>
        <w:spacing w:before="0"/>
        <w:ind w:left="165" w:right="0" w:firstLine="0"/>
        <w:jc w:val="left"/>
        <w:rPr>
          <w:sz w:val="19"/>
        </w:rPr>
      </w:pPr>
      <w:r>
        <w:rPr>
          <w:sz w:val="19"/>
        </w:rPr>
        <w:t># symbol, to indicate that PA is required for the brand.</w:t>
      </w:r>
    </w:p>
    <w:p>
      <w:pPr>
        <w:pStyle w:val="BodyText"/>
        <w:spacing w:before="3"/>
        <w:rPr>
          <w:sz w:val="17"/>
        </w:rPr>
      </w:pPr>
    </w:p>
    <w:p>
      <w:pPr>
        <w:spacing w:line="207" w:lineRule="exact" w:before="0"/>
        <w:ind w:left="507" w:right="0" w:firstLine="0"/>
        <w:jc w:val="left"/>
        <w:rPr>
          <w:b/>
          <w:sz w:val="18"/>
        </w:rPr>
      </w:pPr>
      <w:r>
        <w:rPr>
          <w:b/>
          <w:sz w:val="18"/>
        </w:rPr>
        <w:t>New FDA “A”-Rated</w:t>
      </w:r>
    </w:p>
    <w:p>
      <w:pPr>
        <w:tabs>
          <w:tab w:pos="3599" w:val="left" w:leader="none"/>
        </w:tabs>
        <w:spacing w:line="264" w:lineRule="auto" w:before="0"/>
        <w:ind w:left="507" w:right="273" w:firstLine="0"/>
        <w:jc w:val="left"/>
        <w:rPr>
          <w:b/>
          <w:sz w:val="18"/>
        </w:rPr>
      </w:pPr>
      <w:r>
        <w:rPr>
          <w:b/>
          <w:sz w:val="18"/>
          <w:u w:val="single"/>
        </w:rPr>
        <w:t>Generic</w:t>
      </w:r>
      <w:r>
        <w:rPr>
          <w:b/>
          <w:spacing w:val="-2"/>
          <w:sz w:val="18"/>
          <w:u w:val="single"/>
        </w:rPr>
        <w:t> </w:t>
      </w:r>
      <w:r>
        <w:rPr>
          <w:b/>
          <w:sz w:val="18"/>
          <w:u w:val="single"/>
        </w:rPr>
        <w:t>Drug</w:t>
      </w:r>
      <w:r>
        <w:rPr>
          <w:b/>
          <w:sz w:val="18"/>
        </w:rPr>
        <w:tab/>
      </w:r>
      <w:r>
        <w:rPr>
          <w:b/>
          <w:sz w:val="18"/>
          <w:u w:val="single"/>
        </w:rPr>
        <w:t>Generic Equivalent</w:t>
      </w:r>
      <w:r>
        <w:rPr>
          <w:b/>
          <w:sz w:val="18"/>
        </w:rPr>
        <w:t> </w:t>
      </w:r>
      <w:r>
        <w:rPr>
          <w:sz w:val="18"/>
        </w:rPr>
        <w:t>quetiapine </w:t>
      </w:r>
      <w:r>
        <w:rPr>
          <w:b/>
          <w:sz w:val="18"/>
        </w:rPr>
        <w:t>– PA </w:t>
      </w:r>
      <w:r>
        <w:rPr>
          <w:sz w:val="18"/>
        </w:rPr>
        <w:t>&gt;</w:t>
      </w:r>
      <w:r>
        <w:rPr>
          <w:spacing w:val="-6"/>
          <w:sz w:val="18"/>
        </w:rPr>
        <w:t> </w:t>
      </w:r>
      <w:r>
        <w:rPr>
          <w:sz w:val="18"/>
        </w:rPr>
        <w:t>90</w:t>
      </w:r>
      <w:r>
        <w:rPr>
          <w:spacing w:val="-1"/>
          <w:sz w:val="18"/>
        </w:rPr>
        <w:t> </w:t>
      </w:r>
      <w:r>
        <w:rPr>
          <w:sz w:val="18"/>
        </w:rPr>
        <w:t>units/month</w:t>
        <w:tab/>
        <w:t>Seroquel # ziprasidone capsule </w:t>
      </w:r>
      <w:r>
        <w:rPr>
          <w:b/>
          <w:sz w:val="18"/>
        </w:rPr>
        <w:t>–</w:t>
      </w:r>
      <w:r>
        <w:rPr>
          <w:b/>
          <w:spacing w:val="-2"/>
          <w:sz w:val="18"/>
        </w:rPr>
        <w:t> </w:t>
      </w:r>
      <w:r>
        <w:rPr>
          <w:b/>
          <w:sz w:val="18"/>
        </w:rPr>
        <w:t>PA</w:t>
      </w:r>
    </w:p>
    <w:p>
      <w:pPr>
        <w:tabs>
          <w:tab w:pos="3605" w:val="left" w:leader="none"/>
        </w:tabs>
        <w:spacing w:line="185" w:lineRule="exact" w:before="0"/>
        <w:ind w:left="917" w:right="0" w:firstLine="0"/>
        <w:jc w:val="left"/>
        <w:rPr>
          <w:sz w:val="18"/>
        </w:rPr>
      </w:pPr>
      <w:r>
        <w:rPr>
          <w:sz w:val="18"/>
        </w:rPr>
        <w:t>&gt;</w:t>
      </w:r>
      <w:r>
        <w:rPr>
          <w:spacing w:val="-3"/>
          <w:sz w:val="18"/>
        </w:rPr>
        <w:t> </w:t>
      </w:r>
      <w:r>
        <w:rPr>
          <w:sz w:val="18"/>
        </w:rPr>
        <w:t>90</w:t>
      </w:r>
      <w:r>
        <w:rPr>
          <w:spacing w:val="-3"/>
          <w:sz w:val="18"/>
        </w:rPr>
        <w:t> </w:t>
      </w:r>
      <w:r>
        <w:rPr>
          <w:sz w:val="18"/>
        </w:rPr>
        <w:t>units/month</w:t>
        <w:tab/>
        <w:t>Geodon</w:t>
      </w:r>
      <w:r>
        <w:rPr>
          <w:spacing w:val="48"/>
          <w:sz w:val="18"/>
        </w:rPr>
        <w:t> </w:t>
      </w:r>
      <w:r>
        <w:rPr>
          <w:sz w:val="18"/>
        </w:rPr>
        <w:t>#</w:t>
      </w:r>
    </w:p>
    <w:p>
      <w:pPr>
        <w:pStyle w:val="Heading2"/>
        <w:numPr>
          <w:ilvl w:val="0"/>
          <w:numId w:val="3"/>
        </w:numPr>
        <w:tabs>
          <w:tab w:pos="516" w:val="left" w:leader="none"/>
        </w:tabs>
        <w:spacing w:line="240" w:lineRule="auto" w:before="121" w:after="0"/>
        <w:ind w:left="516" w:right="0" w:hanging="361"/>
        <w:jc w:val="left"/>
      </w:pPr>
      <w:r>
        <w:rPr/>
        <w:t>Corrections</w:t>
      </w:r>
    </w:p>
    <w:p>
      <w:pPr>
        <w:spacing w:before="81"/>
        <w:ind w:left="155" w:right="264" w:firstLine="0"/>
        <w:jc w:val="left"/>
        <w:rPr>
          <w:sz w:val="19"/>
        </w:rPr>
      </w:pPr>
      <w:r>
        <w:rPr>
          <w:sz w:val="19"/>
        </w:rPr>
        <w:t>The following drugs have been added to the MassHealth Drug List. They were omitted in error. These changes do not reflect any change in MassHealth Policy.</w:t>
      </w:r>
    </w:p>
    <w:p>
      <w:pPr>
        <w:spacing w:before="79"/>
        <w:ind w:left="695" w:right="2449" w:firstLine="0"/>
        <w:jc w:val="left"/>
        <w:rPr>
          <w:sz w:val="19"/>
        </w:rPr>
      </w:pPr>
      <w:r>
        <w:rPr>
          <w:sz w:val="19"/>
        </w:rPr>
        <w:t>Capastat (capreomycin) dexamethasone tablets IsonaRif (rifampin/isoniazid) kanamycin</w:t>
      </w:r>
    </w:p>
    <w:p>
      <w:pPr>
        <w:spacing w:before="0"/>
        <w:ind w:left="695" w:right="2557" w:firstLine="0"/>
        <w:jc w:val="both"/>
        <w:rPr>
          <w:sz w:val="19"/>
        </w:rPr>
      </w:pPr>
      <w:r>
        <w:rPr>
          <w:sz w:val="19"/>
        </w:rPr>
        <w:t>morrhuate injection </w:t>
      </w:r>
      <w:r>
        <w:rPr>
          <w:b/>
          <w:sz w:val="19"/>
        </w:rPr>
        <w:t>^ – PA </w:t>
      </w:r>
      <w:r>
        <w:rPr>
          <w:sz w:val="19"/>
        </w:rPr>
        <w:t>Paser (aminosalicylic acid) Priftin (rifapentine)</w:t>
      </w:r>
    </w:p>
    <w:p>
      <w:pPr>
        <w:spacing w:before="2"/>
        <w:ind w:left="695" w:right="484" w:firstLine="0"/>
        <w:jc w:val="left"/>
        <w:rPr>
          <w:sz w:val="19"/>
        </w:rPr>
      </w:pPr>
      <w:r>
        <w:rPr>
          <w:sz w:val="19"/>
        </w:rPr>
        <w:t>Rifater (rifampin/isoniazid/pyrazinamide) Sandostatin LAR (octreotide injectable suspension) Seromycin (cycloserine)</w:t>
      </w:r>
    </w:p>
    <w:p>
      <w:pPr>
        <w:spacing w:line="217" w:lineRule="exact" w:before="0"/>
        <w:ind w:left="695" w:right="0" w:firstLine="0"/>
        <w:jc w:val="left"/>
        <w:rPr>
          <w:b/>
          <w:sz w:val="19"/>
        </w:rPr>
      </w:pPr>
      <w:r>
        <w:rPr>
          <w:sz w:val="19"/>
        </w:rPr>
        <w:t>Sotradecol (tetradecyl sulfate injection) </w:t>
      </w:r>
      <w:r>
        <w:rPr>
          <w:b/>
          <w:sz w:val="19"/>
        </w:rPr>
        <w:t>^ – PA</w:t>
      </w:r>
    </w:p>
    <w:p>
      <w:pPr>
        <w:spacing w:line="218" w:lineRule="exact" w:before="1"/>
        <w:ind w:left="695" w:right="0" w:firstLine="0"/>
        <w:jc w:val="left"/>
        <w:rPr>
          <w:sz w:val="19"/>
        </w:rPr>
      </w:pPr>
      <w:r>
        <w:rPr>
          <w:sz w:val="19"/>
        </w:rPr>
        <w:t>streptomycin</w:t>
      </w:r>
    </w:p>
    <w:p>
      <w:pPr>
        <w:spacing w:line="218" w:lineRule="exact" w:before="0"/>
        <w:ind w:left="694" w:right="0" w:firstLine="0"/>
        <w:jc w:val="left"/>
        <w:rPr>
          <w:sz w:val="19"/>
        </w:rPr>
      </w:pPr>
      <w:r>
        <w:rPr>
          <w:sz w:val="19"/>
        </w:rPr>
        <w:t>Trecator (ethionamide)</w:t>
      </w:r>
    </w:p>
    <w:p>
      <w:pPr>
        <w:spacing w:before="54"/>
        <w:ind w:left="695" w:right="205" w:hanging="180"/>
        <w:jc w:val="left"/>
        <w:rPr>
          <w:rFonts w:ascii="Times New Roman" w:hAnsi="Times New Roman"/>
          <w:sz w:val="18"/>
        </w:rPr>
      </w:pPr>
      <w:r>
        <w:rPr>
          <w:rFonts w:ascii="Times New Roman" w:hAnsi="Times New Roman"/>
          <w:position w:val="9"/>
          <w:sz w:val="13"/>
        </w:rPr>
        <w:t># </w:t>
      </w:r>
      <w:r>
        <w:rPr>
          <w:rFonts w:ascii="Times New Roman" w:hAnsi="Times New Roman"/>
          <w:sz w:val="18"/>
        </w:rPr>
        <w:t>This is a brand-name drug with FDA “A”-rated generic equivalents. Prior authorization is required for the brand, unless a particular form of that drug (for example, tablet, capsule, or liquid) does not have an FDA “A”-rated generic equivalent.</w:t>
      </w:r>
    </w:p>
    <w:p>
      <w:pPr>
        <w:spacing w:before="3"/>
        <w:ind w:left="695" w:right="484" w:hanging="180"/>
        <w:jc w:val="left"/>
        <w:rPr>
          <w:rFonts w:ascii="Times New Roman"/>
          <w:sz w:val="18"/>
        </w:rPr>
      </w:pPr>
      <w:r>
        <w:rPr>
          <w:rFonts w:ascii="Times New Roman"/>
          <w:sz w:val="18"/>
        </w:rPr>
        <w:t>^ This drug is available through the health care professional who administers the drug. Medicaid does not pay for this drug to be dispensed through a retail pharmacy.</w:t>
      </w:r>
    </w:p>
    <w:p>
      <w:pPr>
        <w:spacing w:after="0"/>
        <w:jc w:val="left"/>
        <w:rPr>
          <w:rFonts w:ascii="Times New Roman"/>
          <w:sz w:val="18"/>
        </w:rPr>
        <w:sectPr>
          <w:type w:val="continuous"/>
          <w:pgSz w:w="12240" w:h="15840"/>
          <w:pgMar w:top="380" w:bottom="280" w:left="760" w:right="580"/>
          <w:cols w:num="2" w:equalWidth="0">
            <w:col w:w="5340" w:space="51"/>
            <w:col w:w="5509"/>
          </w:cols>
        </w:sectPr>
      </w:pPr>
    </w:p>
    <w:p>
      <w:pPr>
        <w:pStyle w:val="BodyText"/>
        <w:rPr>
          <w:rFonts w:ascii="Times New Roman"/>
        </w:rPr>
      </w:pPr>
      <w:r>
        <w:rPr/>
        <w:pict>
          <v:group style="position:absolute;margin-left:39.959999pt;margin-top:36.000038pt;width:537.450pt;height:694.05pt;mso-position-horizontal-relative:page;mso-position-vertical-relative:page;z-index:-4648" coordorigin="799,720" coordsize="10749,13881">
            <v:shape style="position:absolute;left:799;top:729;width:10749;height:2" coordorigin="799,730" coordsize="10749,0" path="m799,730l6186,730m6186,730l11548,730e" filled="false" stroked="true" strokeweight=".95996pt" strokecolor="#000000">
              <v:path arrowok="t"/>
              <v:stroke dashstyle="solid"/>
            </v:shape>
            <v:line style="position:absolute" from="6191,739" to="6191,14600" stroked="true" strokeweight=".48001pt" strokecolor="#000000">
              <v:stroke dashstyle="solid"/>
            </v:line>
            <w10:wrap type="none"/>
          </v:group>
        </w:pict>
      </w: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
        <w:rPr>
          <w:rFonts w:ascii="Times New Roman"/>
          <w:sz w:val="24"/>
        </w:rPr>
      </w:pPr>
    </w:p>
    <w:p>
      <w:pPr>
        <w:spacing w:line="241" w:lineRule="exact" w:before="93"/>
        <w:ind w:left="1724" w:right="1257" w:firstLine="0"/>
        <w:jc w:val="center"/>
        <w:rPr>
          <w:sz w:val="21"/>
        </w:rPr>
      </w:pPr>
      <w:r>
        <w:rPr/>
        <w:pict>
          <v:shape style="position:absolute;margin-left:36.360001pt;margin-top:-2.571025pt;width:549pt;height:1.4pt;mso-position-horizontal-relative:page;mso-position-vertical-relative:paragraph;z-index:1168" coordorigin="727,-51" coordsize="10980,28" path="m727,-51l11707,-51m727,-24l11707,-24e" filled="false" stroked="true" strokeweight=".66pt" strokecolor="#000000">
            <v:path arrowok="t"/>
            <v:stroke dashstyle="solid"/>
            <w10:wrap type="none"/>
          </v:shape>
        </w:pict>
      </w:r>
      <w:r>
        <w:rPr>
          <w:sz w:val="21"/>
        </w:rPr>
        <w:t>Please direct any questions or comments (or to be taken off of this fax distribution) to</w:t>
      </w:r>
    </w:p>
    <w:p>
      <w:pPr>
        <w:spacing w:line="296" w:lineRule="exact" w:before="0"/>
        <w:ind w:left="1723" w:right="1257" w:firstLine="0"/>
        <w:jc w:val="center"/>
        <w:rPr>
          <w:sz w:val="21"/>
        </w:rPr>
      </w:pPr>
      <w:r>
        <w:rPr>
          <w:rFonts w:ascii="Arial Black"/>
          <w:b/>
          <w:sz w:val="21"/>
        </w:rPr>
        <w:t>Victor Moquin </w:t>
      </w:r>
      <w:r>
        <w:rPr>
          <w:sz w:val="21"/>
        </w:rPr>
        <w:t>of Xerox at 617-423-9830.</w:t>
      </w:r>
    </w:p>
    <w:sectPr>
      <w:type w:val="continuous"/>
      <w:pgSz w:w="12240" w:h="15840"/>
      <w:pgMar w:top="380" w:bottom="280" w:left="7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507" w:hanging="361"/>
        <w:jc w:val="left"/>
      </w:pPr>
      <w:rPr>
        <w:rFonts w:hint="default" w:ascii="Arial" w:hAnsi="Arial" w:eastAsia="Arial" w:cs="Arial"/>
        <w:b/>
        <w:bCs/>
        <w:spacing w:val="-1"/>
        <w:w w:val="100"/>
        <w:sz w:val="20"/>
        <w:szCs w:val="20"/>
      </w:rPr>
    </w:lvl>
    <w:lvl w:ilvl="1">
      <w:start w:val="1"/>
      <w:numFmt w:val="lowerLetter"/>
      <w:lvlText w:val="%2."/>
      <w:lvlJc w:val="left"/>
      <w:pPr>
        <w:ind w:left="881" w:hanging="317"/>
        <w:jc w:val="left"/>
      </w:pPr>
      <w:rPr>
        <w:rFonts w:hint="default" w:ascii="Arial" w:hAnsi="Arial" w:eastAsia="Arial" w:cs="Arial"/>
        <w:w w:val="99"/>
        <w:sz w:val="19"/>
        <w:szCs w:val="19"/>
      </w:rPr>
    </w:lvl>
    <w:lvl w:ilvl="2">
      <w:start w:val="0"/>
      <w:numFmt w:val="bullet"/>
      <w:lvlText w:val="•"/>
      <w:lvlJc w:val="left"/>
      <w:pPr>
        <w:ind w:left="1375" w:hanging="317"/>
      </w:pPr>
      <w:rPr>
        <w:rFonts w:hint="default"/>
      </w:rPr>
    </w:lvl>
    <w:lvl w:ilvl="3">
      <w:start w:val="0"/>
      <w:numFmt w:val="bullet"/>
      <w:lvlText w:val="•"/>
      <w:lvlJc w:val="left"/>
      <w:pPr>
        <w:ind w:left="1871" w:hanging="317"/>
      </w:pPr>
      <w:rPr>
        <w:rFonts w:hint="default"/>
      </w:rPr>
    </w:lvl>
    <w:lvl w:ilvl="4">
      <w:start w:val="0"/>
      <w:numFmt w:val="bullet"/>
      <w:lvlText w:val="•"/>
      <w:lvlJc w:val="left"/>
      <w:pPr>
        <w:ind w:left="2366" w:hanging="317"/>
      </w:pPr>
      <w:rPr>
        <w:rFonts w:hint="default"/>
      </w:rPr>
    </w:lvl>
    <w:lvl w:ilvl="5">
      <w:start w:val="0"/>
      <w:numFmt w:val="bullet"/>
      <w:lvlText w:val="•"/>
      <w:lvlJc w:val="left"/>
      <w:pPr>
        <w:ind w:left="2862" w:hanging="317"/>
      </w:pPr>
      <w:rPr>
        <w:rFonts w:hint="default"/>
      </w:rPr>
    </w:lvl>
    <w:lvl w:ilvl="6">
      <w:start w:val="0"/>
      <w:numFmt w:val="bullet"/>
      <w:lvlText w:val="•"/>
      <w:lvlJc w:val="left"/>
      <w:pPr>
        <w:ind w:left="3357" w:hanging="317"/>
      </w:pPr>
      <w:rPr>
        <w:rFonts w:hint="default"/>
      </w:rPr>
    </w:lvl>
    <w:lvl w:ilvl="7">
      <w:start w:val="0"/>
      <w:numFmt w:val="bullet"/>
      <w:lvlText w:val="•"/>
      <w:lvlJc w:val="left"/>
      <w:pPr>
        <w:ind w:left="3853" w:hanging="317"/>
      </w:pPr>
      <w:rPr>
        <w:rFonts w:hint="default"/>
      </w:rPr>
    </w:lvl>
    <w:lvl w:ilvl="8">
      <w:start w:val="0"/>
      <w:numFmt w:val="bullet"/>
      <w:lvlText w:val="•"/>
      <w:lvlJc w:val="left"/>
      <w:pPr>
        <w:ind w:left="4348" w:hanging="317"/>
      </w:pPr>
      <w:rPr>
        <w:rFonts w:hint="default"/>
      </w:rPr>
    </w:lvl>
  </w:abstractNum>
  <w:abstractNum w:abstractNumId="1">
    <w:multiLevelType w:val="hybridMultilevel"/>
    <w:lvl w:ilvl="0">
      <w:start w:val="1"/>
      <w:numFmt w:val="decimal"/>
      <w:lvlText w:val="%1."/>
      <w:lvlJc w:val="left"/>
      <w:pPr>
        <w:ind w:left="603" w:hanging="361"/>
        <w:jc w:val="right"/>
      </w:pPr>
      <w:rPr>
        <w:rFonts w:hint="default" w:ascii="Arial" w:hAnsi="Arial" w:eastAsia="Arial" w:cs="Arial"/>
        <w:b/>
        <w:bCs/>
        <w:spacing w:val="-1"/>
        <w:w w:val="100"/>
        <w:sz w:val="20"/>
        <w:szCs w:val="20"/>
      </w:rPr>
    </w:lvl>
    <w:lvl w:ilvl="1">
      <w:start w:val="1"/>
      <w:numFmt w:val="lowerLetter"/>
      <w:lvlText w:val="%2)"/>
      <w:lvlJc w:val="left"/>
      <w:pPr>
        <w:ind w:left="963" w:hanging="345"/>
        <w:jc w:val="right"/>
      </w:pPr>
      <w:rPr>
        <w:rFonts w:hint="default" w:ascii="Arial" w:hAnsi="Arial" w:eastAsia="Arial" w:cs="Arial"/>
        <w:w w:val="100"/>
        <w:sz w:val="20"/>
        <w:szCs w:val="20"/>
      </w:rPr>
    </w:lvl>
    <w:lvl w:ilvl="2">
      <w:start w:val="1"/>
      <w:numFmt w:val="lowerRoman"/>
      <w:lvlText w:val="(%3)"/>
      <w:lvlJc w:val="left"/>
      <w:pPr>
        <w:ind w:left="967" w:hanging="262"/>
        <w:jc w:val="left"/>
      </w:pPr>
      <w:rPr>
        <w:rFonts w:hint="default" w:ascii="Tahoma" w:hAnsi="Tahoma" w:eastAsia="Tahoma" w:cs="Tahoma"/>
        <w:w w:val="100"/>
        <w:sz w:val="20"/>
        <w:szCs w:val="20"/>
      </w:rPr>
    </w:lvl>
    <w:lvl w:ilvl="3">
      <w:start w:val="0"/>
      <w:numFmt w:val="bullet"/>
      <w:lvlText w:val="•"/>
      <w:lvlJc w:val="left"/>
      <w:pPr>
        <w:ind w:left="835" w:hanging="262"/>
      </w:pPr>
      <w:rPr>
        <w:rFonts w:hint="default"/>
      </w:rPr>
    </w:lvl>
    <w:lvl w:ilvl="4">
      <w:start w:val="0"/>
      <w:numFmt w:val="bullet"/>
      <w:lvlText w:val="•"/>
      <w:lvlJc w:val="left"/>
      <w:pPr>
        <w:ind w:left="710" w:hanging="262"/>
      </w:pPr>
      <w:rPr>
        <w:rFonts w:hint="default"/>
      </w:rPr>
    </w:lvl>
    <w:lvl w:ilvl="5">
      <w:start w:val="0"/>
      <w:numFmt w:val="bullet"/>
      <w:lvlText w:val="•"/>
      <w:lvlJc w:val="left"/>
      <w:pPr>
        <w:ind w:left="585" w:hanging="262"/>
      </w:pPr>
      <w:rPr>
        <w:rFonts w:hint="default"/>
      </w:rPr>
    </w:lvl>
    <w:lvl w:ilvl="6">
      <w:start w:val="0"/>
      <w:numFmt w:val="bullet"/>
      <w:lvlText w:val="•"/>
      <w:lvlJc w:val="left"/>
      <w:pPr>
        <w:ind w:left="460" w:hanging="262"/>
      </w:pPr>
      <w:rPr>
        <w:rFonts w:hint="default"/>
      </w:rPr>
    </w:lvl>
    <w:lvl w:ilvl="7">
      <w:start w:val="0"/>
      <w:numFmt w:val="bullet"/>
      <w:lvlText w:val="•"/>
      <w:lvlJc w:val="left"/>
      <w:pPr>
        <w:ind w:left="335" w:hanging="262"/>
      </w:pPr>
      <w:rPr>
        <w:rFonts w:hint="default"/>
      </w:rPr>
    </w:lvl>
    <w:lvl w:ilvl="8">
      <w:start w:val="0"/>
      <w:numFmt w:val="bullet"/>
      <w:lvlText w:val="•"/>
      <w:lvlJc w:val="left"/>
      <w:pPr>
        <w:ind w:left="210" w:hanging="262"/>
      </w:pPr>
      <w:rPr>
        <w:rFonts w:hint="default"/>
      </w:rPr>
    </w:lvl>
  </w:abstractNum>
  <w:abstractNum w:abstractNumId="0">
    <w:multiLevelType w:val="hybridMultilevel"/>
    <w:lvl w:ilvl="0">
      <w:start w:val="0"/>
      <w:numFmt w:val="bullet"/>
      <w:lvlText w:val="•"/>
      <w:lvlJc w:val="left"/>
      <w:pPr>
        <w:ind w:left="2047" w:hanging="150"/>
      </w:pPr>
      <w:rPr>
        <w:rFonts w:hint="default" w:ascii="Arial Black" w:hAnsi="Arial Black" w:eastAsia="Arial Black" w:cs="Arial Black"/>
        <w:b/>
        <w:bCs/>
        <w:w w:val="100"/>
        <w:sz w:val="18"/>
        <w:szCs w:val="18"/>
      </w:rPr>
    </w:lvl>
    <w:lvl w:ilvl="1">
      <w:start w:val="0"/>
      <w:numFmt w:val="bullet"/>
      <w:lvlText w:val="•"/>
      <w:lvlJc w:val="left"/>
      <w:pPr>
        <w:ind w:left="2926" w:hanging="150"/>
      </w:pPr>
      <w:rPr>
        <w:rFonts w:hint="default"/>
      </w:rPr>
    </w:lvl>
    <w:lvl w:ilvl="2">
      <w:start w:val="0"/>
      <w:numFmt w:val="bullet"/>
      <w:lvlText w:val="•"/>
      <w:lvlJc w:val="left"/>
      <w:pPr>
        <w:ind w:left="3812" w:hanging="150"/>
      </w:pPr>
      <w:rPr>
        <w:rFonts w:hint="default"/>
      </w:rPr>
    </w:lvl>
    <w:lvl w:ilvl="3">
      <w:start w:val="0"/>
      <w:numFmt w:val="bullet"/>
      <w:lvlText w:val="•"/>
      <w:lvlJc w:val="left"/>
      <w:pPr>
        <w:ind w:left="4698" w:hanging="150"/>
      </w:pPr>
      <w:rPr>
        <w:rFonts w:hint="default"/>
      </w:rPr>
    </w:lvl>
    <w:lvl w:ilvl="4">
      <w:start w:val="0"/>
      <w:numFmt w:val="bullet"/>
      <w:lvlText w:val="•"/>
      <w:lvlJc w:val="left"/>
      <w:pPr>
        <w:ind w:left="5584" w:hanging="150"/>
      </w:pPr>
      <w:rPr>
        <w:rFonts w:hint="default"/>
      </w:rPr>
    </w:lvl>
    <w:lvl w:ilvl="5">
      <w:start w:val="0"/>
      <w:numFmt w:val="bullet"/>
      <w:lvlText w:val="•"/>
      <w:lvlJc w:val="left"/>
      <w:pPr>
        <w:ind w:left="6470" w:hanging="150"/>
      </w:pPr>
      <w:rPr>
        <w:rFonts w:hint="default"/>
      </w:rPr>
    </w:lvl>
    <w:lvl w:ilvl="6">
      <w:start w:val="0"/>
      <w:numFmt w:val="bullet"/>
      <w:lvlText w:val="•"/>
      <w:lvlJc w:val="left"/>
      <w:pPr>
        <w:ind w:left="7356" w:hanging="150"/>
      </w:pPr>
      <w:rPr>
        <w:rFonts w:hint="default"/>
      </w:rPr>
    </w:lvl>
    <w:lvl w:ilvl="7">
      <w:start w:val="0"/>
      <w:numFmt w:val="bullet"/>
      <w:lvlText w:val="•"/>
      <w:lvlJc w:val="left"/>
      <w:pPr>
        <w:ind w:left="8242" w:hanging="150"/>
      </w:pPr>
      <w:rPr>
        <w:rFonts w:hint="default"/>
      </w:rPr>
    </w:lvl>
    <w:lvl w:ilvl="8">
      <w:start w:val="0"/>
      <w:numFmt w:val="bullet"/>
      <w:lvlText w:val="•"/>
      <w:lvlJc w:val="left"/>
      <w:pPr>
        <w:ind w:left="9128" w:hanging="15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spacing w:before="100"/>
      <w:ind w:left="147"/>
      <w:outlineLvl w:val="1"/>
    </w:pPr>
    <w:rPr>
      <w:rFonts w:ascii="Arial Black" w:hAnsi="Arial Black" w:eastAsia="Arial Black" w:cs="Arial Black"/>
      <w:b/>
      <w:bCs/>
      <w:sz w:val="22"/>
      <w:szCs w:val="22"/>
    </w:rPr>
  </w:style>
  <w:style w:styleId="Heading2" w:type="paragraph">
    <w:name w:val="Heading 2"/>
    <w:basedOn w:val="Normal"/>
    <w:uiPriority w:val="1"/>
    <w:qFormat/>
    <w:pPr>
      <w:spacing w:before="1"/>
      <w:ind w:left="507" w:hanging="360"/>
      <w:outlineLvl w:val="2"/>
    </w:pPr>
    <w:rPr>
      <w:rFonts w:ascii="Arial" w:hAnsi="Arial" w:eastAsia="Arial" w:cs="Arial"/>
      <w:b/>
      <w:bCs/>
      <w:sz w:val="20"/>
      <w:szCs w:val="20"/>
    </w:rPr>
  </w:style>
  <w:style w:styleId="ListParagraph" w:type="paragraph">
    <w:name w:val="List Paragraph"/>
    <w:basedOn w:val="Normal"/>
    <w:uiPriority w:val="1"/>
    <w:qFormat/>
    <w:pPr>
      <w:spacing w:before="119"/>
      <w:ind w:left="963" w:hanging="360"/>
    </w:pPr>
    <w:rPr>
      <w:rFonts w:ascii="Tahoma" w:hAnsi="Tahoma" w:eastAsia="Tahoma" w:cs="Tahoma"/>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ass.gov/eohhs/gov/laws-regs/masshealth/"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psousa</dc:creator>
  <dc:title>Microsoft Word - Pharmacy Facts #71_FINAL _2_.doc</dc:title>
  <dcterms:created xsi:type="dcterms:W3CDTF">2017-11-20T20:11:35Z</dcterms:created>
  <dcterms:modified xsi:type="dcterms:W3CDTF">2017-11-20T20:11:35Z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2012-06-15T00:00:00Z</vt:filetime>
  </property>
  <property fmtid="{D5CDD505-2E9C-101B-9397-08002B2CF9AE}" pid="3" name="Creator">
    <vt:lpwstr>PScript5.dll Version 5.2.2</vt:lpwstr>
  </property>
  <property fmtid="{D5CDD505-2E9C-101B-9397-08002B2CF9AE}" pid="4" name="LastSaved">
    <vt:filetime>2017-11-20T00:00:00Z</vt:filetime>
  </property>
</Properties>
</file>