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1"/>
        <w:rPr>
          <w:rFonts w:ascii="Times New Roman"/>
        </w:rPr>
      </w:pPr>
      <w:r>
        <w:rPr>
          <w:rFonts w:ascii="Times New Roman"/>
        </w:rPr>
        <w:pict>
          <v:group style="width:542.2pt;height:86.35pt;mso-position-horizontal-relative:char;mso-position-vertical-relative:line" coordorigin="0,0" coordsize="10844,1727">
            <v:shape style="position:absolute;left:134;top:1515;width:384;height:134" type="#_x0000_t75" stroked="false">
              <v:imagedata r:id="rId5" o:title=""/>
            </v:shape>
            <v:shape style="position:absolute;left:50;top:1265;width:530;height:221" type="#_x0000_t75" stroked="false">
              <v:imagedata r:id="rId6" o:title=""/>
            </v:shape>
            <v:shape style="position:absolute;left:97;top:815;width:265;height:424" coordorigin="98,816" coordsize="265,424" path="m234,850l223,832,204,820,179,816,151,820,126,832,107,849,98,869,98,891,106,905,118,915,134,922,153,925,168,974,201,1082,233,1190,248,1239,362,1198,339,1152,287,1051,235,951,212,905,224,893,232,879,236,864,234,850xe" filled="false" stroked="true" strokeweight=".85001pt" strokecolor="#000000">
              <v:path arrowok="t"/>
              <v:stroke dashstyle="solid"/>
            </v:shape>
            <v:shape style="position:absolute;left:133;top:972;width:369;height:335" type="#_x0000_t75" stroked="false">
              <v:imagedata r:id="rId7" o:title=""/>
            </v:shape>
            <v:shape style="position:absolute;left:8895;top:0;width:1948;height:956" type="#_x0000_t75" stroked="false">
              <v:imagedata r:id="rId8" o:title=""/>
            </v:shape>
            <v:line style="position:absolute" from="10,526" to="10378,526" stroked="true" strokeweight=".99998pt" strokecolor="#000000">
              <v:stroke dashstyle="solid"/>
            </v:line>
            <v:rect style="position:absolute;left:15;top:748;width:602;height:960" filled="false" stroked="true" strokeweight=".49999pt" strokecolor="#000000">
              <v:stroke dashstyle="solid"/>
            </v:rect>
            <v:shapetype id="_x0000_t202" o:spt="202" coordsize="21600,21600" path="m,l,21600r21600,l21600,xe">
              <v:stroke joinstyle="miter"/>
              <v:path gradientshapeok="t" o:connecttype="rect"/>
            </v:shapetype>
            <v:shape style="position:absolute;left:2;top:170;width:6802;height:276" type="#_x0000_t202" filled="false" stroked="false">
              <v:textbox inset="0,0,0,0">
                <w:txbxContent>
                  <w:p>
                    <w:pPr>
                      <w:spacing w:line="275" w:lineRule="exact" w:before="0"/>
                      <w:ind w:left="0" w:right="0" w:firstLine="0"/>
                      <w:jc w:val="left"/>
                      <w:rPr>
                        <w:rFonts w:ascii="Arial Narrow"/>
                        <w:i/>
                        <w:sz w:val="24"/>
                      </w:rPr>
                    </w:pPr>
                    <w:r>
                      <w:rPr>
                        <w:rFonts w:ascii="Arial Narrow"/>
                        <w:i/>
                        <w:sz w:val="24"/>
                      </w:rPr>
                      <w:t>Current information for pharmacists about the MassHealth Pharmacy program</w:t>
                    </w:r>
                  </w:p>
                </w:txbxContent>
              </v:textbox>
              <w10:wrap type="none"/>
            </v:shape>
            <v:shape style="position:absolute;left:9024;top:553;width:1502;height:147" type="#_x0000_t202" filled="false" stroked="false">
              <v:textbox inset="0,0,0,0">
                <w:txbxContent>
                  <w:p>
                    <w:pPr>
                      <w:spacing w:line="147" w:lineRule="exact" w:before="0"/>
                      <w:ind w:left="0" w:right="0" w:firstLine="0"/>
                      <w:jc w:val="left"/>
                      <w:rPr>
                        <w:rFonts w:ascii="Lucida Sans"/>
                        <w:sz w:val="14"/>
                      </w:rPr>
                    </w:pPr>
                    <w:r>
                      <w:rPr>
                        <w:rFonts w:ascii="Lucida Sans"/>
                        <w:sz w:val="14"/>
                      </w:rPr>
                      <w:t>PHARMACY PROGRAM</w:t>
                    </w:r>
                  </w:p>
                </w:txbxContent>
              </v:textbox>
              <w10:wrap type="none"/>
            </v:shape>
            <v:shape style="position:absolute;left:732;top:896;width:1078;height:590"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8</w:t>
                    </w:r>
                  </w:p>
                  <w:p>
                    <w:pPr>
                      <w:spacing w:before="130"/>
                      <w:ind w:left="0" w:right="0" w:firstLine="0"/>
                      <w:jc w:val="left"/>
                      <w:rPr>
                        <w:rFonts w:ascii="Arial Narrow"/>
                        <w:b/>
                        <w:sz w:val="20"/>
                      </w:rPr>
                    </w:pPr>
                    <w:r>
                      <w:rPr>
                        <w:rFonts w:ascii="Arial Narrow"/>
                        <w:b/>
                        <w:sz w:val="20"/>
                      </w:rPr>
                      <w:t>April 25, 2005</w:t>
                    </w:r>
                  </w:p>
                </w:txbxContent>
              </v:textbox>
              <w10:wrap type="none"/>
            </v:shape>
            <v:shape style="position:absolute;left:3072;top:595;width:4264;height:1131" type="#_x0000_t202" filled="false" stroked="false">
              <v:textbox inset="0,0,0,0">
                <w:txbxContent>
                  <w:p>
                    <w:pPr>
                      <w:spacing w:before="0"/>
                      <w:ind w:left="0" w:right="0" w:firstLine="0"/>
                      <w:jc w:val="left"/>
                      <w:rPr>
                        <w:rFonts w:ascii="Arial Black"/>
                        <w:b/>
                        <w:sz w:val="48"/>
                      </w:rPr>
                    </w:pPr>
                    <w:r>
                      <w:rPr>
                        <w:rFonts w:ascii="Arial Black"/>
                        <w:b/>
                        <w:sz w:val="48"/>
                      </w:rPr>
                      <w:t>Pharmacy Facts</w:t>
                    </w:r>
                  </w:p>
                  <w:p>
                    <w:pPr>
                      <w:spacing w:before="115"/>
                      <w:ind w:left="51" w:right="0" w:firstLine="0"/>
                      <w:jc w:val="left"/>
                      <w:rPr>
                        <w:rFonts w:ascii="Arial Black"/>
                        <w:b/>
                        <w:sz w:val="24"/>
                      </w:rPr>
                    </w:pPr>
                    <w:r>
                      <w:rPr>
                        <w:rFonts w:ascii="Arial Black"/>
                        <w:b/>
                        <w:sz w:val="24"/>
                      </w:rPr>
                      <w:t>MassHealth Pharmacy Program</w:t>
                    </w:r>
                  </w:p>
                </w:txbxContent>
              </v:textbox>
              <w10:wrap type="none"/>
            </v:shape>
          </v:group>
        </w:pict>
      </w:r>
      <w:r>
        <w:rPr>
          <w:rFonts w:ascii="Times New Roman"/>
        </w:rPr>
      </w:r>
    </w:p>
    <w:p>
      <w:pPr>
        <w:pStyle w:val="BodyText"/>
        <w:rPr>
          <w:rFonts w:ascii="Times New Roman"/>
          <w:sz w:val="10"/>
        </w:rPr>
      </w:pPr>
      <w:r>
        <w:rPr/>
        <w:pict>
          <v:line style="position:absolute;mso-position-horizontal-relative:page;mso-position-vertical-relative:paragraph;z-index:1144;mso-wrap-distance-left:0;mso-wrap-distance-right:0" from="47.066299pt,8.23917pt" to="565.466299pt,8.23917pt" stroked="true" strokeweight="1pt" strokecolor="#000000">
            <v:stroke dashstyle="solid"/>
            <w10:wrap type="topAndBottom"/>
          </v:line>
        </w:pict>
      </w:r>
    </w:p>
    <w:p>
      <w:pPr>
        <w:pStyle w:val="ListParagraph"/>
        <w:numPr>
          <w:ilvl w:val="0"/>
          <w:numId w:val="1"/>
        </w:numPr>
        <w:tabs>
          <w:tab w:pos="2332" w:val="left" w:leader="none"/>
        </w:tabs>
        <w:spacing w:line="230" w:lineRule="exact" w:before="0" w:after="46"/>
        <w:ind w:left="2331" w:right="0" w:hanging="151"/>
        <w:jc w:val="left"/>
        <w:rPr>
          <w:rFonts w:ascii="Arial Black" w:hAnsi="Arial Black"/>
          <w:b/>
          <w:sz w:val="18"/>
        </w:rPr>
      </w:pPr>
      <w:r>
        <w:rPr>
          <w:sz w:val="18"/>
        </w:rPr>
        <w:t>Editor: Vic </w:t>
      </w:r>
      <w:r>
        <w:rPr>
          <w:spacing w:val="-3"/>
          <w:sz w:val="18"/>
        </w:rPr>
        <w:t>Vangel  </w:t>
      </w:r>
      <w:r>
        <w:rPr>
          <w:rFonts w:ascii="Arial Black" w:hAnsi="Arial Black"/>
          <w:b/>
          <w:sz w:val="18"/>
        </w:rPr>
        <w:t>• </w:t>
      </w:r>
      <w:r>
        <w:rPr>
          <w:sz w:val="18"/>
        </w:rPr>
        <w:t>Contributors: Chris Burke, Gary Gilmore, Paul </w:t>
      </w:r>
      <w:r>
        <w:rPr>
          <w:spacing w:val="-3"/>
          <w:sz w:val="18"/>
        </w:rPr>
        <w:t>Jeffrey, </w:t>
      </w:r>
      <w:r>
        <w:rPr>
          <w:sz w:val="18"/>
        </w:rPr>
        <w:t>James Monahan</w:t>
      </w:r>
      <w:r>
        <w:rPr>
          <w:spacing w:val="-17"/>
          <w:sz w:val="18"/>
        </w:rPr>
        <w:t> </w:t>
      </w:r>
      <w:r>
        <w:rPr>
          <w:rFonts w:ascii="Arial Black" w:hAnsi="Arial Black"/>
          <w:b/>
          <w:sz w:val="18"/>
        </w:rPr>
        <w:t>•</w:t>
      </w:r>
    </w:p>
    <w:p>
      <w:pPr>
        <w:pStyle w:val="BodyText"/>
        <w:spacing w:line="20" w:lineRule="exact"/>
        <w:ind w:left="111"/>
        <w:rPr>
          <w:rFonts w:ascii="Arial Black"/>
          <w:sz w:val="2"/>
        </w:rPr>
      </w:pPr>
      <w:r>
        <w:rPr>
          <w:rFonts w:ascii="Arial Black"/>
          <w:sz w:val="2"/>
        </w:rPr>
        <w:pict>
          <v:group style="width:519.4pt;height:1pt;mso-position-horizontal-relative:char;mso-position-vertical-relative:line" coordorigin="0,0" coordsize="10388,20">
            <v:line style="position:absolute" from="10,10" to="10378,10" stroked="true" strokeweight="1pt" strokecolor="#000000">
              <v:stroke dashstyle="solid"/>
            </v:line>
          </v:group>
        </w:pict>
      </w:r>
      <w:r>
        <w:rPr>
          <w:rFonts w:ascii="Arial Black"/>
          <w:sz w:val="2"/>
        </w:rPr>
      </w:r>
    </w:p>
    <w:p>
      <w:pPr>
        <w:pStyle w:val="BodyText"/>
        <w:spacing w:before="13"/>
        <w:rPr>
          <w:rFonts w:ascii="Arial Black"/>
          <w:b/>
          <w:sz w:val="4"/>
        </w:rPr>
      </w:pPr>
    </w:p>
    <w:p>
      <w:pPr>
        <w:spacing w:after="0"/>
        <w:rPr>
          <w:rFonts w:ascii="Arial Black"/>
          <w:sz w:val="4"/>
        </w:rPr>
        <w:sectPr>
          <w:type w:val="continuous"/>
          <w:pgSz w:w="12240" w:h="15840"/>
          <w:pgMar w:top="420" w:bottom="280" w:left="820" w:right="360"/>
        </w:sectPr>
      </w:pPr>
    </w:p>
    <w:p>
      <w:pPr>
        <w:pStyle w:val="Heading1"/>
        <w:spacing w:line="204" w:lineRule="auto" w:before="124"/>
        <w:ind w:right="-16"/>
        <w:rPr>
          <w:b/>
        </w:rPr>
      </w:pPr>
      <w:r>
        <w:rPr>
          <w:b/>
        </w:rPr>
        <w:t>MassHealth Drug List (MHDL) – Ophthalmic Allergy Products</w:t>
      </w:r>
    </w:p>
    <w:p>
      <w:pPr>
        <w:pStyle w:val="BodyText"/>
        <w:spacing w:line="304" w:lineRule="auto" w:before="129"/>
        <w:ind w:left="116" w:right="-16"/>
      </w:pPr>
      <w:r>
        <w:rPr>
          <w:w w:val="105"/>
        </w:rPr>
        <w:t>MassHealth has changed the prior authorization requirements for ophthalmic products. Brand name prescription ophthalmic allergy products will require prior authorization </w:t>
      </w:r>
      <w:r>
        <w:rPr>
          <w:spacing w:val="-4"/>
          <w:w w:val="105"/>
        </w:rPr>
        <w:t>(PA). </w:t>
      </w:r>
      <w:r>
        <w:rPr>
          <w:w w:val="105"/>
        </w:rPr>
        <w:t>These changes are effective May 2, 2005, and include the following products.</w:t>
      </w:r>
    </w:p>
    <w:p>
      <w:pPr>
        <w:pStyle w:val="BodyText"/>
        <w:spacing w:line="304" w:lineRule="auto" w:before="1"/>
        <w:ind w:left="116" w:right="404"/>
      </w:pPr>
      <w:r>
        <w:rPr>
          <w:w w:val="105"/>
        </w:rPr>
        <w:t>Valid refills for these products can be processed without PA for the life of the prescription.</w:t>
      </w:r>
    </w:p>
    <w:p>
      <w:pPr>
        <w:pStyle w:val="BodyText"/>
        <w:spacing w:line="304" w:lineRule="auto" w:before="124"/>
        <w:ind w:left="116" w:right="1892"/>
        <w:rPr>
          <w:b/>
        </w:rPr>
      </w:pPr>
      <w:r>
        <w:rPr>
          <w:w w:val="105"/>
        </w:rPr>
        <w:t>Alamast (pemirolast) – </w:t>
      </w:r>
      <w:r>
        <w:rPr>
          <w:b/>
          <w:w w:val="105"/>
        </w:rPr>
        <w:t>PA </w:t>
      </w:r>
      <w:r>
        <w:rPr>
          <w:w w:val="105"/>
        </w:rPr>
        <w:t>Alocril (nedocromil) – </w:t>
      </w:r>
      <w:r>
        <w:rPr>
          <w:b/>
          <w:w w:val="105"/>
        </w:rPr>
        <w:t>PA </w:t>
      </w:r>
      <w:r>
        <w:rPr>
          <w:w w:val="105"/>
        </w:rPr>
        <w:t>Alomide (lodoxamide) – </w:t>
      </w:r>
      <w:r>
        <w:rPr>
          <w:b/>
          <w:w w:val="105"/>
        </w:rPr>
        <w:t>PA </w:t>
      </w:r>
      <w:r>
        <w:rPr>
          <w:w w:val="105"/>
        </w:rPr>
        <w:t>Elestat (epinastine) – </w:t>
      </w:r>
      <w:r>
        <w:rPr>
          <w:b/>
          <w:w w:val="105"/>
        </w:rPr>
        <w:t>PA </w:t>
      </w:r>
      <w:r>
        <w:rPr>
          <w:w w:val="105"/>
        </w:rPr>
        <w:t>Emadine (emedastine) – </w:t>
      </w:r>
      <w:r>
        <w:rPr>
          <w:b/>
          <w:w w:val="105"/>
        </w:rPr>
        <w:t>PA </w:t>
      </w:r>
      <w:r>
        <w:rPr>
          <w:w w:val="105"/>
        </w:rPr>
        <w:t>Livostin (levocabastine) – </w:t>
      </w:r>
      <w:r>
        <w:rPr>
          <w:b/>
          <w:w w:val="105"/>
        </w:rPr>
        <w:t>PA </w:t>
      </w:r>
      <w:r>
        <w:rPr>
          <w:w w:val="105"/>
        </w:rPr>
        <w:t>Optivar (azelastine) – </w:t>
      </w:r>
      <w:r>
        <w:rPr>
          <w:b/>
          <w:w w:val="105"/>
        </w:rPr>
        <w:t>PA </w:t>
      </w:r>
      <w:r>
        <w:rPr>
          <w:w w:val="105"/>
        </w:rPr>
        <w:t>Patanol (olopatadine) – </w:t>
      </w:r>
      <w:r>
        <w:rPr>
          <w:b/>
          <w:w w:val="105"/>
        </w:rPr>
        <w:t>PA </w:t>
      </w:r>
      <w:r>
        <w:rPr>
          <w:w w:val="105"/>
        </w:rPr>
        <w:t>Zaditor (ketotifen) – </w:t>
      </w:r>
      <w:r>
        <w:rPr>
          <w:b/>
          <w:w w:val="105"/>
        </w:rPr>
        <w:t>PA</w:t>
      </w:r>
    </w:p>
    <w:p>
      <w:pPr>
        <w:spacing w:line="304" w:lineRule="auto" w:before="124"/>
        <w:ind w:left="116" w:right="-16" w:firstLine="0"/>
        <w:jc w:val="left"/>
        <w:rPr>
          <w:b/>
          <w:sz w:val="20"/>
        </w:rPr>
      </w:pPr>
      <w:r>
        <w:rPr>
          <w:b/>
          <w:w w:val="105"/>
          <w:sz w:val="20"/>
        </w:rPr>
        <w:t>Please note, the following over-the-counter products are now available without prior authorization:</w:t>
      </w:r>
    </w:p>
    <w:p>
      <w:pPr>
        <w:pStyle w:val="BodyText"/>
        <w:spacing w:line="292" w:lineRule="exact" w:before="78"/>
        <w:ind w:left="116" w:right="1342"/>
      </w:pPr>
      <w:r>
        <w:rPr/>
        <w:t>Naphcon-A (naphazoline/pheniramine) </w:t>
      </w:r>
      <w:r>
        <w:rPr>
          <w:w w:val="105"/>
        </w:rPr>
        <w:t>Opcon-A (naphazoline/pheniramine) Vasocon-A (naphazoline/antazoline) </w:t>
      </w:r>
      <w:r>
        <w:rPr>
          <w:rFonts w:ascii="Times New Roman"/>
          <w:color w:val="000080"/>
          <w:sz w:val="24"/>
        </w:rPr>
        <w:t>V</w:t>
      </w:r>
      <w:r>
        <w:rPr/>
        <w:t>isine-A  (naphazoline/pheniramine</w:t>
      </w:r>
      <w:r>
        <w:rPr>
          <w:color w:val="800000"/>
        </w:rPr>
        <w:t>)</w:t>
      </w:r>
    </w:p>
    <w:p>
      <w:pPr>
        <w:pStyle w:val="BodyText"/>
        <w:spacing w:line="304" w:lineRule="auto" w:before="168"/>
        <w:ind w:left="116" w:right="-16"/>
      </w:pPr>
      <w:r>
        <w:rPr>
          <w:w w:val="105"/>
        </w:rPr>
        <w:t>Please</w:t>
      </w:r>
      <w:r>
        <w:rPr>
          <w:spacing w:val="-9"/>
          <w:w w:val="105"/>
        </w:rPr>
        <w:t> </w:t>
      </w:r>
      <w:r>
        <w:rPr>
          <w:w w:val="105"/>
        </w:rPr>
        <w:t>remember</w:t>
      </w:r>
      <w:r>
        <w:rPr>
          <w:spacing w:val="-9"/>
          <w:w w:val="105"/>
        </w:rPr>
        <w:t> </w:t>
      </w:r>
      <w:r>
        <w:rPr>
          <w:w w:val="105"/>
        </w:rPr>
        <w:t>that</w:t>
      </w:r>
      <w:r>
        <w:rPr>
          <w:spacing w:val="-9"/>
          <w:w w:val="105"/>
        </w:rPr>
        <w:t> </w:t>
      </w:r>
      <w:r>
        <w:rPr>
          <w:w w:val="105"/>
        </w:rPr>
        <w:t>the</w:t>
      </w:r>
      <w:r>
        <w:rPr>
          <w:spacing w:val="-9"/>
          <w:w w:val="105"/>
        </w:rPr>
        <w:t> </w:t>
      </w:r>
      <w:r>
        <w:rPr>
          <w:w w:val="105"/>
        </w:rPr>
        <w:t>MHDL</w:t>
      </w:r>
      <w:r>
        <w:rPr>
          <w:spacing w:val="-16"/>
          <w:w w:val="105"/>
        </w:rPr>
        <w:t> </w:t>
      </w:r>
      <w:r>
        <w:rPr>
          <w:w w:val="105"/>
        </w:rPr>
        <w:t>and</w:t>
      </w:r>
      <w:r>
        <w:rPr>
          <w:spacing w:val="-9"/>
          <w:w w:val="105"/>
        </w:rPr>
        <w:t> </w:t>
      </w:r>
      <w:r>
        <w:rPr>
          <w:w w:val="105"/>
        </w:rPr>
        <w:t>its</w:t>
      </w:r>
      <w:r>
        <w:rPr>
          <w:spacing w:val="-9"/>
          <w:w w:val="105"/>
        </w:rPr>
        <w:t> </w:t>
      </w:r>
      <w:r>
        <w:rPr>
          <w:w w:val="105"/>
        </w:rPr>
        <w:t>updates</w:t>
      </w:r>
      <w:r>
        <w:rPr>
          <w:spacing w:val="-9"/>
          <w:w w:val="105"/>
        </w:rPr>
        <w:t> </w:t>
      </w:r>
      <w:r>
        <w:rPr>
          <w:w w:val="105"/>
        </w:rPr>
        <w:t>can be</w:t>
      </w:r>
      <w:r>
        <w:rPr>
          <w:spacing w:val="-17"/>
          <w:w w:val="105"/>
        </w:rPr>
        <w:t> </w:t>
      </w:r>
      <w:r>
        <w:rPr>
          <w:w w:val="105"/>
        </w:rPr>
        <w:t>found</w:t>
      </w:r>
      <w:r>
        <w:rPr>
          <w:spacing w:val="-17"/>
          <w:w w:val="105"/>
        </w:rPr>
        <w:t> </w:t>
      </w:r>
      <w:r>
        <w:rPr>
          <w:w w:val="105"/>
        </w:rPr>
        <w:t>at:</w:t>
      </w:r>
      <w:r>
        <w:rPr>
          <w:spacing w:val="-17"/>
          <w:w w:val="105"/>
        </w:rPr>
        <w:t> </w:t>
      </w:r>
      <w:hyperlink r:id="rId9">
        <w:r>
          <w:rPr>
            <w:w w:val="105"/>
          </w:rPr>
          <w:t>www.mass.gov/druglist.</w:t>
        </w:r>
      </w:hyperlink>
    </w:p>
    <w:p>
      <w:pPr>
        <w:pStyle w:val="Heading1"/>
        <w:spacing w:before="78"/>
        <w:rPr>
          <w:b/>
        </w:rPr>
      </w:pPr>
      <w:r>
        <w:rPr>
          <w:b w:val="0"/>
        </w:rPr>
        <w:br w:type="column"/>
      </w:r>
      <w:r>
        <w:rPr>
          <w:b/>
        </w:rPr>
        <w:t>Patient Copayments</w:t>
      </w:r>
    </w:p>
    <w:p>
      <w:pPr>
        <w:pStyle w:val="BodyText"/>
        <w:spacing w:line="304" w:lineRule="auto" w:before="130"/>
        <w:ind w:left="116" w:right="591"/>
      </w:pPr>
      <w:r>
        <w:rPr/>
        <w:pict>
          <v:shape style="position:absolute;margin-left:-2pt;margin-top:303.775848pt;width:.1pt;height:582.1pt;mso-position-horizontal-relative:page;mso-position-vertical-relative:paragraph;z-index:1216" coordorigin="-40,6076" coordsize="0,11642" path="m6085,-387l6085,11236m6085,-252l6085,11255e" filled="false" stroked="true" strokeweight="1pt" strokecolor="#000000">
            <v:path arrowok="t"/>
            <v:stroke dashstyle="solid"/>
            <w10:wrap type="none"/>
          </v:shape>
        </w:pict>
      </w:r>
      <w:r>
        <w:rPr>
          <w:w w:val="105"/>
        </w:rPr>
        <w:t>In accordance with 130 CMR 450.130(E), providers may not refuse services to any member who states that he or she is not financially able to pay the copayment at the time the service is provided. In addition, 130 CMR </w:t>
      </w:r>
      <w:r>
        <w:rPr>
          <w:spacing w:val="-3"/>
          <w:w w:val="105"/>
        </w:rPr>
        <w:t>406.411(D)(1) </w:t>
      </w:r>
      <w:r>
        <w:rPr>
          <w:w w:val="105"/>
        </w:rPr>
        <w:t>specifies that providers may not split prescriptions by filling them for a quantity less than what has been specified by the prescriber. Failure to fill the prescription for the full</w:t>
      </w:r>
      <w:r>
        <w:rPr>
          <w:spacing w:val="-11"/>
          <w:w w:val="105"/>
        </w:rPr>
        <w:t> </w:t>
      </w:r>
      <w:r>
        <w:rPr>
          <w:w w:val="105"/>
        </w:rPr>
        <w:t>amount</w:t>
      </w:r>
      <w:r>
        <w:rPr>
          <w:spacing w:val="-11"/>
          <w:w w:val="105"/>
        </w:rPr>
        <w:t> </w:t>
      </w:r>
      <w:r>
        <w:rPr>
          <w:w w:val="105"/>
        </w:rPr>
        <w:t>and</w:t>
      </w:r>
      <w:r>
        <w:rPr>
          <w:spacing w:val="-11"/>
          <w:w w:val="105"/>
        </w:rPr>
        <w:t> </w:t>
      </w:r>
      <w:r>
        <w:rPr>
          <w:w w:val="105"/>
        </w:rPr>
        <w:t>duration</w:t>
      </w:r>
      <w:r>
        <w:rPr>
          <w:spacing w:val="-11"/>
          <w:w w:val="105"/>
        </w:rPr>
        <w:t> </w:t>
      </w:r>
      <w:r>
        <w:rPr>
          <w:w w:val="105"/>
        </w:rPr>
        <w:t>the</w:t>
      </w:r>
      <w:r>
        <w:rPr>
          <w:spacing w:val="-11"/>
          <w:w w:val="105"/>
        </w:rPr>
        <w:t> </w:t>
      </w:r>
      <w:r>
        <w:rPr>
          <w:w w:val="105"/>
        </w:rPr>
        <w:t>prescriber</w:t>
      </w:r>
      <w:r>
        <w:rPr>
          <w:spacing w:val="-11"/>
          <w:w w:val="105"/>
        </w:rPr>
        <w:t> </w:t>
      </w:r>
      <w:r>
        <w:rPr>
          <w:w w:val="105"/>
        </w:rPr>
        <w:t>has</w:t>
      </w:r>
      <w:r>
        <w:rPr>
          <w:spacing w:val="-11"/>
          <w:w w:val="105"/>
        </w:rPr>
        <w:t> </w:t>
      </w:r>
      <w:r>
        <w:rPr>
          <w:w w:val="105"/>
        </w:rPr>
        <w:t>specified, due to the member’s inability to pay the copayment, constitutes</w:t>
      </w:r>
      <w:r>
        <w:rPr>
          <w:spacing w:val="-11"/>
          <w:w w:val="105"/>
        </w:rPr>
        <w:t> </w:t>
      </w:r>
      <w:r>
        <w:rPr>
          <w:w w:val="105"/>
        </w:rPr>
        <w:t>an</w:t>
      </w:r>
      <w:r>
        <w:rPr>
          <w:spacing w:val="-11"/>
          <w:w w:val="105"/>
        </w:rPr>
        <w:t> </w:t>
      </w:r>
      <w:r>
        <w:rPr>
          <w:w w:val="105"/>
        </w:rPr>
        <w:t>improper</w:t>
      </w:r>
      <w:r>
        <w:rPr>
          <w:spacing w:val="-11"/>
          <w:w w:val="105"/>
        </w:rPr>
        <w:t> </w:t>
      </w:r>
      <w:r>
        <w:rPr>
          <w:w w:val="105"/>
        </w:rPr>
        <w:t>refusal</w:t>
      </w:r>
      <w:r>
        <w:rPr>
          <w:spacing w:val="-11"/>
          <w:w w:val="105"/>
        </w:rPr>
        <w:t> </w:t>
      </w:r>
      <w:r>
        <w:rPr>
          <w:w w:val="105"/>
        </w:rPr>
        <w:t>of</w:t>
      </w:r>
      <w:r>
        <w:rPr>
          <w:spacing w:val="-11"/>
          <w:w w:val="105"/>
        </w:rPr>
        <w:t> </w:t>
      </w:r>
      <w:r>
        <w:rPr>
          <w:w w:val="105"/>
        </w:rPr>
        <w:t>service.</w:t>
      </w:r>
    </w:p>
    <w:p>
      <w:pPr>
        <w:pStyle w:val="BodyText"/>
        <w:spacing w:before="4"/>
        <w:rPr>
          <w:sz w:val="22"/>
        </w:rPr>
      </w:pPr>
    </w:p>
    <w:p>
      <w:pPr>
        <w:pStyle w:val="Heading1"/>
        <w:rPr>
          <w:b/>
        </w:rPr>
      </w:pPr>
      <w:r>
        <w:rPr>
          <w:b/>
        </w:rPr>
        <w:t>Patient Location Codes</w:t>
      </w:r>
    </w:p>
    <w:p>
      <w:pPr>
        <w:pStyle w:val="BodyText"/>
        <w:spacing w:line="304" w:lineRule="auto" w:before="129"/>
        <w:ind w:left="116" w:right="772"/>
      </w:pPr>
      <w:r>
        <w:rPr>
          <w:w w:val="105"/>
        </w:rPr>
        <w:t>As many pharmacists are aware, MassHealth has been denying claims when a pharmacy submits a claim with a location code that indicates a member resides in a Long Term Care (LTC) facility and MassHealth does not believe the member is a LTC resident. A member is not considered to be a LTC resident (and therefore exempt from copay) unless the residence is a medical facility.</w:t>
      </w:r>
    </w:p>
    <w:p>
      <w:pPr>
        <w:spacing w:after="0" w:line="304" w:lineRule="auto"/>
        <w:sectPr>
          <w:type w:val="continuous"/>
          <w:pgSz w:w="12240" w:h="15840"/>
          <w:pgMar w:top="420" w:bottom="280" w:left="820" w:right="360"/>
          <w:cols w:num="2" w:equalWidth="0">
            <w:col w:w="5011" w:space="425"/>
            <w:col w:w="5624"/>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5"/>
        </w:rPr>
      </w:pPr>
    </w:p>
    <w:p>
      <w:pPr>
        <w:pStyle w:val="BodyText"/>
        <w:spacing w:line="79" w:lineRule="exact"/>
        <w:ind w:left="111"/>
        <w:rPr>
          <w:sz w:val="7"/>
        </w:rPr>
      </w:pPr>
      <w:r>
        <w:rPr>
          <w:position w:val="-1"/>
          <w:sz w:val="7"/>
        </w:rPr>
        <w:pict>
          <v:group style="width:519.4pt;height:4pt;mso-position-horizontal-relative:char;mso-position-vertical-relative:line" coordorigin="0,0" coordsize="10388,80">
            <v:line style="position:absolute" from="10,10" to="10378,10" stroked="true" strokeweight="1pt" strokecolor="#000000">
              <v:stroke dashstyle="solid"/>
            </v:line>
            <v:line style="position:absolute" from="10,70" to="10378,70" stroked="true" strokeweight=".99998pt" strokecolor="#000000">
              <v:stroke dashstyle="solid"/>
            </v:line>
          </v:group>
        </w:pict>
      </w:r>
      <w:r>
        <w:rPr>
          <w:position w:val="-1"/>
          <w:sz w:val="7"/>
        </w:rPr>
      </w:r>
    </w:p>
    <w:p>
      <w:pPr>
        <w:pStyle w:val="BodyText"/>
        <w:spacing w:before="10"/>
        <w:rPr>
          <w:sz w:val="9"/>
        </w:rPr>
      </w:pPr>
    </w:p>
    <w:p>
      <w:pPr>
        <w:pStyle w:val="BodyText"/>
        <w:spacing w:before="101"/>
        <w:ind w:left="121"/>
      </w:pPr>
      <w:r>
        <w:rPr>
          <w:w w:val="105"/>
        </w:rPr>
        <w:t>Please direct any questions or comments (or to be taken off of this fax distribution) to</w:t>
      </w:r>
    </w:p>
    <w:p>
      <w:pPr>
        <w:spacing w:before="29"/>
        <w:ind w:left="121" w:right="0" w:firstLine="0"/>
        <w:jc w:val="left"/>
        <w:rPr>
          <w:sz w:val="20"/>
        </w:rPr>
      </w:pPr>
      <w:r>
        <w:rPr>
          <w:rFonts w:ascii="Arial Black"/>
          <w:b/>
          <w:w w:val="105"/>
          <w:sz w:val="20"/>
        </w:rPr>
        <w:t>Victor Moquin </w:t>
      </w:r>
      <w:r>
        <w:rPr>
          <w:w w:val="105"/>
          <w:sz w:val="20"/>
        </w:rPr>
        <w:t>of ACS at 617-423-9830.</w:t>
      </w:r>
    </w:p>
    <w:sectPr>
      <w:type w:val="continuous"/>
      <w:pgSz w:w="12240" w:h="15840"/>
      <w:pgMar w:top="420" w:bottom="280" w:left="8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Arial">
    <w:altName w:val="Arial"/>
    <w:charset w:val="0"/>
    <w:family w:val="swiss"/>
    <w:pitch w:val="variable"/>
  </w:font>
  <w:font w:name="Lucida Sans">
    <w:altName w:val="Lucida San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331" w:hanging="151"/>
      </w:pPr>
      <w:rPr>
        <w:rFonts w:hint="default" w:ascii="Arial Black" w:hAnsi="Arial Black" w:eastAsia="Arial Black" w:cs="Arial Black"/>
        <w:b/>
        <w:bCs/>
        <w:spacing w:val="-11"/>
        <w:w w:val="100"/>
        <w:sz w:val="18"/>
        <w:szCs w:val="18"/>
      </w:rPr>
    </w:lvl>
    <w:lvl w:ilvl="1">
      <w:start w:val="0"/>
      <w:numFmt w:val="bullet"/>
      <w:lvlText w:val="•"/>
      <w:lvlJc w:val="left"/>
      <w:pPr>
        <w:ind w:left="3212" w:hanging="151"/>
      </w:pPr>
      <w:rPr>
        <w:rFonts w:hint="default"/>
      </w:rPr>
    </w:lvl>
    <w:lvl w:ilvl="2">
      <w:start w:val="0"/>
      <w:numFmt w:val="bullet"/>
      <w:lvlText w:val="•"/>
      <w:lvlJc w:val="left"/>
      <w:pPr>
        <w:ind w:left="4084" w:hanging="151"/>
      </w:pPr>
      <w:rPr>
        <w:rFonts w:hint="default"/>
      </w:rPr>
    </w:lvl>
    <w:lvl w:ilvl="3">
      <w:start w:val="0"/>
      <w:numFmt w:val="bullet"/>
      <w:lvlText w:val="•"/>
      <w:lvlJc w:val="left"/>
      <w:pPr>
        <w:ind w:left="4956" w:hanging="151"/>
      </w:pPr>
      <w:rPr>
        <w:rFonts w:hint="default"/>
      </w:rPr>
    </w:lvl>
    <w:lvl w:ilvl="4">
      <w:start w:val="0"/>
      <w:numFmt w:val="bullet"/>
      <w:lvlText w:val="•"/>
      <w:lvlJc w:val="left"/>
      <w:pPr>
        <w:ind w:left="5828" w:hanging="151"/>
      </w:pPr>
      <w:rPr>
        <w:rFonts w:hint="default"/>
      </w:rPr>
    </w:lvl>
    <w:lvl w:ilvl="5">
      <w:start w:val="0"/>
      <w:numFmt w:val="bullet"/>
      <w:lvlText w:val="•"/>
      <w:lvlJc w:val="left"/>
      <w:pPr>
        <w:ind w:left="6700" w:hanging="151"/>
      </w:pPr>
      <w:rPr>
        <w:rFonts w:hint="default"/>
      </w:rPr>
    </w:lvl>
    <w:lvl w:ilvl="6">
      <w:start w:val="0"/>
      <w:numFmt w:val="bullet"/>
      <w:lvlText w:val="•"/>
      <w:lvlJc w:val="left"/>
      <w:pPr>
        <w:ind w:left="7572" w:hanging="151"/>
      </w:pPr>
      <w:rPr>
        <w:rFonts w:hint="default"/>
      </w:rPr>
    </w:lvl>
    <w:lvl w:ilvl="7">
      <w:start w:val="0"/>
      <w:numFmt w:val="bullet"/>
      <w:lvlText w:val="•"/>
      <w:lvlJc w:val="left"/>
      <w:pPr>
        <w:ind w:left="8444" w:hanging="151"/>
      </w:pPr>
      <w:rPr>
        <w:rFonts w:hint="default"/>
      </w:rPr>
    </w:lvl>
    <w:lvl w:ilvl="8">
      <w:start w:val="0"/>
      <w:numFmt w:val="bullet"/>
      <w:lvlText w:val="•"/>
      <w:lvlJc w:val="left"/>
      <w:pPr>
        <w:ind w:left="9316" w:hanging="15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16"/>
      <w:outlineLvl w:val="1"/>
    </w:pPr>
    <w:rPr>
      <w:rFonts w:ascii="Arial Black" w:hAnsi="Arial Black" w:eastAsia="Arial Black" w:cs="Arial Black"/>
      <w:b/>
      <w:bCs/>
      <w:sz w:val="22"/>
      <w:szCs w:val="22"/>
    </w:rPr>
  </w:style>
  <w:style w:styleId="ListParagraph" w:type="paragraph">
    <w:name w:val="List Paragraph"/>
    <w:basedOn w:val="Normal"/>
    <w:uiPriority w:val="1"/>
    <w:qFormat/>
    <w:pPr>
      <w:spacing w:before="46" w:line="230" w:lineRule="exact"/>
      <w:ind w:left="2331" w:hanging="151"/>
    </w:pPr>
    <w:rPr>
      <w:rFonts w:ascii="Arial Narrow" w:hAnsi="Arial Narrow" w:eastAsia="Arial Narrow" w:cs="Arial Narrow"/>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mass.gov/druglist"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2017-11-16T08:56:17Z</dcterms:created>
  <dcterms:modified xsi:type="dcterms:W3CDTF">2017-11-16T08:56:17Z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2005-04-22T00:00:00Z</vt:filetime>
  </property>
  <property fmtid="{D5CDD505-2E9C-101B-9397-08002B2CF9AE}" pid="3" name="Creator">
    <vt:lpwstr>Adobe InDesign 2.0</vt:lpwstr>
  </property>
  <property fmtid="{D5CDD505-2E9C-101B-9397-08002B2CF9AE}" pid="4" name="LastSaved">
    <vt:filetime>2017-11-16T00:00:00Z</vt:filetime>
  </property>
</Properties>
</file>