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14" w:rsidRDefault="00666D2A" w:rsidP="00D2695E">
      <w:pPr>
        <w:ind w:left="-180"/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1143000</wp:posOffset>
                </wp:positionV>
                <wp:extent cx="1028700" cy="22860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8B8" w:rsidRPr="00AD18B8" w:rsidRDefault="00AD18B8" w:rsidP="00AD18B8">
                            <w:pPr>
                              <w:pStyle w:val="Default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  <w:r w:rsidRPr="00AD18B8">
                              <w:rPr>
                                <w:sz w:val="18"/>
                                <w:szCs w:val="18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50pt;margin-top:90pt;width:81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FVfgIAAA8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" stroked="f">
                <v:textbox>
                  <w:txbxContent>
                    <w:p w:rsidR="00AD18B8" w:rsidRPr="00AD18B8" w:rsidRDefault="00AD18B8" w:rsidP="00AD18B8">
                      <w:pPr>
                        <w:pStyle w:val="Default"/>
                        <w:jc w:val="center"/>
                        <w:rPr>
                          <w:sz w:val="6"/>
                          <w:szCs w:val="6"/>
                        </w:rPr>
                      </w:pPr>
                      <w:r w:rsidRPr="00AD18B8">
                        <w:rPr>
                          <w:sz w:val="18"/>
                          <w:szCs w:val="18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571500</wp:posOffset>
                </wp:positionV>
                <wp:extent cx="1485900" cy="45720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FDF" w:rsidRPr="003530AE" w:rsidRDefault="00760FDF" w:rsidP="002D738C">
                            <w:pPr>
                              <w:pStyle w:val="Noparagraphstyle"/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530AE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N</w:t>
                            </w:r>
                            <w:r w:rsidR="00F76D69" w:rsidRPr="003530AE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umber </w:t>
                            </w:r>
                            <w:r w:rsidR="00D74A8F" w:rsidRPr="003530AE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96</w:t>
                            </w:r>
                          </w:p>
                          <w:p w:rsidR="00760FDF" w:rsidRPr="003530AE" w:rsidRDefault="00D74A8F" w:rsidP="00F76D69">
                            <w:pPr>
                              <w:spacing w:line="36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3530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October 27,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pt;margin-top:45pt;width:117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" filled="f" stroked="f" strokeweight="0">
                <v:textbox>
                  <w:txbxContent>
                    <w:p w:rsidR="00760FDF" w:rsidRPr="003530AE" w:rsidRDefault="00760FDF" w:rsidP="002D738C">
                      <w:pPr>
                        <w:pStyle w:val="Noparagraphstyle"/>
                        <w:rPr>
                          <w:rFonts w:ascii="Arial Narrow" w:hAnsi="Arial Narrow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3530AE">
                        <w:rPr>
                          <w:rFonts w:ascii="Arial Narrow" w:hAnsi="Arial Narrow"/>
                          <w:b/>
                          <w:color w:val="auto"/>
                          <w:sz w:val="20"/>
                          <w:szCs w:val="20"/>
                        </w:rPr>
                        <w:t>N</w:t>
                      </w:r>
                      <w:r w:rsidR="00F76D69" w:rsidRPr="003530AE">
                        <w:rPr>
                          <w:rFonts w:ascii="Arial Narrow" w:hAnsi="Arial Narrow"/>
                          <w:b/>
                          <w:color w:val="auto"/>
                          <w:sz w:val="20"/>
                          <w:szCs w:val="20"/>
                        </w:rPr>
                        <w:t xml:space="preserve">umber </w:t>
                      </w:r>
                      <w:r w:rsidR="00D74A8F" w:rsidRPr="003530AE">
                        <w:rPr>
                          <w:rFonts w:ascii="Arial Narrow" w:hAnsi="Arial Narrow"/>
                          <w:b/>
                          <w:color w:val="auto"/>
                          <w:sz w:val="20"/>
                          <w:szCs w:val="20"/>
                        </w:rPr>
                        <w:t>96</w:t>
                      </w:r>
                    </w:p>
                    <w:p w:rsidR="00760FDF" w:rsidRPr="003530AE" w:rsidRDefault="00D74A8F" w:rsidP="00F76D69">
                      <w:pPr>
                        <w:spacing w:line="36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3530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October 27, 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1308100</wp:posOffset>
                </wp:positionV>
                <wp:extent cx="2628900" cy="228600"/>
                <wp:effectExtent l="0" t="317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FDF" w:rsidRPr="007A41F5" w:rsidRDefault="00760FDF" w:rsidP="002C7C67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7A41F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www.mass.gov/mas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</w:t>
                            </w:r>
                            <w:r w:rsidRPr="007A41F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health/pharmacy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53pt;margin-top:103pt;width:20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" filled="f" stroked="f">
                <v:textbox>
                  <w:txbxContent>
                    <w:p w:rsidR="00760FDF" w:rsidRPr="007A41F5" w:rsidRDefault="00760FDF" w:rsidP="002C7C67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7A41F5">
                        <w:rPr>
                          <w:rFonts w:ascii="Arial Narrow" w:hAnsi="Arial Narrow"/>
                          <w:sz w:val="18"/>
                          <w:szCs w:val="18"/>
                        </w:rPr>
                        <w:t>www.mass.gov/mas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</w:t>
                      </w:r>
                      <w:r w:rsidRPr="007A41F5">
                        <w:rPr>
                          <w:rFonts w:ascii="Arial Narrow" w:hAnsi="Arial Narrow"/>
                          <w:sz w:val="18"/>
                          <w:szCs w:val="18"/>
                        </w:rPr>
                        <w:t>health/pharmacy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981825" cy="1485900"/>
            <wp:effectExtent l="0" t="0" r="9525" b="0"/>
            <wp:docPr id="1" name="Picture 1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72" w:type="dxa"/>
        <w:tblBorders>
          <w:top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310"/>
      </w:tblGrid>
      <w:tr w:rsidR="00CA0669" w:rsidTr="007757E7">
        <w:trPr>
          <w:trHeight w:val="188"/>
        </w:trPr>
        <w:tc>
          <w:tcPr>
            <w:tcW w:w="106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669" w:rsidRPr="007757E7" w:rsidRDefault="002C7C67" w:rsidP="00A343A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Tahoma" w:hAnsi="Tahoma" w:cs="Tahoma"/>
                <w:color w:val="000000"/>
                <w:sz w:val="32"/>
                <w:szCs w:val="32"/>
              </w:rPr>
            </w:pPr>
            <w:r w:rsidRPr="007757E7">
              <w:rPr>
                <w:rFonts w:ascii="Arial Black" w:hAnsi="Arial Black" w:cs="Arial Black"/>
                <w:color w:val="000000"/>
                <w:sz w:val="18"/>
                <w:szCs w:val="18"/>
              </w:rPr>
              <w:softHyphen/>
            </w:r>
            <w:r w:rsidR="00EC08AC" w:rsidRPr="007757E7">
              <w:rPr>
                <w:rFonts w:ascii="Arial Black" w:hAnsi="Arial Black" w:cs="Arial Black"/>
                <w:color w:val="000000"/>
                <w:sz w:val="18"/>
                <w:szCs w:val="18"/>
              </w:rPr>
              <w:t xml:space="preserve">• </w:t>
            </w:r>
            <w:r w:rsidR="00EC08AC" w:rsidRPr="007757E7">
              <w:rPr>
                <w:rFonts w:ascii="Arial Narrow" w:hAnsi="Arial Narrow" w:cs="Arial Narrow"/>
                <w:color w:val="000000"/>
                <w:sz w:val="18"/>
                <w:szCs w:val="18"/>
              </w:rPr>
              <w:t>Editor: Vic Vangel</w:t>
            </w:r>
            <w:r w:rsidR="00EC08AC" w:rsidRPr="007757E7">
              <w:rPr>
                <w:rFonts w:ascii="Arial Black" w:hAnsi="Arial Black" w:cs="Arial Black"/>
                <w:color w:val="000000"/>
                <w:sz w:val="18"/>
                <w:szCs w:val="18"/>
              </w:rPr>
              <w:t xml:space="preserve"> • </w:t>
            </w:r>
            <w:r w:rsidR="00EC08AC" w:rsidRPr="007757E7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Contributors: </w:t>
            </w:r>
            <w:r w:rsidR="00E92E47" w:rsidRPr="00F918E8">
              <w:rPr>
                <w:rFonts w:ascii="Arial Narrow" w:hAnsi="Arial Narrow" w:cs="Arial Narrow"/>
                <w:color w:val="000000"/>
                <w:sz w:val="18"/>
                <w:szCs w:val="18"/>
              </w:rPr>
              <w:t>Paul Jeffrey, Kim Lenz, James Monahan, Nancy Schiff</w:t>
            </w:r>
            <w:r w:rsidR="00E92E47" w:rsidRPr="00F918E8">
              <w:rPr>
                <w:rFonts w:ascii="Arial Black" w:hAnsi="Arial Black" w:cs="Arial Black"/>
                <w:color w:val="000000"/>
                <w:sz w:val="18"/>
                <w:szCs w:val="18"/>
              </w:rPr>
              <w:t xml:space="preserve"> </w:t>
            </w:r>
            <w:r w:rsidR="00EC08AC" w:rsidRPr="007757E7">
              <w:rPr>
                <w:rFonts w:ascii="Arial Black" w:hAnsi="Arial Black" w:cs="Arial Black"/>
                <w:color w:val="000000"/>
                <w:sz w:val="18"/>
                <w:szCs w:val="18"/>
              </w:rPr>
              <w:t>•</w:t>
            </w:r>
          </w:p>
        </w:tc>
      </w:tr>
      <w:tr w:rsidR="00CA0669" w:rsidTr="007757E7">
        <w:trPr>
          <w:trHeight w:val="12190"/>
        </w:trPr>
        <w:tc>
          <w:tcPr>
            <w:tcW w:w="5310" w:type="dxa"/>
            <w:tcBorders>
              <w:bottom w:val="nil"/>
            </w:tcBorders>
            <w:shd w:val="clear" w:color="auto" w:fill="auto"/>
          </w:tcPr>
          <w:p w:rsidR="005958DD" w:rsidRPr="00D74A8F" w:rsidRDefault="00D74A8F" w:rsidP="00D74A8F">
            <w:pPr>
              <w:pStyle w:val="Subtitle"/>
              <w:ind w:left="-72"/>
              <w:rPr>
                <w:color w:val="auto"/>
              </w:rPr>
            </w:pPr>
            <w:r w:rsidRPr="00D74A8F">
              <w:rPr>
                <w:color w:val="auto"/>
              </w:rPr>
              <w:t>MHDL Update</w:t>
            </w:r>
          </w:p>
          <w:p w:rsidR="00D74A8F" w:rsidRPr="00D74A8F" w:rsidRDefault="00D74A8F" w:rsidP="00E177E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08" w:hanging="180"/>
              <w:rPr>
                <w:color w:val="000000"/>
                <w:sz w:val="21"/>
                <w:szCs w:val="21"/>
              </w:rPr>
            </w:pPr>
            <w:r w:rsidRPr="00D74A8F">
              <w:rPr>
                <w:b/>
                <w:bCs/>
                <w:color w:val="000000"/>
                <w:sz w:val="21"/>
                <w:szCs w:val="21"/>
              </w:rPr>
              <w:t xml:space="preserve"> Additions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-72"/>
              <w:rPr>
                <w:color w:val="000000"/>
                <w:sz w:val="12"/>
                <w:szCs w:val="21"/>
              </w:rPr>
            </w:pP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-72"/>
              <w:rPr>
                <w:color w:val="000000"/>
                <w:sz w:val="21"/>
                <w:szCs w:val="21"/>
              </w:rPr>
            </w:pPr>
            <w:r w:rsidRPr="00D74A8F">
              <w:rPr>
                <w:color w:val="000000"/>
                <w:sz w:val="21"/>
                <w:szCs w:val="21"/>
              </w:rPr>
              <w:t xml:space="preserve">Effective October 31, 2016, the following newly marketed drugs have been added to the MassHealth Drug List.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D74A8F">
              <w:rPr>
                <w:color w:val="000000"/>
                <w:sz w:val="21"/>
                <w:szCs w:val="21"/>
              </w:rPr>
              <w:t xml:space="preserve">Afstyla (antihemophilic factor, recombinant, single chain)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D74A8F">
              <w:rPr>
                <w:color w:val="000000"/>
                <w:sz w:val="21"/>
                <w:szCs w:val="21"/>
              </w:rPr>
              <w:t xml:space="preserve">Briviact (brivaracetam solution, tablet) – </w:t>
            </w:r>
            <w:r w:rsidRPr="00D74A8F">
              <w:rPr>
                <w:b/>
                <w:bCs/>
                <w:color w:val="000000"/>
                <w:sz w:val="21"/>
                <w:szCs w:val="21"/>
              </w:rPr>
              <w:t xml:space="preserve">PA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D74A8F">
              <w:rPr>
                <w:color w:val="000000"/>
                <w:sz w:val="21"/>
                <w:szCs w:val="21"/>
              </w:rPr>
              <w:t xml:space="preserve">butalbital 25 mg/acetaminophen 325 mg tablet – </w:t>
            </w:r>
            <w:r w:rsidRPr="00D74A8F">
              <w:rPr>
                <w:b/>
                <w:bCs/>
                <w:color w:val="000000"/>
                <w:sz w:val="21"/>
                <w:szCs w:val="21"/>
              </w:rPr>
              <w:t xml:space="preserve">PA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D74A8F">
              <w:rPr>
                <w:color w:val="000000"/>
                <w:sz w:val="21"/>
                <w:szCs w:val="21"/>
              </w:rPr>
              <w:t xml:space="preserve">Byvalson (nebivolol/valsartan) – </w:t>
            </w:r>
            <w:r w:rsidRPr="00D74A8F">
              <w:rPr>
                <w:b/>
                <w:bCs/>
                <w:color w:val="000000"/>
                <w:sz w:val="21"/>
                <w:szCs w:val="21"/>
              </w:rPr>
              <w:t xml:space="preserve">PA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D74A8F">
              <w:rPr>
                <w:color w:val="000000"/>
                <w:sz w:val="21"/>
                <w:szCs w:val="21"/>
              </w:rPr>
              <w:t xml:space="preserve">Cabometyx (cabozantinib tablet) – </w:t>
            </w:r>
            <w:r w:rsidRPr="00D74A8F">
              <w:rPr>
                <w:b/>
                <w:bCs/>
                <w:color w:val="000000"/>
                <w:sz w:val="21"/>
                <w:szCs w:val="21"/>
              </w:rPr>
              <w:t xml:space="preserve">PA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D74A8F">
              <w:rPr>
                <w:color w:val="000000"/>
                <w:sz w:val="21"/>
                <w:szCs w:val="21"/>
              </w:rPr>
              <w:t xml:space="preserve">Cinqair (reslizumab) – </w:t>
            </w:r>
            <w:r w:rsidRPr="00D74A8F">
              <w:rPr>
                <w:b/>
                <w:bCs/>
                <w:color w:val="000000"/>
                <w:sz w:val="21"/>
                <w:szCs w:val="21"/>
              </w:rPr>
              <w:t xml:space="preserve">PA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D74A8F">
              <w:rPr>
                <w:color w:val="000000"/>
                <w:sz w:val="21"/>
                <w:szCs w:val="21"/>
              </w:rPr>
              <w:t xml:space="preserve">Levo-T # (levothyroxine)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D74A8F">
              <w:rPr>
                <w:color w:val="000000"/>
                <w:sz w:val="21"/>
                <w:szCs w:val="21"/>
              </w:rPr>
              <w:t xml:space="preserve">Nuplazid (pimavanserin) – </w:t>
            </w:r>
            <w:r w:rsidRPr="00D74A8F">
              <w:rPr>
                <w:b/>
                <w:bCs/>
                <w:color w:val="000000"/>
                <w:sz w:val="21"/>
                <w:szCs w:val="21"/>
              </w:rPr>
              <w:t xml:space="preserve">PA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D74A8F">
              <w:rPr>
                <w:color w:val="000000"/>
                <w:sz w:val="21"/>
                <w:szCs w:val="21"/>
              </w:rPr>
              <w:t xml:space="preserve">Ocaliva (obeticholic acid) – </w:t>
            </w:r>
            <w:r w:rsidRPr="00D74A8F">
              <w:rPr>
                <w:b/>
                <w:bCs/>
                <w:color w:val="000000"/>
                <w:sz w:val="21"/>
                <w:szCs w:val="21"/>
              </w:rPr>
              <w:t xml:space="preserve">PA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D74A8F">
              <w:rPr>
                <w:color w:val="000000"/>
                <w:sz w:val="21"/>
                <w:szCs w:val="21"/>
              </w:rPr>
              <w:t xml:space="preserve">Onzetra (sumatriptan nasal powder) – </w:t>
            </w:r>
            <w:r w:rsidRPr="00D74A8F">
              <w:rPr>
                <w:b/>
                <w:bCs/>
                <w:color w:val="000000"/>
                <w:sz w:val="21"/>
                <w:szCs w:val="21"/>
              </w:rPr>
              <w:t xml:space="preserve">PA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D74A8F">
              <w:rPr>
                <w:color w:val="000000"/>
                <w:sz w:val="21"/>
                <w:szCs w:val="21"/>
              </w:rPr>
              <w:t xml:space="preserve">Probuphine (buprenorphine implant)^ – </w:t>
            </w:r>
            <w:r w:rsidRPr="00D74A8F">
              <w:rPr>
                <w:b/>
                <w:bCs/>
                <w:color w:val="000000"/>
                <w:sz w:val="21"/>
                <w:szCs w:val="21"/>
              </w:rPr>
              <w:t xml:space="preserve">PA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D74A8F">
              <w:rPr>
                <w:color w:val="000000"/>
                <w:sz w:val="21"/>
                <w:szCs w:val="21"/>
              </w:rPr>
              <w:t xml:space="preserve">Qbrelis (lisinopril solution) – </w:t>
            </w:r>
            <w:r w:rsidRPr="00D74A8F">
              <w:rPr>
                <w:b/>
                <w:bCs/>
                <w:color w:val="000000"/>
                <w:sz w:val="21"/>
                <w:szCs w:val="21"/>
              </w:rPr>
              <w:t xml:space="preserve">PA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D74A8F">
              <w:rPr>
                <w:color w:val="000000"/>
                <w:sz w:val="21"/>
                <w:szCs w:val="21"/>
              </w:rPr>
              <w:t xml:space="preserve">Tecentriq (atezolizumab) – </w:t>
            </w:r>
            <w:r w:rsidRPr="00D74A8F">
              <w:rPr>
                <w:b/>
                <w:bCs/>
                <w:color w:val="000000"/>
                <w:sz w:val="21"/>
                <w:szCs w:val="21"/>
              </w:rPr>
              <w:t xml:space="preserve">PA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108"/>
              <w:rPr>
                <w:color w:val="000000"/>
                <w:sz w:val="14"/>
                <w:szCs w:val="14"/>
              </w:rPr>
            </w:pPr>
            <w:r w:rsidRPr="00D74A8F">
              <w:rPr>
                <w:color w:val="000000"/>
                <w:sz w:val="21"/>
                <w:szCs w:val="21"/>
              </w:rPr>
              <w:t>Vaxchora (cholera vaccine, live, oral)</w:t>
            </w:r>
            <w:r w:rsidRPr="00D74A8F">
              <w:rPr>
                <w:color w:val="000000"/>
                <w:sz w:val="14"/>
                <w:szCs w:val="14"/>
              </w:rPr>
              <w:t xml:space="preserve">1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D74A8F">
              <w:rPr>
                <w:color w:val="000000"/>
                <w:sz w:val="21"/>
                <w:szCs w:val="21"/>
              </w:rPr>
              <w:t xml:space="preserve">Venclexta (venetoclax) – </w:t>
            </w:r>
            <w:r w:rsidRPr="00D74A8F">
              <w:rPr>
                <w:b/>
                <w:bCs/>
                <w:color w:val="000000"/>
                <w:sz w:val="21"/>
                <w:szCs w:val="21"/>
              </w:rPr>
              <w:t xml:space="preserve">PA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D74A8F">
              <w:rPr>
                <w:color w:val="000000"/>
                <w:sz w:val="21"/>
                <w:szCs w:val="21"/>
              </w:rPr>
              <w:t xml:space="preserve">Viekira XR (dasabuvir/ombitasvir/paritaprevir/ritonavir extended-release) – </w:t>
            </w:r>
            <w:r w:rsidRPr="00D74A8F">
              <w:rPr>
                <w:b/>
                <w:bCs/>
                <w:color w:val="000000"/>
                <w:sz w:val="21"/>
                <w:szCs w:val="21"/>
              </w:rPr>
              <w:t xml:space="preserve">PA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D74A8F">
              <w:rPr>
                <w:color w:val="000000"/>
                <w:sz w:val="21"/>
                <w:szCs w:val="21"/>
              </w:rPr>
              <w:t xml:space="preserve">Vonvendi (von willebrand factor, recombinant)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D74A8F">
              <w:rPr>
                <w:color w:val="000000"/>
                <w:sz w:val="21"/>
                <w:szCs w:val="21"/>
              </w:rPr>
              <w:t xml:space="preserve">Xtampza (oxycodone extended-release capsule) – </w:t>
            </w:r>
            <w:r w:rsidRPr="00D74A8F">
              <w:rPr>
                <w:b/>
                <w:bCs/>
                <w:color w:val="000000"/>
                <w:sz w:val="21"/>
                <w:szCs w:val="21"/>
              </w:rPr>
              <w:t xml:space="preserve">PA </w:t>
            </w:r>
          </w:p>
          <w:p w:rsidR="00D74A8F" w:rsidRPr="00D74A8F" w:rsidRDefault="00D74A8F" w:rsidP="00D74A8F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D74A8F">
              <w:rPr>
                <w:color w:val="000000"/>
                <w:sz w:val="21"/>
                <w:szCs w:val="21"/>
              </w:rPr>
              <w:t xml:space="preserve">Zembrace (sumatriptan injection) – </w:t>
            </w:r>
            <w:r w:rsidRPr="00D74A8F">
              <w:rPr>
                <w:b/>
                <w:bCs/>
                <w:color w:val="000000"/>
                <w:sz w:val="21"/>
                <w:szCs w:val="21"/>
              </w:rPr>
              <w:t xml:space="preserve">PA </w:t>
            </w:r>
          </w:p>
          <w:p w:rsidR="00D74A8F" w:rsidRDefault="00D74A8F" w:rsidP="00D74A8F">
            <w:pPr>
              <w:pStyle w:val="Noparagraphstyle"/>
              <w:spacing w:before="40" w:after="40" w:line="240" w:lineRule="auto"/>
              <w:ind w:left="108" w:right="144"/>
              <w:rPr>
                <w:b/>
                <w:bCs/>
                <w:sz w:val="21"/>
                <w:szCs w:val="21"/>
              </w:rPr>
            </w:pPr>
            <w:r w:rsidRPr="00D74A8F">
              <w:rPr>
                <w:sz w:val="21"/>
                <w:szCs w:val="21"/>
              </w:rPr>
              <w:t xml:space="preserve">Zinbryta (daclizumab) – </w:t>
            </w:r>
            <w:r w:rsidRPr="00D74A8F">
              <w:rPr>
                <w:b/>
                <w:bCs/>
                <w:sz w:val="21"/>
                <w:szCs w:val="21"/>
              </w:rPr>
              <w:t>PA</w:t>
            </w:r>
          </w:p>
          <w:p w:rsidR="00D74A8F" w:rsidRPr="00223427" w:rsidRDefault="00D74A8F" w:rsidP="00D74A8F">
            <w:pPr>
              <w:pStyle w:val="Noparagraphstyle"/>
              <w:spacing w:before="40" w:after="40" w:line="240" w:lineRule="auto"/>
              <w:ind w:right="144"/>
              <w:rPr>
                <w:rFonts w:ascii="Arial" w:hAnsi="Arial" w:cs="Arial"/>
                <w:sz w:val="16"/>
                <w:szCs w:val="16"/>
              </w:rPr>
            </w:pPr>
          </w:p>
          <w:p w:rsidR="00D74A8F" w:rsidRPr="00223427" w:rsidRDefault="00E177EF" w:rsidP="00723B30">
            <w:pPr>
              <w:numPr>
                <w:ilvl w:val="0"/>
                <w:numId w:val="3"/>
              </w:numPr>
              <w:tabs>
                <w:tab w:val="left" w:pos="108"/>
              </w:tabs>
              <w:suppressAutoHyphens/>
              <w:autoSpaceDE w:val="0"/>
              <w:autoSpaceDN w:val="0"/>
              <w:adjustRightInd w:val="0"/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D74A8F" w:rsidRPr="00D74A8F">
              <w:rPr>
                <w:b/>
                <w:bCs/>
                <w:sz w:val="21"/>
                <w:szCs w:val="21"/>
              </w:rPr>
              <w:t>Change in Prior Authorization Status</w:t>
            </w:r>
          </w:p>
          <w:p w:rsidR="002C4CCD" w:rsidRDefault="002C4CCD" w:rsidP="00723B30">
            <w:pPr>
              <w:pStyle w:val="BodyTextIndent2"/>
              <w:numPr>
                <w:ilvl w:val="0"/>
                <w:numId w:val="5"/>
              </w:numPr>
              <w:suppressAutoHyphens/>
              <w:adjustRightInd w:val="0"/>
              <w:ind w:left="198" w:hanging="270"/>
              <w:rPr>
                <w:color w:val="auto"/>
                <w:sz w:val="21"/>
                <w:szCs w:val="21"/>
              </w:rPr>
            </w:pPr>
            <w:r w:rsidRPr="00B90F98">
              <w:rPr>
                <w:color w:val="auto"/>
                <w:sz w:val="21"/>
                <w:szCs w:val="21"/>
              </w:rPr>
              <w:t xml:space="preserve">Effective </w:t>
            </w:r>
            <w:r>
              <w:rPr>
                <w:bCs/>
                <w:color w:val="auto"/>
                <w:sz w:val="21"/>
                <w:szCs w:val="21"/>
              </w:rPr>
              <w:t>October 31</w:t>
            </w:r>
            <w:r w:rsidRPr="00217880">
              <w:rPr>
                <w:color w:val="auto"/>
                <w:sz w:val="21"/>
                <w:szCs w:val="21"/>
              </w:rPr>
              <w:t>, 2016</w:t>
            </w:r>
            <w:r w:rsidRPr="00B90F98">
              <w:rPr>
                <w:color w:val="auto"/>
                <w:sz w:val="21"/>
                <w:szCs w:val="21"/>
              </w:rPr>
              <w:t>, the chewable tablet and oral suspension formulations of the following antiviral agent will no longer require prior authorization.</w:t>
            </w:r>
          </w:p>
          <w:p w:rsidR="002C4CCD" w:rsidRPr="002C4CCD" w:rsidRDefault="002C4CCD" w:rsidP="002C4CCD">
            <w:pPr>
              <w:pStyle w:val="BodyTextIndent2"/>
              <w:tabs>
                <w:tab w:val="left" w:pos="360"/>
              </w:tabs>
              <w:suppressAutoHyphens/>
              <w:ind w:left="1530" w:hanging="810"/>
              <w:rPr>
                <w:color w:val="auto"/>
                <w:sz w:val="12"/>
                <w:szCs w:val="16"/>
              </w:rPr>
            </w:pPr>
          </w:p>
          <w:p w:rsidR="002C4CCD" w:rsidRPr="00943F95" w:rsidRDefault="002C4CCD" w:rsidP="0078197C">
            <w:pPr>
              <w:pStyle w:val="BodyTextIndent2"/>
              <w:tabs>
                <w:tab w:val="left" w:pos="360"/>
              </w:tabs>
              <w:suppressAutoHyphens/>
              <w:ind w:left="1530" w:hanging="1152"/>
              <w:rPr>
                <w:b/>
                <w:color w:val="auto"/>
                <w:sz w:val="21"/>
                <w:szCs w:val="21"/>
              </w:rPr>
            </w:pPr>
            <w:r w:rsidRPr="00B90F98">
              <w:rPr>
                <w:color w:val="auto"/>
                <w:sz w:val="21"/>
                <w:szCs w:val="21"/>
              </w:rPr>
              <w:t>Isentress (</w:t>
            </w:r>
            <w:r w:rsidRPr="00943F95">
              <w:rPr>
                <w:color w:val="auto"/>
                <w:sz w:val="21"/>
                <w:szCs w:val="21"/>
              </w:rPr>
              <w:t>raltegravir</w:t>
            </w:r>
            <w:r>
              <w:t>)</w:t>
            </w:r>
          </w:p>
          <w:p w:rsidR="002C4CCD" w:rsidRDefault="002C4CCD" w:rsidP="002C4CCD">
            <w:pPr>
              <w:pStyle w:val="BodyTextIndent2"/>
              <w:tabs>
                <w:tab w:val="left" w:pos="360"/>
              </w:tabs>
              <w:suppressAutoHyphens/>
              <w:adjustRightInd w:val="0"/>
              <w:ind w:left="378" w:firstLine="0"/>
              <w:rPr>
                <w:color w:val="auto"/>
                <w:sz w:val="21"/>
                <w:szCs w:val="21"/>
              </w:rPr>
            </w:pPr>
          </w:p>
          <w:p w:rsidR="002C4CCD" w:rsidRPr="00217880" w:rsidRDefault="002C4CCD" w:rsidP="00723B30">
            <w:pPr>
              <w:pStyle w:val="BodyTextIndent2"/>
              <w:numPr>
                <w:ilvl w:val="0"/>
                <w:numId w:val="5"/>
              </w:numPr>
              <w:suppressAutoHyphens/>
              <w:adjustRightInd w:val="0"/>
              <w:ind w:left="198" w:hanging="270"/>
              <w:rPr>
                <w:color w:val="auto"/>
                <w:sz w:val="21"/>
                <w:szCs w:val="21"/>
              </w:rPr>
            </w:pPr>
            <w:r w:rsidRPr="00217880">
              <w:rPr>
                <w:color w:val="auto"/>
                <w:sz w:val="21"/>
                <w:szCs w:val="21"/>
              </w:rPr>
              <w:t xml:space="preserve">Effective </w:t>
            </w:r>
            <w:r>
              <w:rPr>
                <w:bCs/>
                <w:color w:val="auto"/>
                <w:sz w:val="21"/>
                <w:szCs w:val="21"/>
              </w:rPr>
              <w:t>October 31</w:t>
            </w:r>
            <w:r w:rsidRPr="00217880">
              <w:rPr>
                <w:color w:val="auto"/>
                <w:sz w:val="21"/>
                <w:szCs w:val="21"/>
              </w:rPr>
              <w:t>, 2016, the following immunosuppressant will no longer require prior authorization.</w:t>
            </w:r>
          </w:p>
          <w:p w:rsidR="002C4CCD" w:rsidRPr="002C4CCD" w:rsidRDefault="002C4CCD" w:rsidP="002C4CCD">
            <w:pPr>
              <w:pStyle w:val="BodyTextIndent2"/>
              <w:tabs>
                <w:tab w:val="left" w:pos="360"/>
              </w:tabs>
              <w:suppressAutoHyphens/>
              <w:ind w:left="720" w:firstLine="0"/>
              <w:rPr>
                <w:color w:val="auto"/>
                <w:sz w:val="12"/>
                <w:szCs w:val="16"/>
              </w:rPr>
            </w:pPr>
          </w:p>
          <w:p w:rsidR="002C4CCD" w:rsidRDefault="002C4CCD" w:rsidP="0078197C">
            <w:pPr>
              <w:pStyle w:val="BodyTextIndent2"/>
              <w:tabs>
                <w:tab w:val="left" w:pos="360"/>
              </w:tabs>
              <w:suppressAutoHyphens/>
              <w:ind w:left="1530" w:hanging="1152"/>
              <w:rPr>
                <w:color w:val="auto"/>
                <w:sz w:val="21"/>
                <w:szCs w:val="21"/>
              </w:rPr>
            </w:pPr>
            <w:r w:rsidRPr="00217880">
              <w:rPr>
                <w:color w:val="auto"/>
                <w:sz w:val="21"/>
                <w:szCs w:val="21"/>
              </w:rPr>
              <w:t>Envarsus XR (tacrolimus extended-release tablet)</w:t>
            </w:r>
          </w:p>
          <w:p w:rsidR="002C4CCD" w:rsidRPr="002C4CCD" w:rsidRDefault="002C4CCD" w:rsidP="002C4CCD">
            <w:pPr>
              <w:pStyle w:val="BodyTextIndent2"/>
              <w:tabs>
                <w:tab w:val="left" w:pos="360"/>
              </w:tabs>
              <w:suppressAutoHyphens/>
              <w:ind w:left="1530" w:hanging="810"/>
              <w:rPr>
                <w:color w:val="auto"/>
                <w:sz w:val="12"/>
                <w:szCs w:val="16"/>
              </w:rPr>
            </w:pPr>
          </w:p>
          <w:p w:rsidR="002C4CCD" w:rsidRDefault="002C4CCD" w:rsidP="00723B30">
            <w:pPr>
              <w:pStyle w:val="BodyTextIndent2"/>
              <w:numPr>
                <w:ilvl w:val="0"/>
                <w:numId w:val="5"/>
              </w:numPr>
              <w:suppressAutoHyphens/>
              <w:adjustRightInd w:val="0"/>
              <w:ind w:left="198" w:hanging="27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Effective October 31, 2016, the following phosphate binding agents will no longer require prior authorization.</w:t>
            </w:r>
          </w:p>
          <w:p w:rsidR="002C4CCD" w:rsidRPr="002C4CCD" w:rsidRDefault="002C4CCD" w:rsidP="002C4CCD">
            <w:pPr>
              <w:pStyle w:val="BodyTextIndent2"/>
              <w:tabs>
                <w:tab w:val="left" w:pos="360"/>
              </w:tabs>
              <w:suppressAutoHyphens/>
              <w:ind w:left="378" w:firstLine="0"/>
              <w:rPr>
                <w:color w:val="auto"/>
                <w:sz w:val="12"/>
                <w:szCs w:val="16"/>
              </w:rPr>
            </w:pPr>
          </w:p>
          <w:p w:rsidR="002C4CCD" w:rsidRDefault="002C4CCD" w:rsidP="0078197C">
            <w:pPr>
              <w:pStyle w:val="BodyTextIndent2"/>
              <w:suppressAutoHyphens/>
              <w:ind w:left="378" w:firstLine="0"/>
              <w:rPr>
                <w:color w:val="auto"/>
                <w:sz w:val="21"/>
                <w:szCs w:val="21"/>
              </w:rPr>
            </w:pPr>
            <w:r w:rsidRPr="003F3FFF">
              <w:rPr>
                <w:color w:val="auto"/>
                <w:sz w:val="21"/>
                <w:szCs w:val="21"/>
              </w:rPr>
              <w:t>Auryxia</w:t>
            </w:r>
            <w:r>
              <w:rPr>
                <w:color w:val="auto"/>
                <w:sz w:val="21"/>
                <w:szCs w:val="21"/>
              </w:rPr>
              <w:t xml:space="preserve"> (</w:t>
            </w:r>
            <w:r w:rsidRPr="003F3FFF">
              <w:rPr>
                <w:color w:val="auto"/>
                <w:sz w:val="21"/>
                <w:szCs w:val="21"/>
              </w:rPr>
              <w:t>ferric citrate</w:t>
            </w:r>
            <w:r>
              <w:rPr>
                <w:color w:val="auto"/>
                <w:sz w:val="21"/>
                <w:szCs w:val="21"/>
              </w:rPr>
              <w:t>)</w:t>
            </w:r>
          </w:p>
          <w:p w:rsidR="002C4CCD" w:rsidRDefault="002C4CCD" w:rsidP="0078197C">
            <w:pPr>
              <w:pStyle w:val="BodyTextIndent2"/>
              <w:suppressAutoHyphens/>
              <w:ind w:left="378" w:firstLine="0"/>
              <w:rPr>
                <w:color w:val="auto"/>
                <w:sz w:val="21"/>
                <w:szCs w:val="21"/>
              </w:rPr>
            </w:pPr>
            <w:r w:rsidRPr="003F3FFF">
              <w:rPr>
                <w:color w:val="auto"/>
                <w:sz w:val="21"/>
                <w:szCs w:val="21"/>
              </w:rPr>
              <w:t>Fosrenol</w:t>
            </w:r>
            <w:r>
              <w:rPr>
                <w:color w:val="auto"/>
                <w:sz w:val="21"/>
                <w:szCs w:val="21"/>
              </w:rPr>
              <w:t xml:space="preserve"> (</w:t>
            </w:r>
            <w:r w:rsidRPr="003F3FFF">
              <w:rPr>
                <w:color w:val="auto"/>
                <w:sz w:val="21"/>
                <w:szCs w:val="21"/>
              </w:rPr>
              <w:t>lanthanum</w:t>
            </w:r>
            <w:r>
              <w:rPr>
                <w:color w:val="auto"/>
                <w:sz w:val="21"/>
                <w:szCs w:val="21"/>
              </w:rPr>
              <w:t>)</w:t>
            </w:r>
          </w:p>
          <w:p w:rsidR="002C4CCD" w:rsidRDefault="002C4CCD" w:rsidP="0078197C">
            <w:pPr>
              <w:pStyle w:val="BodyTextIndent2"/>
              <w:suppressAutoHyphens/>
              <w:ind w:left="378" w:firstLine="0"/>
              <w:rPr>
                <w:color w:val="auto"/>
                <w:sz w:val="21"/>
                <w:szCs w:val="21"/>
              </w:rPr>
            </w:pPr>
            <w:r w:rsidRPr="003F3FFF">
              <w:rPr>
                <w:color w:val="auto"/>
                <w:sz w:val="21"/>
                <w:szCs w:val="21"/>
              </w:rPr>
              <w:t>Velphoro</w:t>
            </w:r>
            <w:r>
              <w:rPr>
                <w:color w:val="auto"/>
                <w:sz w:val="21"/>
                <w:szCs w:val="21"/>
              </w:rPr>
              <w:t xml:space="preserve"> (</w:t>
            </w:r>
            <w:r w:rsidRPr="003F3FFF">
              <w:rPr>
                <w:color w:val="auto"/>
                <w:sz w:val="21"/>
                <w:szCs w:val="21"/>
              </w:rPr>
              <w:t>sucroferric oxyhydroxide</w:t>
            </w:r>
            <w:r>
              <w:rPr>
                <w:color w:val="auto"/>
                <w:sz w:val="21"/>
                <w:szCs w:val="21"/>
              </w:rPr>
              <w:t>)</w:t>
            </w:r>
          </w:p>
          <w:p w:rsidR="00E24139" w:rsidRPr="007757E7" w:rsidRDefault="00666D2A" w:rsidP="00D74A8F">
            <w:pPr>
              <w:pStyle w:val="Noparagraphstyle"/>
              <w:spacing w:before="40" w:after="40" w:line="240" w:lineRule="auto"/>
              <w:ind w:right="144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7105015</wp:posOffset>
                      </wp:positionV>
                      <wp:extent cx="6629400" cy="0"/>
                      <wp:effectExtent l="20955" t="27940" r="26670" b="19685"/>
                      <wp:wrapNone/>
                      <wp:docPr id="5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559.45pt" to="518.4pt,5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" strokeweight="3pt">
                      <v:stroke linestyle="thinThin"/>
                    </v:line>
                  </w:pict>
                </mc:Fallback>
              </mc:AlternateContent>
            </w:r>
          </w:p>
        </w:tc>
        <w:tc>
          <w:tcPr>
            <w:tcW w:w="5310" w:type="dxa"/>
            <w:tcBorders>
              <w:bottom w:val="nil"/>
            </w:tcBorders>
            <w:shd w:val="clear" w:color="auto" w:fill="auto"/>
          </w:tcPr>
          <w:p w:rsidR="002C4CCD" w:rsidRPr="002C4CCD" w:rsidRDefault="002C4CCD" w:rsidP="00FF40A0">
            <w:pPr>
              <w:pStyle w:val="Subtitle"/>
              <w:rPr>
                <w:color w:val="auto"/>
                <w:sz w:val="2"/>
              </w:rPr>
            </w:pPr>
          </w:p>
          <w:p w:rsidR="002C4CCD" w:rsidRPr="002C4CCD" w:rsidRDefault="002C4CCD" w:rsidP="00723B30">
            <w:pPr>
              <w:tabs>
                <w:tab w:val="left" w:pos="108"/>
              </w:tabs>
              <w:suppressAutoHyphens/>
              <w:autoSpaceDE w:val="0"/>
              <w:autoSpaceDN w:val="0"/>
              <w:adjustRightInd w:val="0"/>
              <w:spacing w:after="120"/>
              <w:ind w:left="18"/>
              <w:rPr>
                <w:i/>
                <w:sz w:val="21"/>
                <w:szCs w:val="21"/>
              </w:rPr>
            </w:pPr>
            <w:r w:rsidRPr="00D74A8F">
              <w:rPr>
                <w:b/>
                <w:bCs/>
                <w:sz w:val="21"/>
                <w:szCs w:val="21"/>
              </w:rPr>
              <w:t>Change in Prior Authorization Status</w:t>
            </w:r>
            <w:r>
              <w:rPr>
                <w:bCs/>
                <w:sz w:val="21"/>
                <w:szCs w:val="21"/>
              </w:rPr>
              <w:t xml:space="preserve">, </w:t>
            </w:r>
            <w:r w:rsidRPr="002C4CCD">
              <w:rPr>
                <w:bCs/>
                <w:i/>
                <w:sz w:val="21"/>
                <w:szCs w:val="21"/>
              </w:rPr>
              <w:t>cont’d</w:t>
            </w:r>
          </w:p>
          <w:p w:rsidR="00723B30" w:rsidRDefault="00723B30" w:rsidP="00723B30">
            <w:pPr>
              <w:pStyle w:val="BodyTextIndent2"/>
              <w:numPr>
                <w:ilvl w:val="0"/>
                <w:numId w:val="5"/>
              </w:numPr>
              <w:suppressAutoHyphens/>
              <w:adjustRightInd w:val="0"/>
              <w:ind w:left="288" w:hanging="270"/>
              <w:rPr>
                <w:color w:val="auto"/>
                <w:sz w:val="21"/>
                <w:szCs w:val="21"/>
              </w:rPr>
            </w:pPr>
            <w:r w:rsidRPr="00B90F98">
              <w:rPr>
                <w:color w:val="auto"/>
                <w:sz w:val="21"/>
                <w:szCs w:val="21"/>
              </w:rPr>
              <w:t xml:space="preserve">Effective </w:t>
            </w:r>
            <w:r>
              <w:rPr>
                <w:bCs/>
                <w:color w:val="auto"/>
                <w:sz w:val="21"/>
                <w:szCs w:val="21"/>
              </w:rPr>
              <w:t>October 31</w:t>
            </w:r>
            <w:r w:rsidRPr="00217880">
              <w:rPr>
                <w:color w:val="auto"/>
                <w:sz w:val="21"/>
                <w:szCs w:val="21"/>
              </w:rPr>
              <w:t>, 2016</w:t>
            </w:r>
            <w:r w:rsidRPr="00B90F98">
              <w:rPr>
                <w:color w:val="auto"/>
                <w:sz w:val="21"/>
                <w:szCs w:val="21"/>
              </w:rPr>
              <w:t xml:space="preserve">, </w:t>
            </w:r>
            <w:r>
              <w:rPr>
                <w:color w:val="auto"/>
                <w:sz w:val="21"/>
                <w:szCs w:val="21"/>
              </w:rPr>
              <w:t xml:space="preserve">the following antidepressant agents will no longer require prior authorization within age limits. Pediatric Behavioral Health Medication Initiative criteria will still apply. </w:t>
            </w:r>
            <w:r w:rsidRPr="00875338">
              <w:rPr>
                <w:color w:val="auto"/>
                <w:sz w:val="21"/>
                <w:szCs w:val="21"/>
              </w:rPr>
              <w:t>For additional information, please see the Pediatric Behavioral Health Medication Initiative documents found at www.mass.gov/druglist.</w:t>
            </w:r>
          </w:p>
          <w:p w:rsidR="00723B30" w:rsidRPr="002C4CCD" w:rsidRDefault="00723B30" w:rsidP="00723B30">
            <w:pPr>
              <w:pStyle w:val="BodyTextIndent2"/>
              <w:suppressAutoHyphens/>
              <w:ind w:left="288" w:hanging="270"/>
              <w:rPr>
                <w:color w:val="auto"/>
                <w:sz w:val="12"/>
                <w:szCs w:val="16"/>
              </w:rPr>
            </w:pPr>
          </w:p>
          <w:p w:rsidR="00723B30" w:rsidRPr="00A7275A" w:rsidRDefault="00723B30" w:rsidP="00981F36">
            <w:pPr>
              <w:pStyle w:val="BodyTextIndent2"/>
              <w:suppressAutoHyphens/>
              <w:ind w:left="738" w:hanging="270"/>
              <w:rPr>
                <w:b/>
                <w:color w:val="auto"/>
                <w:sz w:val="21"/>
                <w:szCs w:val="21"/>
              </w:rPr>
            </w:pPr>
            <w:r w:rsidRPr="00A7275A">
              <w:rPr>
                <w:color w:val="auto"/>
                <w:sz w:val="21"/>
                <w:szCs w:val="21"/>
              </w:rPr>
              <w:t xml:space="preserve">Cymbalta </w:t>
            </w:r>
            <w:r>
              <w:rPr>
                <w:color w:val="auto"/>
                <w:sz w:val="21"/>
                <w:szCs w:val="21"/>
              </w:rPr>
              <w:t xml:space="preserve"># </w:t>
            </w:r>
            <w:r w:rsidRPr="00A7275A">
              <w:rPr>
                <w:color w:val="auto"/>
                <w:sz w:val="21"/>
                <w:szCs w:val="21"/>
              </w:rPr>
              <w:t xml:space="preserve">(duloxetine 20 mg, 30 mg, 60 mg) </w:t>
            </w:r>
            <w:r>
              <w:rPr>
                <w:color w:val="auto"/>
                <w:sz w:val="21"/>
                <w:szCs w:val="21"/>
              </w:rPr>
              <w:t>–</w:t>
            </w:r>
            <w:r w:rsidRPr="00A7275A"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 xml:space="preserve">      </w:t>
            </w:r>
            <w:r>
              <w:rPr>
                <w:b/>
                <w:color w:val="auto"/>
                <w:sz w:val="21"/>
                <w:szCs w:val="21"/>
              </w:rPr>
              <w:t xml:space="preserve">PA </w:t>
            </w:r>
            <w:r w:rsidRPr="00A7275A">
              <w:rPr>
                <w:b/>
                <w:color w:val="auto"/>
                <w:sz w:val="21"/>
                <w:szCs w:val="21"/>
              </w:rPr>
              <w:t>&lt; 6 years</w:t>
            </w:r>
          </w:p>
          <w:p w:rsidR="00723B30" w:rsidRPr="00A7275A" w:rsidRDefault="00723B30" w:rsidP="00723B30">
            <w:pPr>
              <w:pStyle w:val="BodyTextIndent2"/>
              <w:tabs>
                <w:tab w:val="left" w:pos="360"/>
              </w:tabs>
              <w:suppressAutoHyphens/>
              <w:ind w:left="468" w:firstLine="0"/>
              <w:rPr>
                <w:color w:val="auto"/>
                <w:sz w:val="21"/>
                <w:szCs w:val="21"/>
              </w:rPr>
            </w:pPr>
            <w:r w:rsidRPr="00A7275A">
              <w:rPr>
                <w:color w:val="auto"/>
                <w:sz w:val="21"/>
                <w:szCs w:val="21"/>
              </w:rPr>
              <w:t xml:space="preserve">Prozac </w:t>
            </w:r>
            <w:r>
              <w:rPr>
                <w:color w:val="auto"/>
                <w:sz w:val="21"/>
                <w:szCs w:val="21"/>
              </w:rPr>
              <w:t xml:space="preserve"># </w:t>
            </w:r>
            <w:r w:rsidRPr="00A7275A">
              <w:rPr>
                <w:color w:val="auto"/>
                <w:sz w:val="21"/>
                <w:szCs w:val="21"/>
              </w:rPr>
              <w:t xml:space="preserve">(fluoxetine 40 mg capsule) </w:t>
            </w:r>
            <w:r>
              <w:rPr>
                <w:color w:val="auto"/>
                <w:sz w:val="21"/>
                <w:szCs w:val="21"/>
              </w:rPr>
              <w:t>–</w:t>
            </w:r>
            <w:r w:rsidRPr="00A7275A">
              <w:rPr>
                <w:color w:val="auto"/>
                <w:sz w:val="21"/>
                <w:szCs w:val="21"/>
              </w:rPr>
              <w:t xml:space="preserve"> </w:t>
            </w:r>
            <w:r w:rsidRPr="00A7275A">
              <w:rPr>
                <w:b/>
                <w:color w:val="auto"/>
                <w:sz w:val="21"/>
                <w:szCs w:val="21"/>
              </w:rPr>
              <w:t>PA &lt; 6 years</w:t>
            </w:r>
          </w:p>
          <w:p w:rsidR="00723B30" w:rsidRDefault="00723B30" w:rsidP="00723B30">
            <w:pPr>
              <w:pStyle w:val="BodyTextIndent2"/>
              <w:tabs>
                <w:tab w:val="left" w:pos="360"/>
              </w:tabs>
              <w:suppressAutoHyphens/>
              <w:adjustRightInd w:val="0"/>
              <w:ind w:left="288" w:hanging="270"/>
              <w:rPr>
                <w:color w:val="auto"/>
                <w:sz w:val="21"/>
                <w:szCs w:val="21"/>
              </w:rPr>
            </w:pPr>
          </w:p>
          <w:p w:rsidR="00723B30" w:rsidRDefault="00723B30" w:rsidP="00723B30">
            <w:pPr>
              <w:pStyle w:val="BodyTextIndent2"/>
              <w:numPr>
                <w:ilvl w:val="0"/>
                <w:numId w:val="5"/>
              </w:numPr>
              <w:suppressAutoHyphens/>
              <w:adjustRightInd w:val="0"/>
              <w:ind w:left="288" w:hanging="270"/>
              <w:rPr>
                <w:color w:val="auto"/>
                <w:sz w:val="21"/>
                <w:szCs w:val="21"/>
              </w:rPr>
            </w:pPr>
            <w:r w:rsidRPr="00217880">
              <w:rPr>
                <w:color w:val="auto"/>
                <w:sz w:val="21"/>
                <w:szCs w:val="21"/>
              </w:rPr>
              <w:t xml:space="preserve">Effective </w:t>
            </w:r>
            <w:r>
              <w:rPr>
                <w:bCs/>
                <w:color w:val="auto"/>
                <w:sz w:val="21"/>
                <w:szCs w:val="21"/>
              </w:rPr>
              <w:t>October 31</w:t>
            </w:r>
            <w:r w:rsidRPr="00217880">
              <w:rPr>
                <w:color w:val="auto"/>
                <w:sz w:val="21"/>
                <w:szCs w:val="21"/>
              </w:rPr>
              <w:t xml:space="preserve">, 2016, </w:t>
            </w:r>
            <w:r>
              <w:rPr>
                <w:color w:val="auto"/>
                <w:sz w:val="21"/>
                <w:szCs w:val="21"/>
              </w:rPr>
              <w:t>the following topical anesthetic agent will no longer require prior authorization within quantity limits.</w:t>
            </w:r>
          </w:p>
          <w:p w:rsidR="00723B30" w:rsidRPr="002C4CCD" w:rsidRDefault="00723B30" w:rsidP="00723B30">
            <w:pPr>
              <w:pStyle w:val="BodyTextIndent2"/>
              <w:tabs>
                <w:tab w:val="left" w:pos="360"/>
              </w:tabs>
              <w:suppressAutoHyphens/>
              <w:ind w:left="288" w:hanging="270"/>
              <w:rPr>
                <w:color w:val="auto"/>
                <w:sz w:val="12"/>
                <w:szCs w:val="16"/>
              </w:rPr>
            </w:pPr>
          </w:p>
          <w:p w:rsidR="00723B30" w:rsidRDefault="00723B30" w:rsidP="00723B30">
            <w:pPr>
              <w:pStyle w:val="BodyTextIndent2"/>
              <w:tabs>
                <w:tab w:val="left" w:pos="360"/>
              </w:tabs>
              <w:suppressAutoHyphens/>
              <w:ind w:left="288" w:firstLine="180"/>
              <w:rPr>
                <w:b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Lidoderm</w:t>
            </w:r>
            <w:r w:rsidRPr="00A7275A"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 xml:space="preserve"># </w:t>
            </w:r>
            <w:r w:rsidRPr="00A7275A">
              <w:rPr>
                <w:color w:val="auto"/>
                <w:sz w:val="21"/>
                <w:szCs w:val="21"/>
              </w:rPr>
              <w:t>(</w:t>
            </w:r>
            <w:r>
              <w:rPr>
                <w:color w:val="auto"/>
                <w:sz w:val="21"/>
                <w:szCs w:val="21"/>
              </w:rPr>
              <w:t>lidocaine patch</w:t>
            </w:r>
            <w:r w:rsidRPr="00A7275A">
              <w:rPr>
                <w:color w:val="auto"/>
                <w:sz w:val="21"/>
                <w:szCs w:val="21"/>
              </w:rPr>
              <w:t xml:space="preserve">) </w:t>
            </w:r>
            <w:r>
              <w:rPr>
                <w:color w:val="auto"/>
                <w:sz w:val="21"/>
                <w:szCs w:val="21"/>
              </w:rPr>
              <w:t>–</w:t>
            </w:r>
            <w:r w:rsidRPr="00A7275A"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b/>
                <w:color w:val="auto"/>
                <w:sz w:val="21"/>
                <w:szCs w:val="21"/>
              </w:rPr>
              <w:t>PA &gt; 90 patches/mo.</w:t>
            </w:r>
          </w:p>
          <w:p w:rsidR="00723B30" w:rsidRPr="002C4CCD" w:rsidRDefault="00723B30" w:rsidP="00723B30">
            <w:pPr>
              <w:pStyle w:val="BodyTextIndent2"/>
              <w:tabs>
                <w:tab w:val="left" w:pos="360"/>
              </w:tabs>
              <w:suppressAutoHyphens/>
              <w:ind w:left="288" w:firstLine="180"/>
              <w:rPr>
                <w:color w:val="auto"/>
                <w:sz w:val="12"/>
                <w:szCs w:val="16"/>
              </w:rPr>
            </w:pPr>
            <w:r w:rsidRPr="002C4CCD">
              <w:rPr>
                <w:color w:val="auto"/>
                <w:sz w:val="12"/>
                <w:szCs w:val="16"/>
              </w:rPr>
              <w:t xml:space="preserve"> </w:t>
            </w:r>
          </w:p>
          <w:p w:rsidR="00723B30" w:rsidRDefault="00723B30" w:rsidP="00723B30">
            <w:pPr>
              <w:pStyle w:val="BodyTextIndent2"/>
              <w:numPr>
                <w:ilvl w:val="0"/>
                <w:numId w:val="5"/>
              </w:numPr>
              <w:suppressAutoHyphens/>
              <w:adjustRightInd w:val="0"/>
              <w:ind w:left="288" w:hanging="27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Effective October 31, 2016</w:t>
            </w:r>
            <w:r w:rsidRPr="004B6E24">
              <w:rPr>
                <w:color w:val="auto"/>
                <w:sz w:val="21"/>
                <w:szCs w:val="21"/>
              </w:rPr>
              <w:t>, the following lipid lowering agent will no longer require prior authorization within quantity limits.</w:t>
            </w:r>
          </w:p>
          <w:p w:rsidR="001D31BC" w:rsidRPr="001D31BC" w:rsidRDefault="001D31BC" w:rsidP="001D31BC">
            <w:pPr>
              <w:pStyle w:val="BodyTextIndent2"/>
              <w:tabs>
                <w:tab w:val="left" w:pos="360"/>
              </w:tabs>
              <w:suppressAutoHyphens/>
              <w:ind w:left="720" w:firstLine="0"/>
              <w:rPr>
                <w:color w:val="auto"/>
                <w:sz w:val="12"/>
                <w:szCs w:val="16"/>
              </w:rPr>
            </w:pPr>
          </w:p>
          <w:p w:rsidR="001D31BC" w:rsidRDefault="001D31BC" w:rsidP="001D31BC">
            <w:pPr>
              <w:pStyle w:val="BodyTextIndent2"/>
              <w:suppressAutoHyphens/>
              <w:ind w:left="738" w:hanging="270"/>
              <w:rPr>
                <w:b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Crestor</w:t>
            </w:r>
            <w:r w:rsidRPr="004B6E24">
              <w:rPr>
                <w:color w:val="auto"/>
                <w:sz w:val="21"/>
                <w:szCs w:val="21"/>
              </w:rPr>
              <w:t xml:space="preserve"> # (</w:t>
            </w:r>
            <w:r>
              <w:rPr>
                <w:color w:val="auto"/>
                <w:sz w:val="21"/>
                <w:szCs w:val="21"/>
              </w:rPr>
              <w:t>rosuvastatin 5 mg, 10 mg, 20 mg</w:t>
            </w:r>
            <w:r w:rsidRPr="004B6E24">
              <w:rPr>
                <w:color w:val="auto"/>
                <w:sz w:val="21"/>
                <w:szCs w:val="21"/>
              </w:rPr>
              <w:t xml:space="preserve">) – </w:t>
            </w:r>
            <w:r>
              <w:rPr>
                <w:color w:val="auto"/>
                <w:sz w:val="21"/>
                <w:szCs w:val="21"/>
              </w:rPr>
              <w:t xml:space="preserve">        </w:t>
            </w:r>
            <w:r w:rsidRPr="004B6E24">
              <w:rPr>
                <w:b/>
                <w:color w:val="auto"/>
                <w:sz w:val="21"/>
                <w:szCs w:val="21"/>
              </w:rPr>
              <w:t xml:space="preserve">PA &gt; </w:t>
            </w:r>
            <w:r>
              <w:rPr>
                <w:b/>
                <w:color w:val="auto"/>
                <w:sz w:val="21"/>
                <w:szCs w:val="21"/>
              </w:rPr>
              <w:t>45</w:t>
            </w:r>
            <w:r w:rsidRPr="004B6E24">
              <w:rPr>
                <w:b/>
                <w:color w:val="auto"/>
                <w:sz w:val="21"/>
                <w:szCs w:val="21"/>
              </w:rPr>
              <w:t xml:space="preserve"> units/mo</w:t>
            </w:r>
            <w:r>
              <w:rPr>
                <w:b/>
                <w:color w:val="auto"/>
                <w:sz w:val="21"/>
                <w:szCs w:val="21"/>
              </w:rPr>
              <w:t>.</w:t>
            </w:r>
          </w:p>
          <w:p w:rsidR="001D31BC" w:rsidRPr="004B6E24" w:rsidRDefault="001D31BC" w:rsidP="001D31BC">
            <w:pPr>
              <w:pStyle w:val="BodyTextIndent2"/>
              <w:tabs>
                <w:tab w:val="left" w:pos="360"/>
              </w:tabs>
              <w:suppressAutoHyphens/>
              <w:ind w:left="468" w:firstLine="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Crestor</w:t>
            </w:r>
            <w:r w:rsidRPr="004B6E24">
              <w:rPr>
                <w:color w:val="auto"/>
                <w:sz w:val="21"/>
                <w:szCs w:val="21"/>
              </w:rPr>
              <w:t xml:space="preserve"> # (</w:t>
            </w:r>
            <w:r>
              <w:rPr>
                <w:color w:val="auto"/>
                <w:sz w:val="21"/>
                <w:szCs w:val="21"/>
              </w:rPr>
              <w:t>rosuvastatin 40 mg</w:t>
            </w:r>
            <w:r w:rsidRPr="004B6E24">
              <w:rPr>
                <w:color w:val="auto"/>
                <w:sz w:val="21"/>
                <w:szCs w:val="21"/>
              </w:rPr>
              <w:t xml:space="preserve">) – </w:t>
            </w:r>
            <w:r w:rsidRPr="004B6E24">
              <w:rPr>
                <w:b/>
                <w:color w:val="auto"/>
                <w:sz w:val="21"/>
                <w:szCs w:val="21"/>
              </w:rPr>
              <w:t xml:space="preserve">PA &gt; </w:t>
            </w:r>
            <w:r>
              <w:rPr>
                <w:b/>
                <w:color w:val="auto"/>
                <w:sz w:val="21"/>
                <w:szCs w:val="21"/>
              </w:rPr>
              <w:t>30</w:t>
            </w:r>
            <w:r w:rsidRPr="004B6E24">
              <w:rPr>
                <w:b/>
                <w:color w:val="auto"/>
                <w:sz w:val="21"/>
                <w:szCs w:val="21"/>
              </w:rPr>
              <w:t xml:space="preserve"> units/mo</w:t>
            </w:r>
            <w:r>
              <w:rPr>
                <w:b/>
                <w:color w:val="auto"/>
                <w:sz w:val="21"/>
                <w:szCs w:val="21"/>
              </w:rPr>
              <w:t>.</w:t>
            </w:r>
          </w:p>
          <w:p w:rsidR="001D31BC" w:rsidRPr="004B6E24" w:rsidRDefault="001D31BC" w:rsidP="001D31BC">
            <w:pPr>
              <w:pStyle w:val="BodyTextIndent2"/>
              <w:suppressAutoHyphens/>
              <w:adjustRightInd w:val="0"/>
              <w:ind w:left="468" w:firstLine="0"/>
              <w:rPr>
                <w:color w:val="auto"/>
                <w:sz w:val="21"/>
                <w:szCs w:val="21"/>
              </w:rPr>
            </w:pPr>
          </w:p>
          <w:p w:rsidR="00981F36" w:rsidRDefault="00981F36" w:rsidP="00981F36">
            <w:pPr>
              <w:pStyle w:val="BodyTextIndent2"/>
              <w:numPr>
                <w:ilvl w:val="0"/>
                <w:numId w:val="5"/>
              </w:numPr>
              <w:suppressAutoHyphens/>
              <w:adjustRightInd w:val="0"/>
              <w:ind w:left="288" w:hanging="270"/>
              <w:rPr>
                <w:color w:val="auto"/>
                <w:sz w:val="21"/>
                <w:szCs w:val="21"/>
              </w:rPr>
            </w:pPr>
            <w:r w:rsidRPr="00875338">
              <w:rPr>
                <w:color w:val="auto"/>
                <w:sz w:val="21"/>
                <w:szCs w:val="21"/>
              </w:rPr>
              <w:t xml:space="preserve">Effective </w:t>
            </w:r>
            <w:r>
              <w:rPr>
                <w:color w:val="auto"/>
                <w:sz w:val="21"/>
                <w:szCs w:val="21"/>
              </w:rPr>
              <w:t>October 31</w:t>
            </w:r>
            <w:r w:rsidRPr="00875338">
              <w:rPr>
                <w:color w:val="auto"/>
                <w:sz w:val="21"/>
                <w:szCs w:val="21"/>
              </w:rPr>
              <w:t xml:space="preserve">, 2016, the following </w:t>
            </w:r>
            <w:r>
              <w:rPr>
                <w:color w:val="auto"/>
                <w:sz w:val="21"/>
                <w:szCs w:val="21"/>
              </w:rPr>
              <w:t>non-stimulant Attention Deficit Hyperactivity Disorder (ADHD)</w:t>
            </w:r>
            <w:r w:rsidRPr="00875338">
              <w:rPr>
                <w:color w:val="auto"/>
                <w:sz w:val="21"/>
                <w:szCs w:val="21"/>
              </w:rPr>
              <w:t xml:space="preserve"> agent will no longer require prior authorization within </w:t>
            </w:r>
            <w:r>
              <w:rPr>
                <w:color w:val="auto"/>
                <w:sz w:val="21"/>
                <w:szCs w:val="21"/>
              </w:rPr>
              <w:t>age</w:t>
            </w:r>
            <w:r w:rsidRPr="00875338">
              <w:rPr>
                <w:color w:val="auto"/>
                <w:sz w:val="21"/>
                <w:szCs w:val="21"/>
              </w:rPr>
              <w:t xml:space="preserve"> limits.</w:t>
            </w:r>
            <w:r>
              <w:rPr>
                <w:color w:val="auto"/>
                <w:sz w:val="21"/>
                <w:szCs w:val="21"/>
              </w:rPr>
              <w:t xml:space="preserve"> Pediatric Behavioral Health Medication Initiative criteria will still apply. </w:t>
            </w:r>
            <w:r w:rsidRPr="00875338">
              <w:rPr>
                <w:color w:val="auto"/>
                <w:sz w:val="21"/>
                <w:szCs w:val="21"/>
              </w:rPr>
              <w:t xml:space="preserve">For additional information, please see the Pediatric Behavioral Health Medication Initiative documents found at </w:t>
            </w:r>
            <w:hyperlink r:id="rId7" w:history="1">
              <w:r w:rsidRPr="002E7C2E">
                <w:rPr>
                  <w:rStyle w:val="Hyperlink"/>
                  <w:sz w:val="21"/>
                  <w:szCs w:val="21"/>
                </w:rPr>
                <w:t>www.mass.gov/druglist</w:t>
              </w:r>
            </w:hyperlink>
            <w:r w:rsidRPr="00875338">
              <w:rPr>
                <w:color w:val="auto"/>
                <w:sz w:val="21"/>
                <w:szCs w:val="21"/>
              </w:rPr>
              <w:t>.</w:t>
            </w:r>
          </w:p>
          <w:p w:rsidR="00981F36" w:rsidRDefault="00981F36" w:rsidP="00981F36">
            <w:pPr>
              <w:pStyle w:val="BodyTextIndent2"/>
              <w:suppressAutoHyphens/>
              <w:adjustRightInd w:val="0"/>
              <w:ind w:left="288" w:firstLine="0"/>
              <w:rPr>
                <w:color w:val="auto"/>
                <w:sz w:val="12"/>
                <w:szCs w:val="21"/>
              </w:rPr>
            </w:pPr>
          </w:p>
          <w:p w:rsidR="00981F36" w:rsidRPr="00875338" w:rsidRDefault="00981F36" w:rsidP="00981F36">
            <w:pPr>
              <w:pStyle w:val="BodyTextIndent2"/>
              <w:suppressAutoHyphens/>
              <w:ind w:left="738" w:hanging="27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Intuniv</w:t>
            </w:r>
            <w:r w:rsidRPr="00875338">
              <w:rPr>
                <w:color w:val="auto"/>
                <w:sz w:val="21"/>
                <w:szCs w:val="21"/>
              </w:rPr>
              <w:t xml:space="preserve"> # (</w:t>
            </w:r>
            <w:r>
              <w:rPr>
                <w:color w:val="auto"/>
                <w:sz w:val="21"/>
                <w:szCs w:val="21"/>
              </w:rPr>
              <w:t>guanfacine extended-release</w:t>
            </w:r>
            <w:r w:rsidRPr="00875338">
              <w:rPr>
                <w:color w:val="auto"/>
                <w:sz w:val="21"/>
                <w:szCs w:val="21"/>
              </w:rPr>
              <w:t xml:space="preserve">) – </w:t>
            </w:r>
            <w:r>
              <w:rPr>
                <w:color w:val="auto"/>
                <w:sz w:val="21"/>
                <w:szCs w:val="21"/>
              </w:rPr>
              <w:t xml:space="preserve">                </w:t>
            </w:r>
            <w:r w:rsidRPr="00875338">
              <w:rPr>
                <w:b/>
                <w:color w:val="auto"/>
                <w:sz w:val="21"/>
                <w:szCs w:val="21"/>
              </w:rPr>
              <w:t xml:space="preserve">PA </w:t>
            </w:r>
            <w:r>
              <w:rPr>
                <w:b/>
                <w:color w:val="auto"/>
                <w:sz w:val="21"/>
                <w:szCs w:val="21"/>
              </w:rPr>
              <w:t>&lt;</w:t>
            </w:r>
            <w:r w:rsidRPr="00875338">
              <w:rPr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b/>
                <w:color w:val="auto"/>
                <w:sz w:val="21"/>
                <w:szCs w:val="21"/>
              </w:rPr>
              <w:t>3 years</w:t>
            </w:r>
          </w:p>
          <w:p w:rsidR="00981F36" w:rsidRPr="00981F36" w:rsidRDefault="00981F36" w:rsidP="00981F36">
            <w:pPr>
              <w:pStyle w:val="BodyTextIndent2"/>
              <w:suppressAutoHyphens/>
              <w:adjustRightInd w:val="0"/>
              <w:ind w:left="288" w:firstLine="0"/>
              <w:rPr>
                <w:color w:val="auto"/>
                <w:sz w:val="12"/>
                <w:szCs w:val="21"/>
              </w:rPr>
            </w:pPr>
          </w:p>
          <w:p w:rsidR="00AA54B3" w:rsidRDefault="00AA54B3" w:rsidP="00AA54B3">
            <w:pPr>
              <w:pStyle w:val="BodyTextIndent2"/>
              <w:numPr>
                <w:ilvl w:val="0"/>
                <w:numId w:val="5"/>
              </w:numPr>
              <w:suppressAutoHyphens/>
              <w:adjustRightInd w:val="0"/>
              <w:ind w:left="288" w:hanging="27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Effective October 31, 2016, the following proton pump inhibitor will no longer require prior authorization within quantity limits.</w:t>
            </w:r>
          </w:p>
          <w:p w:rsidR="00AA54B3" w:rsidRDefault="00AA54B3" w:rsidP="00AA54B3">
            <w:pPr>
              <w:pStyle w:val="BodyTextIndent2"/>
              <w:suppressAutoHyphens/>
              <w:adjustRightInd w:val="0"/>
              <w:ind w:left="288" w:firstLine="0"/>
              <w:rPr>
                <w:color w:val="auto"/>
                <w:sz w:val="12"/>
                <w:szCs w:val="21"/>
              </w:rPr>
            </w:pPr>
          </w:p>
          <w:p w:rsidR="00AA54B3" w:rsidRPr="008A600E" w:rsidRDefault="00AA54B3" w:rsidP="00AA54B3">
            <w:pPr>
              <w:pStyle w:val="BodyTextIndent2"/>
              <w:tabs>
                <w:tab w:val="left" w:pos="360"/>
              </w:tabs>
              <w:suppressAutoHyphens/>
              <w:ind w:left="468" w:firstLine="0"/>
              <w:rPr>
                <w:b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omeprazole 40 mg</w:t>
            </w:r>
            <w:r w:rsidRPr="00A7275A"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–</w:t>
            </w:r>
            <w:r w:rsidRPr="00A7275A"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b/>
                <w:color w:val="auto"/>
                <w:sz w:val="21"/>
                <w:szCs w:val="21"/>
              </w:rPr>
              <w:t>PA &gt; 60 units/mo.</w:t>
            </w:r>
          </w:p>
          <w:p w:rsidR="00AA54B3" w:rsidRPr="00AA54B3" w:rsidRDefault="00AA54B3" w:rsidP="00AA54B3">
            <w:pPr>
              <w:pStyle w:val="BodyTextIndent2"/>
              <w:suppressAutoHyphens/>
              <w:adjustRightInd w:val="0"/>
              <w:ind w:left="468" w:firstLine="0"/>
              <w:rPr>
                <w:color w:val="auto"/>
                <w:sz w:val="12"/>
                <w:szCs w:val="21"/>
              </w:rPr>
            </w:pPr>
          </w:p>
          <w:p w:rsidR="008347E8" w:rsidRDefault="008347E8" w:rsidP="008347E8">
            <w:pPr>
              <w:pStyle w:val="BodyTextIndent2"/>
              <w:numPr>
                <w:ilvl w:val="0"/>
                <w:numId w:val="5"/>
              </w:numPr>
              <w:suppressAutoHyphens/>
              <w:adjustRightInd w:val="0"/>
              <w:ind w:left="288" w:hanging="27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Effective October 31, 2016, the following H</w:t>
            </w:r>
            <w:r>
              <w:rPr>
                <w:color w:val="auto"/>
                <w:sz w:val="21"/>
                <w:szCs w:val="21"/>
                <w:vertAlign w:val="subscript"/>
              </w:rPr>
              <w:t>2</w:t>
            </w:r>
            <w:r>
              <w:rPr>
                <w:color w:val="auto"/>
                <w:sz w:val="21"/>
                <w:szCs w:val="21"/>
              </w:rPr>
              <w:t xml:space="preserve"> antagonist will require prior authorization.</w:t>
            </w:r>
          </w:p>
          <w:p w:rsidR="008347E8" w:rsidRPr="008347E8" w:rsidRDefault="008347E8" w:rsidP="008347E8">
            <w:pPr>
              <w:pStyle w:val="BodyTextIndent2"/>
              <w:suppressAutoHyphens/>
              <w:ind w:left="288" w:hanging="270"/>
              <w:rPr>
                <w:color w:val="auto"/>
                <w:sz w:val="12"/>
                <w:szCs w:val="21"/>
              </w:rPr>
            </w:pPr>
          </w:p>
          <w:p w:rsidR="008347E8" w:rsidRDefault="008347E8" w:rsidP="008347E8">
            <w:pPr>
              <w:pStyle w:val="BodyTextIndent2"/>
              <w:suppressAutoHyphens/>
              <w:ind w:left="288" w:firstLine="180"/>
              <w:rPr>
                <w:b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Pepcid (famotidine suspension)</w:t>
            </w:r>
            <w:r w:rsidRPr="00A7275A"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–</w:t>
            </w:r>
            <w:r w:rsidRPr="00A7275A"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b/>
                <w:color w:val="auto"/>
                <w:sz w:val="21"/>
                <w:szCs w:val="21"/>
              </w:rPr>
              <w:t xml:space="preserve">PA </w:t>
            </w:r>
          </w:p>
          <w:p w:rsidR="008347E8" w:rsidRDefault="008347E8" w:rsidP="008347E8">
            <w:pPr>
              <w:pStyle w:val="BodyTextIndent2"/>
              <w:suppressAutoHyphens/>
              <w:ind w:left="288" w:firstLine="180"/>
              <w:rPr>
                <w:b/>
                <w:color w:val="auto"/>
                <w:sz w:val="21"/>
                <w:szCs w:val="21"/>
              </w:rPr>
            </w:pPr>
          </w:p>
          <w:p w:rsidR="008347E8" w:rsidRPr="004B58F1" w:rsidRDefault="008347E8" w:rsidP="008347E8">
            <w:pPr>
              <w:pStyle w:val="BodyTextIndent2"/>
              <w:numPr>
                <w:ilvl w:val="0"/>
                <w:numId w:val="5"/>
              </w:numPr>
              <w:suppressAutoHyphens/>
              <w:adjustRightInd w:val="0"/>
              <w:ind w:left="288" w:hanging="270"/>
              <w:rPr>
                <w:color w:val="auto"/>
                <w:sz w:val="21"/>
                <w:szCs w:val="21"/>
              </w:rPr>
            </w:pPr>
            <w:r w:rsidRPr="004B58F1">
              <w:rPr>
                <w:color w:val="auto"/>
                <w:sz w:val="21"/>
                <w:szCs w:val="21"/>
              </w:rPr>
              <w:t xml:space="preserve">Effective </w:t>
            </w:r>
            <w:r>
              <w:rPr>
                <w:color w:val="auto"/>
                <w:sz w:val="21"/>
                <w:szCs w:val="21"/>
              </w:rPr>
              <w:t>October 31</w:t>
            </w:r>
            <w:r w:rsidRPr="004B58F1">
              <w:rPr>
                <w:color w:val="auto"/>
                <w:sz w:val="21"/>
                <w:szCs w:val="21"/>
              </w:rPr>
              <w:t>, 2016, the following topical anesthetic agent will require prior authorization.</w:t>
            </w:r>
          </w:p>
          <w:p w:rsidR="008347E8" w:rsidRPr="008347E8" w:rsidRDefault="008347E8" w:rsidP="008347E8">
            <w:pPr>
              <w:pStyle w:val="BodyTextIndent2"/>
              <w:tabs>
                <w:tab w:val="left" w:pos="360"/>
              </w:tabs>
              <w:suppressAutoHyphens/>
              <w:ind w:left="720" w:firstLine="0"/>
              <w:rPr>
                <w:color w:val="auto"/>
                <w:sz w:val="12"/>
                <w:szCs w:val="21"/>
              </w:rPr>
            </w:pPr>
          </w:p>
          <w:p w:rsidR="00CA0669" w:rsidRPr="008347E8" w:rsidRDefault="008347E8" w:rsidP="008347E8">
            <w:pPr>
              <w:pStyle w:val="BodyTextIndent2"/>
              <w:suppressAutoHyphens/>
              <w:ind w:left="468" w:firstLine="0"/>
              <w:rPr>
                <w:b/>
                <w:color w:val="auto"/>
                <w:sz w:val="21"/>
                <w:szCs w:val="21"/>
              </w:rPr>
            </w:pPr>
            <w:r w:rsidRPr="004B58F1">
              <w:rPr>
                <w:color w:val="auto"/>
                <w:sz w:val="21"/>
                <w:szCs w:val="21"/>
              </w:rPr>
              <w:t xml:space="preserve">lidocaine ointment – </w:t>
            </w:r>
            <w:r>
              <w:rPr>
                <w:b/>
                <w:color w:val="auto"/>
                <w:sz w:val="21"/>
                <w:szCs w:val="21"/>
              </w:rPr>
              <w:t>PA</w:t>
            </w:r>
          </w:p>
        </w:tc>
      </w:tr>
    </w:tbl>
    <w:p w:rsidR="00686C26" w:rsidRDefault="00623469" w:rsidP="00623469">
      <w:pPr>
        <w:tabs>
          <w:tab w:val="left" w:pos="-90"/>
        </w:tabs>
        <w:autoSpaceDE w:val="0"/>
        <w:autoSpaceDN w:val="0"/>
        <w:adjustRightInd w:val="0"/>
        <w:spacing w:before="240" w:after="122" w:line="292" w:lineRule="atLeast"/>
        <w:textAlignment w:val="baseline"/>
        <w:sectPr w:rsidR="00686C26" w:rsidSect="00C35B94">
          <w:pgSz w:w="12240" w:h="15840"/>
          <w:pgMar w:top="360" w:right="180" w:bottom="0" w:left="900" w:header="720" w:footer="720" w:gutter="0"/>
          <w:cols w:space="720"/>
          <w:docGrid w:linePitch="360"/>
        </w:sectPr>
      </w:pPr>
      <w:r>
        <w:t xml:space="preserve">                           </w:t>
      </w:r>
      <w:r w:rsidR="008347E8">
        <w:t xml:space="preserve">                </w:t>
      </w:r>
      <w:r>
        <w:t xml:space="preserve">                                                                             </w:t>
      </w:r>
    </w:p>
    <w:tbl>
      <w:tblPr>
        <w:tblpPr w:leftFromText="180" w:rightFromText="180" w:vertAnchor="page" w:horzAnchor="margin" w:tblpY="721"/>
        <w:tblW w:w="0" w:type="auto"/>
        <w:tblBorders>
          <w:top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5365"/>
      </w:tblGrid>
      <w:tr w:rsidR="001C1481" w:rsidTr="007757E7">
        <w:trPr>
          <w:trHeight w:val="13860"/>
        </w:trPr>
        <w:tc>
          <w:tcPr>
            <w:tcW w:w="5391" w:type="dxa"/>
            <w:tcBorders>
              <w:bottom w:val="nil"/>
            </w:tcBorders>
            <w:shd w:val="clear" w:color="auto" w:fill="auto"/>
          </w:tcPr>
          <w:p w:rsidR="001C1481" w:rsidRPr="00C1505B" w:rsidRDefault="00C1505B" w:rsidP="00C1505B">
            <w:pPr>
              <w:pStyle w:val="Subtitle"/>
              <w:ind w:left="-72"/>
              <w:rPr>
                <w:color w:val="auto"/>
              </w:rPr>
            </w:pPr>
            <w:r w:rsidRPr="00C1505B">
              <w:rPr>
                <w:color w:val="auto"/>
              </w:rPr>
              <w:lastRenderedPageBreak/>
              <w:t xml:space="preserve">MHDL Update, </w:t>
            </w:r>
            <w:r w:rsidRPr="00C1505B">
              <w:rPr>
                <w:i/>
                <w:color w:val="auto"/>
              </w:rPr>
              <w:t>cont’d</w:t>
            </w:r>
          </w:p>
          <w:p w:rsidR="00C1505B" w:rsidRPr="00C1505B" w:rsidRDefault="00C1505B" w:rsidP="00C1505B">
            <w:pPr>
              <w:pStyle w:val="BodyTextIndent2"/>
              <w:numPr>
                <w:ilvl w:val="0"/>
                <w:numId w:val="7"/>
              </w:numPr>
              <w:tabs>
                <w:tab w:val="clear" w:pos="720"/>
              </w:tabs>
              <w:suppressAutoHyphens/>
              <w:adjustRightInd w:val="0"/>
              <w:ind w:left="180" w:hanging="270"/>
              <w:rPr>
                <w:b/>
                <w:color w:val="auto"/>
                <w:sz w:val="21"/>
                <w:szCs w:val="21"/>
              </w:rPr>
            </w:pPr>
            <w:r w:rsidRPr="00C1505B">
              <w:rPr>
                <w:b/>
                <w:color w:val="auto"/>
                <w:sz w:val="21"/>
                <w:szCs w:val="21"/>
              </w:rPr>
              <w:t>MassHealth Supplemental Rebate/Preferred Drug List</w:t>
            </w:r>
          </w:p>
          <w:p w:rsidR="00C1505B" w:rsidRPr="00C1505B" w:rsidRDefault="00C1505B" w:rsidP="00C1505B">
            <w:pPr>
              <w:pStyle w:val="BodyTextIndent2"/>
              <w:suppressAutoHyphens/>
              <w:adjustRightInd w:val="0"/>
              <w:ind w:left="0" w:firstLine="0"/>
              <w:rPr>
                <w:b/>
                <w:color w:val="auto"/>
                <w:sz w:val="14"/>
                <w:szCs w:val="21"/>
              </w:rPr>
            </w:pPr>
          </w:p>
          <w:p w:rsidR="00C1505B" w:rsidRPr="00C1505B" w:rsidRDefault="00C1505B" w:rsidP="00C1505B">
            <w:pPr>
              <w:suppressAutoHyphens/>
              <w:autoSpaceDE w:val="0"/>
              <w:autoSpaceDN w:val="0"/>
              <w:adjustRightInd w:val="0"/>
              <w:ind w:left="-90"/>
              <w:rPr>
                <w:b/>
                <w:sz w:val="21"/>
                <w:szCs w:val="21"/>
              </w:rPr>
            </w:pPr>
            <w:r w:rsidRPr="00C1505B">
              <w:rPr>
                <w:sz w:val="21"/>
                <w:szCs w:val="21"/>
              </w:rPr>
              <w:t>Effective October 31, 2016, the following hepatitis antiviral combination agent will be added to the MassHealth Supplemental Rebate/Preferred Drug List.</w:t>
            </w:r>
          </w:p>
          <w:p w:rsidR="00C1505B" w:rsidRPr="00C1505B" w:rsidRDefault="00C1505B" w:rsidP="00C1505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/>
              <w:rPr>
                <w:sz w:val="21"/>
                <w:szCs w:val="21"/>
              </w:rPr>
            </w:pPr>
          </w:p>
          <w:p w:rsidR="00C1505B" w:rsidRDefault="00C1505B" w:rsidP="0078197C">
            <w:pPr>
              <w:suppressAutoHyphens/>
              <w:autoSpaceDE w:val="0"/>
              <w:autoSpaceDN w:val="0"/>
              <w:adjustRightInd w:val="0"/>
              <w:ind w:left="180"/>
              <w:rPr>
                <w:b/>
                <w:sz w:val="21"/>
                <w:szCs w:val="21"/>
              </w:rPr>
            </w:pPr>
            <w:r w:rsidRPr="00C1505B">
              <w:rPr>
                <w:sz w:val="21"/>
                <w:szCs w:val="21"/>
              </w:rPr>
              <w:t xml:space="preserve">Epclusa (sofosbuvir/velpatasvir) </w:t>
            </w:r>
            <w:r w:rsidRPr="00C1505B">
              <w:rPr>
                <w:sz w:val="21"/>
                <w:szCs w:val="21"/>
                <w:vertAlign w:val="superscript"/>
              </w:rPr>
              <w:t>PD</w:t>
            </w:r>
            <w:r w:rsidRPr="00C1505B">
              <w:rPr>
                <w:sz w:val="21"/>
                <w:szCs w:val="21"/>
              </w:rPr>
              <w:t xml:space="preserve"> – </w:t>
            </w:r>
            <w:r w:rsidRPr="00C1505B">
              <w:rPr>
                <w:b/>
                <w:sz w:val="21"/>
                <w:szCs w:val="21"/>
              </w:rPr>
              <w:t>PA</w:t>
            </w:r>
          </w:p>
          <w:p w:rsidR="008B38F1" w:rsidRPr="00C1505B" w:rsidRDefault="008B38F1" w:rsidP="008B38F1">
            <w:pPr>
              <w:suppressAutoHyphens/>
              <w:autoSpaceDE w:val="0"/>
              <w:autoSpaceDN w:val="0"/>
              <w:adjustRightInd w:val="0"/>
              <w:ind w:left="810"/>
              <w:rPr>
                <w:b/>
                <w:sz w:val="21"/>
                <w:szCs w:val="21"/>
              </w:rPr>
            </w:pPr>
          </w:p>
          <w:p w:rsidR="008B38F1" w:rsidRPr="00C1505B" w:rsidRDefault="00AB1BB1" w:rsidP="008B38F1">
            <w:pPr>
              <w:pStyle w:val="BodyTextIndent2"/>
              <w:numPr>
                <w:ilvl w:val="0"/>
                <w:numId w:val="7"/>
              </w:numPr>
              <w:tabs>
                <w:tab w:val="clear" w:pos="720"/>
              </w:tabs>
              <w:suppressAutoHyphens/>
              <w:adjustRightInd w:val="0"/>
              <w:ind w:left="180" w:hanging="270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 xml:space="preserve">Updated </w:t>
            </w:r>
            <w:r w:rsidR="008B38F1" w:rsidRPr="00C1505B">
              <w:rPr>
                <w:b/>
                <w:color w:val="auto"/>
                <w:sz w:val="21"/>
                <w:szCs w:val="21"/>
              </w:rPr>
              <w:t>Ma</w:t>
            </w:r>
            <w:r>
              <w:rPr>
                <w:b/>
                <w:color w:val="auto"/>
                <w:sz w:val="21"/>
                <w:szCs w:val="21"/>
              </w:rPr>
              <w:t>ssHealth</w:t>
            </w:r>
            <w:r w:rsidR="008B38F1" w:rsidRPr="00C1505B">
              <w:rPr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b/>
                <w:color w:val="auto"/>
                <w:sz w:val="21"/>
                <w:szCs w:val="21"/>
              </w:rPr>
              <w:t>Non-</w:t>
            </w:r>
            <w:r w:rsidR="008B38F1" w:rsidRPr="00C1505B">
              <w:rPr>
                <w:b/>
                <w:color w:val="auto"/>
                <w:sz w:val="21"/>
                <w:szCs w:val="21"/>
              </w:rPr>
              <w:t xml:space="preserve">Drug </w:t>
            </w:r>
            <w:r>
              <w:rPr>
                <w:b/>
                <w:color w:val="auto"/>
                <w:sz w:val="21"/>
                <w:szCs w:val="21"/>
              </w:rPr>
              <w:t xml:space="preserve">Product </w:t>
            </w:r>
            <w:r w:rsidR="008B38F1" w:rsidRPr="00C1505B">
              <w:rPr>
                <w:b/>
                <w:color w:val="auto"/>
                <w:sz w:val="21"/>
                <w:szCs w:val="21"/>
              </w:rPr>
              <w:t>List</w:t>
            </w:r>
          </w:p>
          <w:p w:rsidR="001C1481" w:rsidRDefault="001C1481" w:rsidP="008B38F1">
            <w:pPr>
              <w:pStyle w:val="Noparagraphstyle"/>
              <w:spacing w:before="40" w:after="40" w:line="240" w:lineRule="auto"/>
              <w:ind w:left="-90" w:right="144"/>
              <w:rPr>
                <w:rFonts w:ascii="Arial" w:hAnsi="Arial" w:cs="Arial"/>
                <w:sz w:val="12"/>
                <w:szCs w:val="22"/>
              </w:rPr>
            </w:pPr>
          </w:p>
          <w:p w:rsidR="0078197C" w:rsidRPr="00CE52CD" w:rsidRDefault="0078197C" w:rsidP="0078197C">
            <w:pPr>
              <w:pStyle w:val="BodyTextIndent2"/>
              <w:tabs>
                <w:tab w:val="left" w:pos="2880"/>
              </w:tabs>
              <w:suppressAutoHyphens/>
              <w:ind w:left="-90" w:firstLine="0"/>
              <w:rPr>
                <w:color w:val="auto"/>
                <w:sz w:val="21"/>
                <w:szCs w:val="21"/>
              </w:rPr>
            </w:pPr>
            <w:r w:rsidRPr="00CE52CD">
              <w:rPr>
                <w:color w:val="auto"/>
                <w:sz w:val="21"/>
                <w:szCs w:val="21"/>
              </w:rPr>
              <w:t xml:space="preserve">Effective </w:t>
            </w:r>
            <w:r>
              <w:rPr>
                <w:color w:val="auto"/>
                <w:sz w:val="21"/>
                <w:szCs w:val="21"/>
              </w:rPr>
              <w:t>October 31</w:t>
            </w:r>
            <w:r w:rsidRPr="00CE52CD">
              <w:rPr>
                <w:color w:val="auto"/>
                <w:sz w:val="21"/>
                <w:szCs w:val="21"/>
              </w:rPr>
              <w:t>, 2016, the following device has been added to the MassHealth Non-Drug Product List requiring prior authorization.</w:t>
            </w:r>
          </w:p>
          <w:p w:rsidR="0078197C" w:rsidRDefault="0078197C" w:rsidP="008B38F1">
            <w:pPr>
              <w:pStyle w:val="Noparagraphstyle"/>
              <w:spacing w:before="40" w:after="40" w:line="240" w:lineRule="auto"/>
              <w:ind w:left="-90" w:right="144"/>
              <w:rPr>
                <w:rFonts w:ascii="Arial" w:hAnsi="Arial" w:cs="Arial"/>
                <w:sz w:val="12"/>
                <w:szCs w:val="22"/>
              </w:rPr>
            </w:pPr>
          </w:p>
          <w:p w:rsidR="0078197C" w:rsidRDefault="0078197C" w:rsidP="0078197C">
            <w:pPr>
              <w:pStyle w:val="Noparagraphstyle"/>
              <w:spacing w:before="40" w:after="40" w:line="240" w:lineRule="auto"/>
              <w:ind w:left="180" w:right="144"/>
              <w:rPr>
                <w:b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Gelsyn</w:t>
            </w:r>
            <w:r w:rsidRPr="00CE52CD">
              <w:rPr>
                <w:color w:val="auto"/>
                <w:sz w:val="21"/>
                <w:szCs w:val="21"/>
              </w:rPr>
              <w:t xml:space="preserve"> (hyaluronate) </w:t>
            </w:r>
            <w:r w:rsidRPr="00CE52CD">
              <w:rPr>
                <w:b/>
                <w:color w:val="auto"/>
                <w:sz w:val="21"/>
                <w:szCs w:val="21"/>
              </w:rPr>
              <w:t>– PA</w:t>
            </w:r>
          </w:p>
          <w:p w:rsidR="00761C3C" w:rsidRDefault="00761C3C" w:rsidP="0078197C">
            <w:pPr>
              <w:pStyle w:val="Noparagraphstyle"/>
              <w:spacing w:before="40" w:after="40" w:line="240" w:lineRule="auto"/>
              <w:ind w:left="180" w:right="144"/>
              <w:rPr>
                <w:rFonts w:ascii="Arial" w:hAnsi="Arial" w:cs="Arial"/>
                <w:sz w:val="12"/>
                <w:szCs w:val="22"/>
              </w:rPr>
            </w:pPr>
          </w:p>
          <w:p w:rsidR="00761C3C" w:rsidRPr="00761C3C" w:rsidRDefault="00761C3C" w:rsidP="00761C3C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autoSpaceDE w:val="0"/>
              <w:autoSpaceDN w:val="0"/>
              <w:adjustRightInd w:val="0"/>
              <w:spacing w:after="120"/>
              <w:ind w:left="180" w:hanging="270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MassHealth Brand Name Preferred over Generic   Drug List</w:t>
            </w:r>
          </w:p>
          <w:p w:rsidR="00761C3C" w:rsidRPr="00E001D0" w:rsidRDefault="00761C3C" w:rsidP="00761C3C">
            <w:pPr>
              <w:numPr>
                <w:ilvl w:val="1"/>
                <w:numId w:val="5"/>
              </w:numPr>
              <w:suppressAutoHyphens/>
              <w:autoSpaceDE w:val="0"/>
              <w:autoSpaceDN w:val="0"/>
              <w:adjustRightInd w:val="0"/>
              <w:ind w:left="180" w:hanging="270"/>
              <w:rPr>
                <w:sz w:val="21"/>
                <w:szCs w:val="21"/>
              </w:rPr>
            </w:pPr>
            <w:r w:rsidRPr="00E001D0">
              <w:rPr>
                <w:sz w:val="21"/>
                <w:szCs w:val="21"/>
              </w:rPr>
              <w:t xml:space="preserve">Effective October 31, 2016, the following opioid agent </w:t>
            </w:r>
            <w:r>
              <w:rPr>
                <w:sz w:val="21"/>
                <w:szCs w:val="21"/>
              </w:rPr>
              <w:t xml:space="preserve"> </w:t>
            </w:r>
            <w:r w:rsidRPr="00E001D0">
              <w:rPr>
                <w:sz w:val="21"/>
                <w:szCs w:val="21"/>
              </w:rPr>
              <w:t>will be added to the MassHealth Brand Name Preferred Over Generic Drug List.</w:t>
            </w:r>
          </w:p>
          <w:p w:rsidR="00761C3C" w:rsidRPr="00761C3C" w:rsidRDefault="00761C3C" w:rsidP="00761C3C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/>
              <w:rPr>
                <w:sz w:val="12"/>
                <w:szCs w:val="21"/>
              </w:rPr>
            </w:pPr>
          </w:p>
          <w:p w:rsidR="00761C3C" w:rsidRPr="00E001D0" w:rsidRDefault="00761C3C" w:rsidP="00761C3C">
            <w:pPr>
              <w:tabs>
                <w:tab w:val="left" w:pos="450"/>
              </w:tabs>
              <w:suppressAutoHyphens/>
              <w:autoSpaceDE w:val="0"/>
              <w:autoSpaceDN w:val="0"/>
              <w:adjustRightInd w:val="0"/>
              <w:ind w:left="360"/>
              <w:rPr>
                <w:sz w:val="21"/>
                <w:szCs w:val="21"/>
              </w:rPr>
            </w:pPr>
            <w:r w:rsidRPr="00E001D0">
              <w:rPr>
                <w:sz w:val="21"/>
                <w:szCs w:val="21"/>
              </w:rPr>
              <w:tab/>
              <w:t>Oxycontin (oxycodone extended-release tablet)</w:t>
            </w:r>
            <w:r w:rsidRPr="00E001D0">
              <w:rPr>
                <w:sz w:val="21"/>
                <w:szCs w:val="21"/>
                <w:vertAlign w:val="superscript"/>
              </w:rPr>
              <w:t>BP</w:t>
            </w:r>
            <w:r w:rsidRPr="00E001D0">
              <w:rPr>
                <w:sz w:val="21"/>
                <w:szCs w:val="21"/>
              </w:rPr>
              <w:t xml:space="preserve"> – </w:t>
            </w:r>
            <w:r w:rsidRPr="00E001D0">
              <w:rPr>
                <w:b/>
                <w:sz w:val="21"/>
                <w:szCs w:val="21"/>
              </w:rPr>
              <w:t>PA</w:t>
            </w:r>
          </w:p>
          <w:p w:rsidR="00761C3C" w:rsidRPr="00E001D0" w:rsidRDefault="00761C3C" w:rsidP="00761C3C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61C3C" w:rsidRPr="00E001D0" w:rsidRDefault="00761C3C" w:rsidP="00761C3C">
            <w:pPr>
              <w:numPr>
                <w:ilvl w:val="1"/>
                <w:numId w:val="5"/>
              </w:numPr>
              <w:suppressAutoHyphens/>
              <w:autoSpaceDE w:val="0"/>
              <w:autoSpaceDN w:val="0"/>
              <w:adjustRightInd w:val="0"/>
              <w:ind w:left="180" w:hanging="270"/>
              <w:rPr>
                <w:sz w:val="21"/>
                <w:szCs w:val="21"/>
              </w:rPr>
            </w:pPr>
            <w:r w:rsidRPr="00E001D0">
              <w:rPr>
                <w:sz w:val="21"/>
                <w:szCs w:val="21"/>
              </w:rPr>
              <w:t>Effective October 31, 2016, the following cerebral stimulant agent will be removed from the MassHealth Brand Name Preferred Over Generic Drug List.</w:t>
            </w:r>
          </w:p>
          <w:p w:rsidR="00761C3C" w:rsidRPr="00761C3C" w:rsidRDefault="00761C3C" w:rsidP="00761C3C">
            <w:pPr>
              <w:suppressAutoHyphens/>
              <w:autoSpaceDE w:val="0"/>
              <w:autoSpaceDN w:val="0"/>
              <w:adjustRightInd w:val="0"/>
              <w:spacing w:after="120"/>
              <w:ind w:left="180"/>
              <w:rPr>
                <w:b/>
                <w:sz w:val="4"/>
                <w:szCs w:val="21"/>
              </w:rPr>
            </w:pPr>
          </w:p>
          <w:p w:rsidR="00761C3C" w:rsidRPr="00761C3C" w:rsidRDefault="00761C3C" w:rsidP="00761C3C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 w:hanging="270"/>
              <w:rPr>
                <w:sz w:val="21"/>
                <w:szCs w:val="21"/>
              </w:rPr>
            </w:pPr>
            <w:r w:rsidRPr="00761C3C">
              <w:rPr>
                <w:sz w:val="21"/>
                <w:szCs w:val="21"/>
              </w:rPr>
              <w:t xml:space="preserve">Adderall XR (amphetamine salts extended-release) </w:t>
            </w:r>
            <w:r>
              <w:rPr>
                <w:sz w:val="21"/>
                <w:szCs w:val="21"/>
              </w:rPr>
              <w:t xml:space="preserve"> </w:t>
            </w:r>
            <w:r w:rsidRPr="00761C3C">
              <w:rPr>
                <w:sz w:val="21"/>
                <w:szCs w:val="21"/>
              </w:rPr>
              <w:t xml:space="preserve">– </w:t>
            </w:r>
            <w:r w:rsidRPr="00761C3C">
              <w:rPr>
                <w:b/>
                <w:sz w:val="21"/>
                <w:szCs w:val="21"/>
              </w:rPr>
              <w:t>PA &lt; 3 years and PA &gt; 60 units/mo</w:t>
            </w:r>
            <w:r>
              <w:rPr>
                <w:b/>
                <w:sz w:val="21"/>
                <w:szCs w:val="21"/>
              </w:rPr>
              <w:t>.</w:t>
            </w:r>
          </w:p>
          <w:p w:rsidR="00A763C5" w:rsidRPr="00A763C5" w:rsidRDefault="00A763C5" w:rsidP="00A763C5">
            <w:pPr>
              <w:shd w:val="clear" w:color="auto" w:fill="FFFFFF"/>
              <w:ind w:left="270" w:hanging="270"/>
              <w:rPr>
                <w:sz w:val="20"/>
                <w:szCs w:val="21"/>
              </w:rPr>
            </w:pPr>
          </w:p>
        </w:tc>
        <w:tc>
          <w:tcPr>
            <w:tcW w:w="5365" w:type="dxa"/>
            <w:tcBorders>
              <w:bottom w:val="nil"/>
            </w:tcBorders>
            <w:shd w:val="clear" w:color="auto" w:fill="auto"/>
          </w:tcPr>
          <w:p w:rsidR="00CF52D7" w:rsidRDefault="00CF52D7" w:rsidP="00CF52D7">
            <w:pPr>
              <w:tabs>
                <w:tab w:val="left" w:pos="720"/>
              </w:tabs>
              <w:suppressAutoHyphens/>
              <w:autoSpaceDE w:val="0"/>
              <w:autoSpaceDN w:val="0"/>
              <w:ind w:left="720" w:hanging="180"/>
              <w:rPr>
                <w:sz w:val="21"/>
                <w:szCs w:val="21"/>
              </w:rPr>
            </w:pPr>
          </w:p>
          <w:p w:rsidR="00CF52D7" w:rsidRPr="00761C3C" w:rsidRDefault="00CF52D7" w:rsidP="00CF52D7">
            <w:pPr>
              <w:suppressAutoHyphens/>
              <w:autoSpaceDE w:val="0"/>
              <w:autoSpaceDN w:val="0"/>
              <w:ind w:left="189" w:hanging="9"/>
              <w:rPr>
                <w:sz w:val="21"/>
                <w:szCs w:val="21"/>
              </w:rPr>
            </w:pPr>
          </w:p>
          <w:p w:rsidR="00CF52D7" w:rsidRPr="00A67201" w:rsidRDefault="00CF52D7" w:rsidP="00CF52D7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autoSpaceDE w:val="0"/>
              <w:autoSpaceDN w:val="0"/>
              <w:adjustRightInd w:val="0"/>
              <w:spacing w:after="120"/>
              <w:ind w:left="279" w:hanging="279"/>
              <w:rPr>
                <w:b/>
                <w:sz w:val="21"/>
                <w:szCs w:val="21"/>
              </w:rPr>
            </w:pPr>
            <w:r w:rsidRPr="00A67201">
              <w:rPr>
                <w:b/>
                <w:sz w:val="21"/>
                <w:szCs w:val="21"/>
              </w:rPr>
              <w:t>Corrections / Clarifications</w:t>
            </w:r>
          </w:p>
          <w:p w:rsidR="00CF52D7" w:rsidRPr="00A67201" w:rsidRDefault="00CF52D7" w:rsidP="00CF52D7">
            <w:pPr>
              <w:tabs>
                <w:tab w:val="left" w:pos="2880"/>
              </w:tabs>
              <w:suppressAutoHyphens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67201">
              <w:rPr>
                <w:sz w:val="21"/>
                <w:szCs w:val="21"/>
              </w:rPr>
              <w:t>The following drugs have been added to the MassHealth Drug List.</w:t>
            </w:r>
          </w:p>
          <w:p w:rsidR="00CF52D7" w:rsidRPr="00A67201" w:rsidRDefault="00CF52D7" w:rsidP="00CF52D7">
            <w:pPr>
              <w:tabs>
                <w:tab w:val="left" w:pos="720"/>
                <w:tab w:val="left" w:pos="2880"/>
              </w:tabs>
              <w:suppressAutoHyphens/>
              <w:autoSpaceDE w:val="0"/>
              <w:autoSpaceDN w:val="0"/>
              <w:ind w:left="720"/>
              <w:rPr>
                <w:sz w:val="12"/>
                <w:szCs w:val="21"/>
              </w:rPr>
            </w:pPr>
          </w:p>
          <w:p w:rsidR="00CF52D7" w:rsidRPr="00A67201" w:rsidRDefault="00CF52D7" w:rsidP="00CF52D7">
            <w:pPr>
              <w:ind w:left="279"/>
              <w:rPr>
                <w:sz w:val="21"/>
                <w:szCs w:val="21"/>
              </w:rPr>
            </w:pPr>
            <w:r w:rsidRPr="00A67201">
              <w:rPr>
                <w:sz w:val="21"/>
                <w:szCs w:val="21"/>
              </w:rPr>
              <w:t xml:space="preserve">Dekas Essential (multivitamin) – </w:t>
            </w:r>
            <w:r w:rsidRPr="00A67201">
              <w:rPr>
                <w:b/>
                <w:sz w:val="21"/>
                <w:szCs w:val="21"/>
              </w:rPr>
              <w:t>PA</w:t>
            </w:r>
          </w:p>
          <w:p w:rsidR="00CF52D7" w:rsidRPr="00A67201" w:rsidRDefault="00CF52D7" w:rsidP="00CF52D7">
            <w:pPr>
              <w:ind w:left="549" w:hanging="270"/>
              <w:rPr>
                <w:sz w:val="21"/>
                <w:szCs w:val="21"/>
              </w:rPr>
            </w:pPr>
            <w:r w:rsidRPr="00A67201">
              <w:rPr>
                <w:sz w:val="21"/>
                <w:szCs w:val="21"/>
              </w:rPr>
              <w:t xml:space="preserve">Dekas Plus (multivitamins/minerals/coenzyme Q10) – </w:t>
            </w:r>
            <w:r w:rsidRPr="00A67201">
              <w:rPr>
                <w:b/>
                <w:sz w:val="21"/>
                <w:szCs w:val="21"/>
              </w:rPr>
              <w:t>PA</w:t>
            </w:r>
          </w:p>
          <w:p w:rsidR="00CF52D7" w:rsidRPr="00A67201" w:rsidRDefault="00CF52D7" w:rsidP="00CF52D7">
            <w:pPr>
              <w:ind w:left="549" w:hanging="270"/>
              <w:rPr>
                <w:sz w:val="21"/>
                <w:szCs w:val="21"/>
              </w:rPr>
            </w:pPr>
            <w:r w:rsidRPr="00A67201">
              <w:rPr>
                <w:sz w:val="21"/>
                <w:szCs w:val="21"/>
              </w:rPr>
              <w:t xml:space="preserve">Dekas Plus (multivitamins/minerals/folic acid/coenzyme Q10) – </w:t>
            </w:r>
            <w:r w:rsidRPr="00A67201">
              <w:rPr>
                <w:b/>
                <w:sz w:val="21"/>
                <w:szCs w:val="21"/>
              </w:rPr>
              <w:t>PA</w:t>
            </w:r>
          </w:p>
          <w:p w:rsidR="00CF52D7" w:rsidRPr="00A67201" w:rsidRDefault="00CF52D7" w:rsidP="00CF52D7">
            <w:pPr>
              <w:tabs>
                <w:tab w:val="left" w:pos="720"/>
                <w:tab w:val="left" w:pos="2880"/>
              </w:tabs>
              <w:suppressAutoHyphens/>
              <w:autoSpaceDE w:val="0"/>
              <w:autoSpaceDN w:val="0"/>
              <w:ind w:left="279"/>
              <w:rPr>
                <w:sz w:val="21"/>
                <w:szCs w:val="21"/>
              </w:rPr>
            </w:pPr>
            <w:r w:rsidRPr="00A67201">
              <w:rPr>
                <w:sz w:val="21"/>
                <w:szCs w:val="21"/>
              </w:rPr>
              <w:t xml:space="preserve">Egrifta (tesamorelin) – </w:t>
            </w:r>
            <w:r w:rsidRPr="00A67201">
              <w:rPr>
                <w:b/>
                <w:sz w:val="21"/>
                <w:szCs w:val="21"/>
              </w:rPr>
              <w:t>PA</w:t>
            </w:r>
            <w:r w:rsidRPr="00A67201">
              <w:rPr>
                <w:sz w:val="21"/>
                <w:szCs w:val="21"/>
              </w:rPr>
              <w:t xml:space="preserve"> </w:t>
            </w:r>
          </w:p>
          <w:p w:rsidR="00CF52D7" w:rsidRDefault="00CF52D7" w:rsidP="00CF52D7">
            <w:pPr>
              <w:pStyle w:val="BodyTextIndent2"/>
              <w:tabs>
                <w:tab w:val="left" w:pos="360"/>
              </w:tabs>
              <w:suppressAutoHyphens/>
              <w:ind w:left="1530" w:hanging="1152"/>
              <w:rPr>
                <w:rFonts w:ascii="Arial" w:hAnsi="Arial" w:cs="Arial"/>
                <w:sz w:val="12"/>
                <w:szCs w:val="22"/>
              </w:rPr>
            </w:pPr>
          </w:p>
          <w:p w:rsidR="00CF52D7" w:rsidRDefault="00CF52D7" w:rsidP="00CF52D7">
            <w:pPr>
              <w:shd w:val="clear" w:color="auto" w:fill="FFFFFF"/>
              <w:ind w:left="369" w:hanging="369"/>
              <w:rPr>
                <w:b/>
                <w:sz w:val="21"/>
                <w:szCs w:val="21"/>
              </w:rPr>
            </w:pPr>
          </w:p>
          <w:p w:rsidR="00CF52D7" w:rsidRPr="00A763C5" w:rsidRDefault="00CF52D7" w:rsidP="00CF52D7">
            <w:pPr>
              <w:shd w:val="clear" w:color="auto" w:fill="FFFFFF"/>
              <w:ind w:left="369" w:hanging="369"/>
              <w:rPr>
                <w:sz w:val="20"/>
                <w:szCs w:val="21"/>
              </w:rPr>
            </w:pPr>
            <w:r w:rsidRPr="00A763C5">
              <w:rPr>
                <w:b/>
                <w:sz w:val="21"/>
                <w:szCs w:val="21"/>
              </w:rPr>
              <w:t>PA</w:t>
            </w:r>
            <w:r w:rsidRPr="00A763C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A763C5">
              <w:rPr>
                <w:sz w:val="20"/>
                <w:szCs w:val="21"/>
              </w:rPr>
              <w:t xml:space="preserve">Prior authorization is required. The prescriber must obtain prior authorization for the drug in order for the pharmacy to receive payment. Note: Prior authorization applies to both the brand-name and the FDA “A”-rated generic equivalent of listed product. </w:t>
            </w:r>
          </w:p>
          <w:p w:rsidR="00CF52D7" w:rsidRPr="00A763C5" w:rsidRDefault="00CF52D7" w:rsidP="00CF52D7">
            <w:pPr>
              <w:shd w:val="clear" w:color="auto" w:fill="FFFFFF"/>
              <w:ind w:left="270" w:hanging="261"/>
              <w:rPr>
                <w:sz w:val="12"/>
                <w:szCs w:val="21"/>
              </w:rPr>
            </w:pPr>
          </w:p>
          <w:p w:rsidR="00CF52D7" w:rsidRPr="00A763C5" w:rsidRDefault="00CF52D7" w:rsidP="00CF52D7">
            <w:pPr>
              <w:shd w:val="clear" w:color="auto" w:fill="FFFFFF"/>
              <w:ind w:left="369" w:hanging="360"/>
              <w:rPr>
                <w:sz w:val="22"/>
                <w:szCs w:val="21"/>
              </w:rPr>
            </w:pPr>
            <w:r w:rsidRPr="00A763C5">
              <w:rPr>
                <w:rFonts w:ascii="Arial" w:hAnsi="Arial" w:cs="Arial"/>
                <w:b/>
                <w:bCs/>
                <w:szCs w:val="20"/>
              </w:rPr>
              <w:t>#</w:t>
            </w:r>
            <w:r w:rsidRPr="00A763C5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A763C5">
              <w:rPr>
                <w:sz w:val="20"/>
                <w:szCs w:val="21"/>
              </w:rPr>
              <w:t>This designates a brand-name drug with FDA “A”-rated generic equivalents. </w:t>
            </w:r>
            <w:bookmarkStart w:id="1" w:name="Prior_Authorization"/>
            <w:r w:rsidRPr="00A763C5">
              <w:rPr>
                <w:sz w:val="20"/>
                <w:szCs w:val="21"/>
              </w:rPr>
              <w:t>Prior authorization</w:t>
            </w:r>
            <w:bookmarkEnd w:id="1"/>
            <w:r w:rsidRPr="00A763C5">
              <w:rPr>
                <w:sz w:val="20"/>
                <w:szCs w:val="21"/>
              </w:rPr>
              <w:t xml:space="preserve"> is required for the brand, unless a particular form of that drug (for example, tablet, capsule, or liquid) does not have an FDA “A”-rated generic equivalent. </w:t>
            </w:r>
          </w:p>
          <w:p w:rsidR="00CF52D7" w:rsidRPr="00A763C5" w:rsidRDefault="00CF52D7" w:rsidP="00CF52D7">
            <w:pPr>
              <w:shd w:val="clear" w:color="auto" w:fill="FFFFFF"/>
              <w:ind w:left="270" w:hanging="261"/>
              <w:rPr>
                <w:sz w:val="12"/>
                <w:szCs w:val="21"/>
              </w:rPr>
            </w:pPr>
          </w:p>
          <w:p w:rsidR="001C1481" w:rsidRDefault="00CF52D7" w:rsidP="00CF52D7">
            <w:pPr>
              <w:pStyle w:val="BodyText1"/>
              <w:tabs>
                <w:tab w:val="clear" w:pos="-90"/>
              </w:tabs>
              <w:spacing w:line="240" w:lineRule="auto"/>
              <w:ind w:left="279" w:hanging="270"/>
            </w:pPr>
            <w:r w:rsidRPr="00CF52D7">
              <w:rPr>
                <w:b/>
                <w:sz w:val="24"/>
              </w:rPr>
              <w:t>^</w:t>
            </w:r>
            <w:r w:rsidRPr="00CF52D7">
              <w:rPr>
                <w:sz w:val="24"/>
              </w:rPr>
              <w:t xml:space="preserve">  </w:t>
            </w:r>
            <w:r w:rsidRPr="00A763C5">
              <w:rPr>
                <w:rFonts w:ascii="Times New Roman" w:hAnsi="Times New Roman" w:cs="Times New Roman"/>
                <w:sz w:val="20"/>
              </w:rPr>
              <w:t>This drug is available through the health care professional who administers the drug. MassHealth does not pay for this drug to be dispensed through a retail pharmacy.</w:t>
            </w:r>
          </w:p>
        </w:tc>
      </w:tr>
    </w:tbl>
    <w:p w:rsidR="0018357E" w:rsidRPr="00E24139" w:rsidRDefault="00666D2A" w:rsidP="0085395A">
      <w:pPr>
        <w:tabs>
          <w:tab w:val="left" w:pos="-90"/>
        </w:tabs>
        <w:autoSpaceDE w:val="0"/>
        <w:autoSpaceDN w:val="0"/>
        <w:adjustRightInd w:val="0"/>
        <w:spacing w:before="240" w:after="122" w:line="292" w:lineRule="atLeast"/>
        <w:jc w:val="center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-571500</wp:posOffset>
                </wp:positionV>
                <wp:extent cx="2171700" cy="228600"/>
                <wp:effectExtent l="0" t="0" r="0" b="0"/>
                <wp:wrapNone/>
                <wp:docPr id="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567" w:rsidRPr="00AD18B8" w:rsidRDefault="00981567" w:rsidP="00981567">
                            <w:pPr>
                              <w:pStyle w:val="Default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  <w:r w:rsidRPr="00AD18B8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harmacy Facts, Number </w:t>
                            </w:r>
                            <w:r w:rsidR="003530AE" w:rsidRPr="003530AE">
                              <w:rPr>
                                <w:color w:val="auto"/>
                                <w:sz w:val="18"/>
                                <w:szCs w:val="18"/>
                              </w:rPr>
                              <w:t>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9" type="#_x0000_t202" style="position:absolute;left:0;text-align:left;margin-left:-9pt;margin-top:-45pt;width:171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" stroked="f">
                <v:textbox>
                  <w:txbxContent>
                    <w:p w:rsidR="00981567" w:rsidRPr="00AD18B8" w:rsidRDefault="00981567" w:rsidP="00981567">
                      <w:pPr>
                        <w:pStyle w:val="Default"/>
                        <w:jc w:val="center"/>
                        <w:rPr>
                          <w:sz w:val="6"/>
                          <w:szCs w:val="6"/>
                        </w:rPr>
                      </w:pPr>
                      <w:r w:rsidRPr="00AD18B8">
                        <w:rPr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sz w:val="18"/>
                          <w:szCs w:val="18"/>
                        </w:rPr>
                        <w:t xml:space="preserve">harmacy Facts, Number </w:t>
                      </w:r>
                      <w:r w:rsidR="003530AE" w:rsidRPr="003530AE">
                        <w:rPr>
                          <w:color w:val="auto"/>
                          <w:sz w:val="18"/>
                          <w:szCs w:val="18"/>
                        </w:rPr>
                        <w:t>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-571500</wp:posOffset>
                </wp:positionV>
                <wp:extent cx="1028700" cy="228600"/>
                <wp:effectExtent l="0" t="0" r="0" b="0"/>
                <wp:wrapNone/>
                <wp:docPr id="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FA4" w:rsidRPr="00AD18B8" w:rsidRDefault="00C82FA4" w:rsidP="00C82FA4">
                            <w:pPr>
                              <w:pStyle w:val="Default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  <w:r w:rsidRPr="00AD18B8">
                              <w:rPr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AD18B8">
                              <w:rPr>
                                <w:sz w:val="18"/>
                                <w:szCs w:val="18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0" type="#_x0000_t202" style="position:absolute;left:0;text-align:left;margin-left:450pt;margin-top:-45pt;width:81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" stroked="f">
                <v:textbox>
                  <w:txbxContent>
                    <w:p w:rsidR="00C82FA4" w:rsidRPr="00AD18B8" w:rsidRDefault="00C82FA4" w:rsidP="00C82FA4">
                      <w:pPr>
                        <w:pStyle w:val="Default"/>
                        <w:jc w:val="center"/>
                        <w:rPr>
                          <w:sz w:val="6"/>
                          <w:szCs w:val="6"/>
                        </w:rPr>
                      </w:pPr>
                      <w:r w:rsidRPr="00AD18B8">
                        <w:rPr>
                          <w:sz w:val="18"/>
                          <w:szCs w:val="18"/>
                        </w:rPr>
                        <w:t xml:space="preserve">Page 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AD18B8">
                        <w:rPr>
                          <w:sz w:val="18"/>
                          <w:szCs w:val="18"/>
                        </w:rP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8572500</wp:posOffset>
                </wp:positionV>
                <wp:extent cx="6972300" cy="0"/>
                <wp:effectExtent l="19050" t="19050" r="19050" b="19050"/>
                <wp:wrapNone/>
                <wp:docPr id="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75pt" to="540pt,6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" strokeweight="2pt">
                <v:stroke linestyle="thinThin"/>
              </v:line>
            </w:pict>
          </mc:Fallback>
        </mc:AlternateContent>
      </w:r>
      <w:r w:rsidR="0085395A" w:rsidRPr="00E24139">
        <w:rPr>
          <w:rFonts w:ascii="Arial" w:hAnsi="Arial" w:cs="Arial"/>
          <w:color w:val="000000"/>
          <w:sz w:val="21"/>
          <w:szCs w:val="21"/>
        </w:rPr>
        <w:t xml:space="preserve">Please direct any questions or comments (or to be taken off of this fax distribution) to </w:t>
      </w:r>
      <w:r w:rsidR="0085395A" w:rsidRPr="00E24139">
        <w:rPr>
          <w:rFonts w:ascii="Arial" w:hAnsi="Arial" w:cs="Arial"/>
          <w:color w:val="000000"/>
          <w:sz w:val="21"/>
          <w:szCs w:val="21"/>
        </w:rPr>
        <w:br/>
      </w:r>
      <w:r w:rsidR="0085395A" w:rsidRPr="00E24139">
        <w:rPr>
          <w:rFonts w:ascii="Arial Black" w:hAnsi="Arial Black" w:cs="Arial Black"/>
          <w:color w:val="000000"/>
          <w:sz w:val="21"/>
          <w:szCs w:val="21"/>
        </w:rPr>
        <w:t>Victor Moquin</w:t>
      </w:r>
      <w:r w:rsidR="0085395A" w:rsidRPr="00E24139">
        <w:rPr>
          <w:rFonts w:ascii="Arial" w:hAnsi="Arial" w:cs="Arial"/>
          <w:color w:val="000000"/>
          <w:sz w:val="21"/>
          <w:szCs w:val="21"/>
        </w:rPr>
        <w:t xml:space="preserve"> of </w:t>
      </w:r>
      <w:r w:rsidR="00FD4894">
        <w:rPr>
          <w:rFonts w:ascii="Arial" w:hAnsi="Arial" w:cs="Arial"/>
          <w:color w:val="000000"/>
          <w:sz w:val="21"/>
          <w:szCs w:val="21"/>
        </w:rPr>
        <w:t>Xerox</w:t>
      </w:r>
      <w:r w:rsidR="0085395A" w:rsidRPr="00E24139">
        <w:rPr>
          <w:rFonts w:ascii="Arial" w:hAnsi="Arial" w:cs="Arial"/>
          <w:color w:val="000000"/>
          <w:sz w:val="21"/>
          <w:szCs w:val="21"/>
        </w:rPr>
        <w:t xml:space="preserve"> at 617-423-9830.</w:t>
      </w:r>
    </w:p>
    <w:sectPr w:rsidR="0018357E" w:rsidRPr="00E24139" w:rsidSect="00941258">
      <w:pgSz w:w="12240" w:h="15840"/>
      <w:pgMar w:top="1260" w:right="259" w:bottom="288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9B4"/>
    <w:multiLevelType w:val="hybridMultilevel"/>
    <w:tmpl w:val="75469500"/>
    <w:lvl w:ilvl="0" w:tplc="B26C67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66898"/>
    <w:multiLevelType w:val="hybridMultilevel"/>
    <w:tmpl w:val="95C89B78"/>
    <w:lvl w:ilvl="0" w:tplc="142AF6DA">
      <w:start w:val="1"/>
      <w:numFmt w:val="decimal"/>
      <w:lvlText w:val="%1."/>
      <w:lvlJc w:val="left"/>
      <w:pPr>
        <w:ind w:left="2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2">
    <w:nsid w:val="2ECA492A"/>
    <w:multiLevelType w:val="hybridMultilevel"/>
    <w:tmpl w:val="6FA450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D235B"/>
    <w:multiLevelType w:val="hybridMultilevel"/>
    <w:tmpl w:val="E00CC082"/>
    <w:lvl w:ilvl="0" w:tplc="BC2EE5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F4F82"/>
    <w:multiLevelType w:val="hybridMultilevel"/>
    <w:tmpl w:val="3F1453DA"/>
    <w:lvl w:ilvl="0" w:tplc="B240D2F2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6DBE742A"/>
    <w:multiLevelType w:val="hybridMultilevel"/>
    <w:tmpl w:val="F4589B0E"/>
    <w:lvl w:ilvl="0" w:tplc="B26C67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97B58"/>
    <w:multiLevelType w:val="hybridMultilevel"/>
    <w:tmpl w:val="4C884D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9C24B48"/>
    <w:multiLevelType w:val="hybridMultilevel"/>
    <w:tmpl w:val="75B89C54"/>
    <w:lvl w:ilvl="0" w:tplc="459036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39"/>
    <w:rsid w:val="00054839"/>
    <w:rsid w:val="00074014"/>
    <w:rsid w:val="00081E8E"/>
    <w:rsid w:val="000D1502"/>
    <w:rsid w:val="0018357E"/>
    <w:rsid w:val="001864A9"/>
    <w:rsid w:val="001C1481"/>
    <w:rsid w:val="001D31BC"/>
    <w:rsid w:val="00223427"/>
    <w:rsid w:val="00286CBE"/>
    <w:rsid w:val="002A0157"/>
    <w:rsid w:val="002C4CCD"/>
    <w:rsid w:val="002C7C67"/>
    <w:rsid w:val="002D390F"/>
    <w:rsid w:val="002D738C"/>
    <w:rsid w:val="002E7A81"/>
    <w:rsid w:val="003530AE"/>
    <w:rsid w:val="00360067"/>
    <w:rsid w:val="0037373E"/>
    <w:rsid w:val="0037492B"/>
    <w:rsid w:val="00382054"/>
    <w:rsid w:val="003B6839"/>
    <w:rsid w:val="00456338"/>
    <w:rsid w:val="004A7395"/>
    <w:rsid w:val="004F3A4E"/>
    <w:rsid w:val="004F5612"/>
    <w:rsid w:val="00516394"/>
    <w:rsid w:val="005314A6"/>
    <w:rsid w:val="005502E1"/>
    <w:rsid w:val="00571898"/>
    <w:rsid w:val="00581E50"/>
    <w:rsid w:val="005842A0"/>
    <w:rsid w:val="005958DD"/>
    <w:rsid w:val="00615A9D"/>
    <w:rsid w:val="00623469"/>
    <w:rsid w:val="00666D2A"/>
    <w:rsid w:val="00674418"/>
    <w:rsid w:val="00686C26"/>
    <w:rsid w:val="00690023"/>
    <w:rsid w:val="0069772F"/>
    <w:rsid w:val="006E0C20"/>
    <w:rsid w:val="00723B30"/>
    <w:rsid w:val="007319D7"/>
    <w:rsid w:val="00731FAF"/>
    <w:rsid w:val="00760FDF"/>
    <w:rsid w:val="00761C3C"/>
    <w:rsid w:val="007757E7"/>
    <w:rsid w:val="0078197C"/>
    <w:rsid w:val="007A41F5"/>
    <w:rsid w:val="00821937"/>
    <w:rsid w:val="008347E8"/>
    <w:rsid w:val="008403CA"/>
    <w:rsid w:val="0085395A"/>
    <w:rsid w:val="00872E7F"/>
    <w:rsid w:val="008930F1"/>
    <w:rsid w:val="00893F45"/>
    <w:rsid w:val="008A17DC"/>
    <w:rsid w:val="008B38F1"/>
    <w:rsid w:val="008F0130"/>
    <w:rsid w:val="00906EEC"/>
    <w:rsid w:val="00922030"/>
    <w:rsid w:val="00941258"/>
    <w:rsid w:val="00956812"/>
    <w:rsid w:val="00981567"/>
    <w:rsid w:val="00981F36"/>
    <w:rsid w:val="009C3981"/>
    <w:rsid w:val="009F0440"/>
    <w:rsid w:val="00A01DE3"/>
    <w:rsid w:val="00A343A9"/>
    <w:rsid w:val="00A5239C"/>
    <w:rsid w:val="00A67201"/>
    <w:rsid w:val="00A763C5"/>
    <w:rsid w:val="00A84255"/>
    <w:rsid w:val="00AA54B3"/>
    <w:rsid w:val="00AB1BB1"/>
    <w:rsid w:val="00AD18B8"/>
    <w:rsid w:val="00B01BAA"/>
    <w:rsid w:val="00B3099B"/>
    <w:rsid w:val="00B54AB5"/>
    <w:rsid w:val="00BA68F0"/>
    <w:rsid w:val="00C1505B"/>
    <w:rsid w:val="00C35B94"/>
    <w:rsid w:val="00C82FA4"/>
    <w:rsid w:val="00CA0669"/>
    <w:rsid w:val="00CF52D7"/>
    <w:rsid w:val="00D2695E"/>
    <w:rsid w:val="00D74A8F"/>
    <w:rsid w:val="00DE5496"/>
    <w:rsid w:val="00E16E6A"/>
    <w:rsid w:val="00E177EF"/>
    <w:rsid w:val="00E24139"/>
    <w:rsid w:val="00E92E47"/>
    <w:rsid w:val="00EC08AC"/>
    <w:rsid w:val="00F25E7F"/>
    <w:rsid w:val="00F76D69"/>
    <w:rsid w:val="00FA5147"/>
    <w:rsid w:val="00FB0C1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paragraph" w:styleId="BodyTextIndent2">
    <w:name w:val="Body Text Indent 2"/>
    <w:basedOn w:val="Normal"/>
    <w:link w:val="BodyTextIndent2Char"/>
    <w:rsid w:val="002C4CCD"/>
    <w:pPr>
      <w:autoSpaceDE w:val="0"/>
      <w:autoSpaceDN w:val="0"/>
      <w:ind w:left="180" w:hanging="180"/>
    </w:pPr>
    <w:rPr>
      <w:color w:val="000080"/>
      <w:sz w:val="20"/>
      <w:szCs w:val="20"/>
    </w:r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2C4CCD"/>
    <w:rPr>
      <w:color w:val="000080"/>
    </w:rPr>
  </w:style>
  <w:style w:type="character" w:styleId="Hyperlink">
    <w:name w:val="Hyperlink"/>
    <w:basedOn w:val="DefaultParagraphFont"/>
    <w:rsid w:val="00981F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paragraph" w:styleId="BodyTextIndent2">
    <w:name w:val="Body Text Indent 2"/>
    <w:basedOn w:val="Normal"/>
    <w:link w:val="BodyTextIndent2Char"/>
    <w:rsid w:val="002C4CCD"/>
    <w:pPr>
      <w:autoSpaceDE w:val="0"/>
      <w:autoSpaceDN w:val="0"/>
      <w:ind w:left="180" w:hanging="180"/>
    </w:pPr>
    <w:rPr>
      <w:color w:val="000080"/>
      <w:sz w:val="20"/>
      <w:szCs w:val="20"/>
    </w:r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2C4CCD"/>
    <w:rPr>
      <w:color w:val="000080"/>
    </w:rPr>
  </w:style>
  <w:style w:type="character" w:styleId="Hyperlink">
    <w:name w:val="Hyperlink"/>
    <w:basedOn w:val="DefaultParagraphFont"/>
    <w:rsid w:val="00981F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hyperlink" TargetMode="External" Target="http://www.mass.gov/druglist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Documents%20and%20Settings/SlJohnson/Local%20Settings/Temporary%20Internet%20Files/OLK209/Pharmacy%20Facts%20(3)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Pharmacy Facts (3).dot</Template>
  <TotalTime>1</TotalTime>
  <Pages>2</Pages>
  <Words>847</Words>
  <Characters>4829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Health and Human Services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2016-11-21T19:08:00Z</dcterms:created>
  <dc:creator>EHS</dc:creator>
  <lastModifiedBy>Administrator</lastModifiedBy>
  <lastPrinted>2016-10-25T19:03:00Z</lastPrinted>
  <dcterms:modified xsi:type="dcterms:W3CDTF">2016-11-21T19:08:00Z</dcterms:modified>
  <revision>2</revision>
</coreProperties>
</file>