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F8058E" w14:textId="37985EC5" w:rsidR="00AA656C" w:rsidRPr="00FB493A" w:rsidRDefault="00FB493A" w:rsidP="006A6979">
      <w:pPr>
        <w:pStyle w:val="ReportTitle"/>
        <w:rPr>
          <w:sz w:val="72"/>
          <w:szCs w:val="72"/>
        </w:rPr>
      </w:pPr>
      <w:bookmarkStart w:id="0" w:name="ReportTitle"/>
      <w:r w:rsidRPr="00FB493A">
        <w:rPr>
          <w:noProof/>
          <w:sz w:val="72"/>
          <w:szCs w:val="72"/>
        </w:rPr>
        <w:t>Pharmacy Reimbursement: Cost of Dispensing Survey</w:t>
      </w:r>
      <w:bookmarkEnd w:id="0"/>
      <w:r w:rsidRPr="00FB493A">
        <w:rPr>
          <w:noProof/>
          <w:sz w:val="72"/>
          <w:szCs w:val="72"/>
        </w:rPr>
        <w:t xml:space="preserve"> Results</w:t>
      </w:r>
    </w:p>
    <w:p w14:paraId="3D44A870" w14:textId="5A3907C8" w:rsidR="00AA656C" w:rsidRPr="006A6979" w:rsidRDefault="00142BDD" w:rsidP="006A6979">
      <w:pPr>
        <w:pStyle w:val="ClientName"/>
      </w:pPr>
      <w:r>
        <w:t>Common</w:t>
      </w:r>
      <w:r w:rsidR="008720BE">
        <w:t>w</w:t>
      </w:r>
      <w:r>
        <w:t>ealth of Massachusetts</w:t>
      </w:r>
    </w:p>
    <w:p w14:paraId="0DFE9327" w14:textId="62E6F6C8" w:rsidR="00AA656C" w:rsidRDefault="00500193" w:rsidP="006A6979">
      <w:pPr>
        <w:pStyle w:val="Date"/>
      </w:pPr>
      <w:r>
        <w:t xml:space="preserve">October </w:t>
      </w:r>
      <w:r w:rsidR="00CA22DA">
        <w:t>11</w:t>
      </w:r>
      <w:r>
        <w:t>, 2024</w:t>
      </w:r>
    </w:p>
    <w:p w14:paraId="7A5FF710" w14:textId="6B2E1019" w:rsidR="00406B9B" w:rsidRDefault="00406B9B" w:rsidP="00FB493A"/>
    <w:p w14:paraId="4E960DFC" w14:textId="77777777" w:rsidR="00217284" w:rsidRDefault="00217284" w:rsidP="006A6979"/>
    <w:sdt>
      <w:sdtPr>
        <w:tag w:val="ProtectedSection"/>
        <w:id w:val="-1363044442"/>
        <w:lock w:val="sdtContentLocked"/>
        <w:placeholder>
          <w:docPart w:val="D4D98BDEA0F74421BFA867A9EF851100"/>
        </w:placeholder>
        <w15:appearance w15:val="hidden"/>
      </w:sdtPr>
      <w:sdtEndPr/>
      <w:sdtContent>
        <w:p w14:paraId="6DA3490C" w14:textId="77777777" w:rsidR="00D6661C" w:rsidRPr="00217284" w:rsidRDefault="00217284" w:rsidP="006A6979">
          <w:pPr>
            <w:sectPr w:rsidR="00D6661C" w:rsidRPr="00217284" w:rsidSect="00D43CA9">
              <w:headerReference w:type="first" r:id="rId8"/>
              <w:footerReference w:type="first" r:id="rId9"/>
              <w:pgSz w:w="12240" w:h="15840" w:code="9"/>
              <w:pgMar w:top="2835" w:right="1751" w:bottom="419" w:left="1418" w:header="1049" w:footer="369" w:gutter="0"/>
              <w:cols w:space="708"/>
              <w:titlePg/>
              <w:docGrid w:linePitch="360"/>
            </w:sectPr>
          </w:pPr>
          <w:r w:rsidRPr="00217284">
            <w:t xml:space="preserve"> </w:t>
          </w:r>
        </w:p>
      </w:sdtContent>
    </w:sdt>
    <w:sdt>
      <w:sdtPr>
        <w:rPr>
          <w:rFonts w:eastAsiaTheme="minorHAnsi" w:cstheme="minorBidi"/>
          <w:b w:val="0"/>
          <w:color w:val="auto"/>
          <w:sz w:val="20"/>
          <w:szCs w:val="20"/>
          <w:lang w:val="en-GB"/>
        </w:rPr>
        <w:id w:val="487142845"/>
        <w:docPartObj>
          <w:docPartGallery w:val="Table of Contents"/>
          <w:docPartUnique/>
        </w:docPartObj>
      </w:sdtPr>
      <w:sdtEndPr>
        <w:rPr>
          <w:rFonts w:cs="Arial"/>
          <w:noProof/>
          <w:color w:val="002C77" w:themeColor="text1"/>
          <w:sz w:val="22"/>
          <w:szCs w:val="22"/>
          <w:lang w:val="en-US"/>
        </w:rPr>
      </w:sdtEndPr>
      <w:sdtContent>
        <w:bookmarkStart w:id="5" w:name="MMC_Contents" w:displacedByCustomXml="prev"/>
        <w:p w14:paraId="2C363CA9" w14:textId="77777777" w:rsidR="004E0A92" w:rsidRPr="003967FE" w:rsidRDefault="00FB493A" w:rsidP="009E5C1A">
          <w:pPr>
            <w:pStyle w:val="TOCHeading"/>
          </w:pPr>
          <w:r>
            <w:t>Contents</w:t>
          </w:r>
          <w:bookmarkEnd w:id="5"/>
          <w:r w:rsidR="00AF71D4" w:rsidRPr="003967FE">
            <w:t xml:space="preserve"> </w:t>
          </w:r>
          <w:bookmarkStart w:id="6" w:name="TOC_Here"/>
          <w:bookmarkEnd w:id="6"/>
        </w:p>
        <w:p w14:paraId="3ED36A04" w14:textId="7F82D71B" w:rsidR="00743EA4" w:rsidRDefault="00FB493A">
          <w:pPr>
            <w:pStyle w:val="TOC1"/>
            <w:rPr>
              <w:rFonts w:asciiTheme="minorHAnsi" w:eastAsiaTheme="minorEastAsia" w:hAnsiTheme="minorHAnsi" w:cstheme="minorBidi"/>
              <w:color w:val="auto"/>
              <w:kern w:val="2"/>
              <w:sz w:val="24"/>
              <w:szCs w:val="24"/>
              <w14:ligatures w14:val="standardContextual"/>
            </w:rPr>
          </w:pPr>
          <w:r>
            <w:fldChar w:fldCharType="begin"/>
          </w:r>
          <w:r>
            <w:instrText xml:space="preserve"> TOC \o "1-2" \h \z \t "Appendix Heading 1,9" \* MERGEFORMAT </w:instrText>
          </w:r>
          <w:r>
            <w:fldChar w:fldCharType="separate"/>
          </w:r>
          <w:hyperlink w:anchor="_Toc179536088" w:history="1">
            <w:r w:rsidR="00743EA4" w:rsidRPr="00BD36B0">
              <w:rPr>
                <w:rStyle w:val="Hyperlink"/>
              </w:rPr>
              <w:t>Executive Summary</w:t>
            </w:r>
            <w:r w:rsidR="00743EA4">
              <w:rPr>
                <w:webHidden/>
              </w:rPr>
              <w:tab/>
            </w:r>
            <w:r w:rsidR="00743EA4">
              <w:rPr>
                <w:webHidden/>
              </w:rPr>
              <w:fldChar w:fldCharType="begin"/>
            </w:r>
            <w:r w:rsidR="00743EA4">
              <w:rPr>
                <w:webHidden/>
              </w:rPr>
              <w:instrText xml:space="preserve"> PAGEREF _Toc179536088 \h </w:instrText>
            </w:r>
            <w:r w:rsidR="00743EA4">
              <w:rPr>
                <w:webHidden/>
              </w:rPr>
            </w:r>
            <w:r w:rsidR="00743EA4">
              <w:rPr>
                <w:webHidden/>
              </w:rPr>
              <w:fldChar w:fldCharType="separate"/>
            </w:r>
            <w:r w:rsidR="00743EA4">
              <w:rPr>
                <w:webHidden/>
              </w:rPr>
              <w:t>1</w:t>
            </w:r>
            <w:r w:rsidR="00743EA4">
              <w:rPr>
                <w:webHidden/>
              </w:rPr>
              <w:fldChar w:fldCharType="end"/>
            </w:r>
          </w:hyperlink>
        </w:p>
        <w:p w14:paraId="4F96DE40" w14:textId="3DA5C778" w:rsidR="00743EA4" w:rsidRDefault="00743EA4">
          <w:pPr>
            <w:pStyle w:val="TOC2"/>
            <w:rPr>
              <w:rFonts w:asciiTheme="minorHAnsi" w:eastAsiaTheme="minorEastAsia" w:hAnsiTheme="minorHAnsi" w:cstheme="minorBidi"/>
              <w:color w:val="auto"/>
              <w:kern w:val="2"/>
              <w:sz w:val="24"/>
              <w:szCs w:val="24"/>
              <w14:ligatures w14:val="standardContextual"/>
            </w:rPr>
          </w:pPr>
          <w:hyperlink w:anchor="_Toc179536089" w:history="1">
            <w:r w:rsidRPr="00BD36B0">
              <w:rPr>
                <w:rStyle w:val="Hyperlink"/>
              </w:rPr>
              <w:t>Cost of Dispensing Survey</w:t>
            </w:r>
            <w:r>
              <w:rPr>
                <w:webHidden/>
              </w:rPr>
              <w:tab/>
            </w:r>
            <w:r>
              <w:rPr>
                <w:webHidden/>
              </w:rPr>
              <w:fldChar w:fldCharType="begin"/>
            </w:r>
            <w:r>
              <w:rPr>
                <w:webHidden/>
              </w:rPr>
              <w:instrText xml:space="preserve"> PAGEREF _Toc179536089 \h </w:instrText>
            </w:r>
            <w:r>
              <w:rPr>
                <w:webHidden/>
              </w:rPr>
            </w:r>
            <w:r>
              <w:rPr>
                <w:webHidden/>
              </w:rPr>
              <w:fldChar w:fldCharType="separate"/>
            </w:r>
            <w:r>
              <w:rPr>
                <w:webHidden/>
              </w:rPr>
              <w:t>1</w:t>
            </w:r>
            <w:r>
              <w:rPr>
                <w:webHidden/>
              </w:rPr>
              <w:fldChar w:fldCharType="end"/>
            </w:r>
          </w:hyperlink>
        </w:p>
        <w:p w14:paraId="69D927A5" w14:textId="56FC35DE" w:rsidR="00743EA4" w:rsidRDefault="00743EA4">
          <w:pPr>
            <w:pStyle w:val="TOC1"/>
            <w:rPr>
              <w:rFonts w:asciiTheme="minorHAnsi" w:eastAsiaTheme="minorEastAsia" w:hAnsiTheme="minorHAnsi" w:cstheme="minorBidi"/>
              <w:color w:val="auto"/>
              <w:kern w:val="2"/>
              <w:sz w:val="24"/>
              <w:szCs w:val="24"/>
              <w14:ligatures w14:val="standardContextual"/>
            </w:rPr>
          </w:pPr>
          <w:hyperlink w:anchor="_Toc179536090" w:history="1">
            <w:r w:rsidRPr="00BD36B0">
              <w:rPr>
                <w:rStyle w:val="Hyperlink"/>
              </w:rPr>
              <w:t>Cost of Dispensing Study</w:t>
            </w:r>
            <w:r>
              <w:rPr>
                <w:webHidden/>
              </w:rPr>
              <w:tab/>
            </w:r>
            <w:r>
              <w:rPr>
                <w:webHidden/>
              </w:rPr>
              <w:fldChar w:fldCharType="begin"/>
            </w:r>
            <w:r>
              <w:rPr>
                <w:webHidden/>
              </w:rPr>
              <w:instrText xml:space="preserve"> PAGEREF _Toc179536090 \h </w:instrText>
            </w:r>
            <w:r>
              <w:rPr>
                <w:webHidden/>
              </w:rPr>
            </w:r>
            <w:r>
              <w:rPr>
                <w:webHidden/>
              </w:rPr>
              <w:fldChar w:fldCharType="separate"/>
            </w:r>
            <w:r>
              <w:rPr>
                <w:webHidden/>
              </w:rPr>
              <w:t>4</w:t>
            </w:r>
            <w:r>
              <w:rPr>
                <w:webHidden/>
              </w:rPr>
              <w:fldChar w:fldCharType="end"/>
            </w:r>
          </w:hyperlink>
        </w:p>
        <w:p w14:paraId="4AD2E272" w14:textId="1D94B434" w:rsidR="00743EA4" w:rsidRDefault="00743EA4">
          <w:pPr>
            <w:pStyle w:val="TOC2"/>
            <w:rPr>
              <w:rFonts w:asciiTheme="minorHAnsi" w:eastAsiaTheme="minorEastAsia" w:hAnsiTheme="minorHAnsi" w:cstheme="minorBidi"/>
              <w:color w:val="auto"/>
              <w:kern w:val="2"/>
              <w:sz w:val="24"/>
              <w:szCs w:val="24"/>
              <w14:ligatures w14:val="standardContextual"/>
            </w:rPr>
          </w:pPr>
          <w:hyperlink w:anchor="_Toc179536091" w:history="1">
            <w:r w:rsidRPr="00BD36B0">
              <w:rPr>
                <w:rStyle w:val="Hyperlink"/>
              </w:rPr>
              <w:t>Introduction</w:t>
            </w:r>
            <w:r>
              <w:rPr>
                <w:webHidden/>
              </w:rPr>
              <w:tab/>
            </w:r>
            <w:r>
              <w:rPr>
                <w:webHidden/>
              </w:rPr>
              <w:fldChar w:fldCharType="begin"/>
            </w:r>
            <w:r>
              <w:rPr>
                <w:webHidden/>
              </w:rPr>
              <w:instrText xml:space="preserve"> PAGEREF _Toc179536091 \h </w:instrText>
            </w:r>
            <w:r>
              <w:rPr>
                <w:webHidden/>
              </w:rPr>
            </w:r>
            <w:r>
              <w:rPr>
                <w:webHidden/>
              </w:rPr>
              <w:fldChar w:fldCharType="separate"/>
            </w:r>
            <w:r>
              <w:rPr>
                <w:webHidden/>
              </w:rPr>
              <w:t>4</w:t>
            </w:r>
            <w:r>
              <w:rPr>
                <w:webHidden/>
              </w:rPr>
              <w:fldChar w:fldCharType="end"/>
            </w:r>
          </w:hyperlink>
        </w:p>
        <w:p w14:paraId="174612C6" w14:textId="00C67BA5" w:rsidR="00743EA4" w:rsidRDefault="00743EA4">
          <w:pPr>
            <w:pStyle w:val="TOC2"/>
            <w:rPr>
              <w:rFonts w:asciiTheme="minorHAnsi" w:eastAsiaTheme="minorEastAsia" w:hAnsiTheme="minorHAnsi" w:cstheme="minorBidi"/>
              <w:color w:val="auto"/>
              <w:kern w:val="2"/>
              <w:sz w:val="24"/>
              <w:szCs w:val="24"/>
              <w14:ligatures w14:val="standardContextual"/>
            </w:rPr>
          </w:pPr>
          <w:hyperlink w:anchor="_Toc179536092" w:history="1">
            <w:r w:rsidRPr="00BD36B0">
              <w:rPr>
                <w:rStyle w:val="Hyperlink"/>
              </w:rPr>
              <w:t>Methodology</w:t>
            </w:r>
            <w:r>
              <w:rPr>
                <w:webHidden/>
              </w:rPr>
              <w:tab/>
            </w:r>
            <w:r>
              <w:rPr>
                <w:webHidden/>
              </w:rPr>
              <w:fldChar w:fldCharType="begin"/>
            </w:r>
            <w:r>
              <w:rPr>
                <w:webHidden/>
              </w:rPr>
              <w:instrText xml:space="preserve"> PAGEREF _Toc179536092 \h </w:instrText>
            </w:r>
            <w:r>
              <w:rPr>
                <w:webHidden/>
              </w:rPr>
            </w:r>
            <w:r>
              <w:rPr>
                <w:webHidden/>
              </w:rPr>
              <w:fldChar w:fldCharType="separate"/>
            </w:r>
            <w:r>
              <w:rPr>
                <w:webHidden/>
              </w:rPr>
              <w:t>4</w:t>
            </w:r>
            <w:r>
              <w:rPr>
                <w:webHidden/>
              </w:rPr>
              <w:fldChar w:fldCharType="end"/>
            </w:r>
          </w:hyperlink>
        </w:p>
        <w:p w14:paraId="764AE3DC" w14:textId="0CD0BA05" w:rsidR="00743EA4" w:rsidRDefault="00743EA4">
          <w:pPr>
            <w:pStyle w:val="TOC2"/>
            <w:rPr>
              <w:rFonts w:asciiTheme="minorHAnsi" w:eastAsiaTheme="minorEastAsia" w:hAnsiTheme="minorHAnsi" w:cstheme="minorBidi"/>
              <w:color w:val="auto"/>
              <w:kern w:val="2"/>
              <w:sz w:val="24"/>
              <w:szCs w:val="24"/>
              <w14:ligatures w14:val="standardContextual"/>
            </w:rPr>
          </w:pPr>
          <w:hyperlink w:anchor="_Toc179536093" w:history="1">
            <w:r w:rsidRPr="00BD36B0">
              <w:rPr>
                <w:rStyle w:val="Hyperlink"/>
              </w:rPr>
              <w:t>Survey Instrument Development</w:t>
            </w:r>
            <w:r>
              <w:rPr>
                <w:webHidden/>
              </w:rPr>
              <w:tab/>
            </w:r>
            <w:r>
              <w:rPr>
                <w:webHidden/>
              </w:rPr>
              <w:fldChar w:fldCharType="begin"/>
            </w:r>
            <w:r>
              <w:rPr>
                <w:webHidden/>
              </w:rPr>
              <w:instrText xml:space="preserve"> PAGEREF _Toc179536093 \h </w:instrText>
            </w:r>
            <w:r>
              <w:rPr>
                <w:webHidden/>
              </w:rPr>
            </w:r>
            <w:r>
              <w:rPr>
                <w:webHidden/>
              </w:rPr>
              <w:fldChar w:fldCharType="separate"/>
            </w:r>
            <w:r>
              <w:rPr>
                <w:webHidden/>
              </w:rPr>
              <w:t>5</w:t>
            </w:r>
            <w:r>
              <w:rPr>
                <w:webHidden/>
              </w:rPr>
              <w:fldChar w:fldCharType="end"/>
            </w:r>
          </w:hyperlink>
        </w:p>
        <w:p w14:paraId="32145606" w14:textId="36CBCBA9" w:rsidR="00743EA4" w:rsidRDefault="00743EA4">
          <w:pPr>
            <w:pStyle w:val="TOC2"/>
            <w:rPr>
              <w:rFonts w:asciiTheme="minorHAnsi" w:eastAsiaTheme="minorEastAsia" w:hAnsiTheme="minorHAnsi" w:cstheme="minorBidi"/>
              <w:color w:val="auto"/>
              <w:kern w:val="2"/>
              <w:sz w:val="24"/>
              <w:szCs w:val="24"/>
              <w14:ligatures w14:val="standardContextual"/>
            </w:rPr>
          </w:pPr>
          <w:hyperlink w:anchor="_Toc179536094" w:history="1">
            <w:r w:rsidRPr="00BD36B0">
              <w:rPr>
                <w:rStyle w:val="Hyperlink"/>
              </w:rPr>
              <w:t>Survey Population</w:t>
            </w:r>
            <w:r>
              <w:rPr>
                <w:webHidden/>
              </w:rPr>
              <w:tab/>
            </w:r>
            <w:r>
              <w:rPr>
                <w:webHidden/>
              </w:rPr>
              <w:fldChar w:fldCharType="begin"/>
            </w:r>
            <w:r>
              <w:rPr>
                <w:webHidden/>
              </w:rPr>
              <w:instrText xml:space="preserve"> PAGEREF _Toc179536094 \h </w:instrText>
            </w:r>
            <w:r>
              <w:rPr>
                <w:webHidden/>
              </w:rPr>
            </w:r>
            <w:r>
              <w:rPr>
                <w:webHidden/>
              </w:rPr>
              <w:fldChar w:fldCharType="separate"/>
            </w:r>
            <w:r>
              <w:rPr>
                <w:webHidden/>
              </w:rPr>
              <w:t>5</w:t>
            </w:r>
            <w:r>
              <w:rPr>
                <w:webHidden/>
              </w:rPr>
              <w:fldChar w:fldCharType="end"/>
            </w:r>
          </w:hyperlink>
        </w:p>
        <w:p w14:paraId="5134FB9F" w14:textId="32435E78" w:rsidR="00743EA4" w:rsidRDefault="00743EA4">
          <w:pPr>
            <w:pStyle w:val="TOC2"/>
            <w:rPr>
              <w:rFonts w:asciiTheme="minorHAnsi" w:eastAsiaTheme="minorEastAsia" w:hAnsiTheme="minorHAnsi" w:cstheme="minorBidi"/>
              <w:color w:val="auto"/>
              <w:kern w:val="2"/>
              <w:sz w:val="24"/>
              <w:szCs w:val="24"/>
              <w14:ligatures w14:val="standardContextual"/>
            </w:rPr>
          </w:pPr>
          <w:hyperlink w:anchor="_Toc179536095" w:history="1">
            <w:r w:rsidRPr="00BD36B0">
              <w:rPr>
                <w:rStyle w:val="Hyperlink"/>
              </w:rPr>
              <w:t>Survey Distribution and Follow-Up</w:t>
            </w:r>
            <w:r>
              <w:rPr>
                <w:webHidden/>
              </w:rPr>
              <w:tab/>
            </w:r>
            <w:r>
              <w:rPr>
                <w:webHidden/>
              </w:rPr>
              <w:fldChar w:fldCharType="begin"/>
            </w:r>
            <w:r>
              <w:rPr>
                <w:webHidden/>
              </w:rPr>
              <w:instrText xml:space="preserve"> PAGEREF _Toc179536095 \h </w:instrText>
            </w:r>
            <w:r>
              <w:rPr>
                <w:webHidden/>
              </w:rPr>
            </w:r>
            <w:r>
              <w:rPr>
                <w:webHidden/>
              </w:rPr>
              <w:fldChar w:fldCharType="separate"/>
            </w:r>
            <w:r>
              <w:rPr>
                <w:webHidden/>
              </w:rPr>
              <w:t>6</w:t>
            </w:r>
            <w:r>
              <w:rPr>
                <w:webHidden/>
              </w:rPr>
              <w:fldChar w:fldCharType="end"/>
            </w:r>
          </w:hyperlink>
        </w:p>
        <w:p w14:paraId="78A5DBA0" w14:textId="512A0163" w:rsidR="00743EA4" w:rsidRDefault="00743EA4">
          <w:pPr>
            <w:pStyle w:val="TOC1"/>
            <w:rPr>
              <w:rFonts w:asciiTheme="minorHAnsi" w:eastAsiaTheme="minorEastAsia" w:hAnsiTheme="minorHAnsi" w:cstheme="minorBidi"/>
              <w:color w:val="auto"/>
              <w:kern w:val="2"/>
              <w:sz w:val="24"/>
              <w:szCs w:val="24"/>
              <w14:ligatures w14:val="standardContextual"/>
            </w:rPr>
          </w:pPr>
          <w:hyperlink w:anchor="_Toc179536096" w:history="1">
            <w:r w:rsidRPr="00BD36B0">
              <w:rPr>
                <w:rStyle w:val="Hyperlink"/>
              </w:rPr>
              <w:t>Results and Conclusions</w:t>
            </w:r>
            <w:r>
              <w:rPr>
                <w:webHidden/>
              </w:rPr>
              <w:tab/>
            </w:r>
            <w:r>
              <w:rPr>
                <w:webHidden/>
              </w:rPr>
              <w:fldChar w:fldCharType="begin"/>
            </w:r>
            <w:r>
              <w:rPr>
                <w:webHidden/>
              </w:rPr>
              <w:instrText xml:space="preserve"> PAGEREF _Toc179536096 \h </w:instrText>
            </w:r>
            <w:r>
              <w:rPr>
                <w:webHidden/>
              </w:rPr>
            </w:r>
            <w:r>
              <w:rPr>
                <w:webHidden/>
              </w:rPr>
              <w:fldChar w:fldCharType="separate"/>
            </w:r>
            <w:r>
              <w:rPr>
                <w:webHidden/>
              </w:rPr>
              <w:t>7</w:t>
            </w:r>
            <w:r>
              <w:rPr>
                <w:webHidden/>
              </w:rPr>
              <w:fldChar w:fldCharType="end"/>
            </w:r>
          </w:hyperlink>
        </w:p>
        <w:p w14:paraId="0DE7734D" w14:textId="093D2874" w:rsidR="00743EA4" w:rsidRDefault="00743EA4">
          <w:pPr>
            <w:pStyle w:val="TOC2"/>
            <w:rPr>
              <w:rFonts w:asciiTheme="minorHAnsi" w:eastAsiaTheme="minorEastAsia" w:hAnsiTheme="minorHAnsi" w:cstheme="minorBidi"/>
              <w:color w:val="auto"/>
              <w:kern w:val="2"/>
              <w:sz w:val="24"/>
              <w:szCs w:val="24"/>
              <w14:ligatures w14:val="standardContextual"/>
            </w:rPr>
          </w:pPr>
          <w:hyperlink w:anchor="_Toc179536097" w:history="1">
            <w:r w:rsidRPr="00BD36B0">
              <w:rPr>
                <w:rStyle w:val="Hyperlink"/>
              </w:rPr>
              <w:t>Survey Response Rate and Non-Response Bias</w:t>
            </w:r>
            <w:r>
              <w:rPr>
                <w:webHidden/>
              </w:rPr>
              <w:tab/>
            </w:r>
            <w:r>
              <w:rPr>
                <w:webHidden/>
              </w:rPr>
              <w:fldChar w:fldCharType="begin"/>
            </w:r>
            <w:r>
              <w:rPr>
                <w:webHidden/>
              </w:rPr>
              <w:instrText xml:space="preserve"> PAGEREF _Toc179536097 \h </w:instrText>
            </w:r>
            <w:r>
              <w:rPr>
                <w:webHidden/>
              </w:rPr>
            </w:r>
            <w:r>
              <w:rPr>
                <w:webHidden/>
              </w:rPr>
              <w:fldChar w:fldCharType="separate"/>
            </w:r>
            <w:r>
              <w:rPr>
                <w:webHidden/>
              </w:rPr>
              <w:t>7</w:t>
            </w:r>
            <w:r>
              <w:rPr>
                <w:webHidden/>
              </w:rPr>
              <w:fldChar w:fldCharType="end"/>
            </w:r>
          </w:hyperlink>
        </w:p>
        <w:p w14:paraId="033F134A" w14:textId="772D6603" w:rsidR="00743EA4" w:rsidRDefault="00743EA4">
          <w:pPr>
            <w:pStyle w:val="TOC2"/>
            <w:rPr>
              <w:rFonts w:asciiTheme="minorHAnsi" w:eastAsiaTheme="minorEastAsia" w:hAnsiTheme="minorHAnsi" w:cstheme="minorBidi"/>
              <w:color w:val="auto"/>
              <w:kern w:val="2"/>
              <w:sz w:val="24"/>
              <w:szCs w:val="24"/>
              <w14:ligatures w14:val="standardContextual"/>
            </w:rPr>
          </w:pPr>
          <w:hyperlink w:anchor="_Toc179536098" w:history="1">
            <w:r w:rsidRPr="00BD36B0">
              <w:rPr>
                <w:rStyle w:val="Hyperlink"/>
              </w:rPr>
              <w:t>Costs and Expenses Elements</w:t>
            </w:r>
            <w:r>
              <w:rPr>
                <w:webHidden/>
              </w:rPr>
              <w:tab/>
            </w:r>
            <w:r>
              <w:rPr>
                <w:webHidden/>
              </w:rPr>
              <w:fldChar w:fldCharType="begin"/>
            </w:r>
            <w:r>
              <w:rPr>
                <w:webHidden/>
              </w:rPr>
              <w:instrText xml:space="preserve"> PAGEREF _Toc179536098 \h </w:instrText>
            </w:r>
            <w:r>
              <w:rPr>
                <w:webHidden/>
              </w:rPr>
            </w:r>
            <w:r>
              <w:rPr>
                <w:webHidden/>
              </w:rPr>
              <w:fldChar w:fldCharType="separate"/>
            </w:r>
            <w:r>
              <w:rPr>
                <w:webHidden/>
              </w:rPr>
              <w:t>9</w:t>
            </w:r>
            <w:r>
              <w:rPr>
                <w:webHidden/>
              </w:rPr>
              <w:fldChar w:fldCharType="end"/>
            </w:r>
          </w:hyperlink>
        </w:p>
        <w:p w14:paraId="25D3A7D8" w14:textId="1E47DCEC" w:rsidR="00743EA4" w:rsidRDefault="00743EA4">
          <w:pPr>
            <w:pStyle w:val="TOC2"/>
            <w:rPr>
              <w:rFonts w:asciiTheme="minorHAnsi" w:eastAsiaTheme="minorEastAsia" w:hAnsiTheme="minorHAnsi" w:cstheme="minorBidi"/>
              <w:color w:val="auto"/>
              <w:kern w:val="2"/>
              <w:sz w:val="24"/>
              <w:szCs w:val="24"/>
              <w14:ligatures w14:val="standardContextual"/>
            </w:rPr>
          </w:pPr>
          <w:hyperlink w:anchor="_Toc179536099" w:history="1">
            <w:r w:rsidRPr="00BD36B0">
              <w:rPr>
                <w:rStyle w:val="Hyperlink"/>
              </w:rPr>
              <w:t>Regression Analysis of Pharmacy Characteristics</w:t>
            </w:r>
            <w:r>
              <w:rPr>
                <w:webHidden/>
              </w:rPr>
              <w:tab/>
            </w:r>
            <w:r>
              <w:rPr>
                <w:webHidden/>
              </w:rPr>
              <w:fldChar w:fldCharType="begin"/>
            </w:r>
            <w:r>
              <w:rPr>
                <w:webHidden/>
              </w:rPr>
              <w:instrText xml:space="preserve"> PAGEREF _Toc179536099 \h </w:instrText>
            </w:r>
            <w:r>
              <w:rPr>
                <w:webHidden/>
              </w:rPr>
            </w:r>
            <w:r>
              <w:rPr>
                <w:webHidden/>
              </w:rPr>
              <w:fldChar w:fldCharType="separate"/>
            </w:r>
            <w:r>
              <w:rPr>
                <w:webHidden/>
              </w:rPr>
              <w:t>14</w:t>
            </w:r>
            <w:r>
              <w:rPr>
                <w:webHidden/>
              </w:rPr>
              <w:fldChar w:fldCharType="end"/>
            </w:r>
          </w:hyperlink>
        </w:p>
        <w:p w14:paraId="43DAD885" w14:textId="62B2905E" w:rsidR="00743EA4" w:rsidRDefault="00743EA4">
          <w:pPr>
            <w:pStyle w:val="TOC2"/>
            <w:rPr>
              <w:rFonts w:asciiTheme="minorHAnsi" w:eastAsiaTheme="minorEastAsia" w:hAnsiTheme="minorHAnsi" w:cstheme="minorBidi"/>
              <w:color w:val="auto"/>
              <w:kern w:val="2"/>
              <w:sz w:val="24"/>
              <w:szCs w:val="24"/>
              <w14:ligatures w14:val="standardContextual"/>
            </w:rPr>
          </w:pPr>
          <w:hyperlink w:anchor="_Toc179536100" w:history="1">
            <w:r w:rsidRPr="00BD36B0">
              <w:rPr>
                <w:rStyle w:val="Hyperlink"/>
              </w:rPr>
              <w:t>Specialty Pharmacy Analysis</w:t>
            </w:r>
            <w:r>
              <w:rPr>
                <w:webHidden/>
              </w:rPr>
              <w:tab/>
            </w:r>
            <w:r>
              <w:rPr>
                <w:webHidden/>
              </w:rPr>
              <w:fldChar w:fldCharType="begin"/>
            </w:r>
            <w:r>
              <w:rPr>
                <w:webHidden/>
              </w:rPr>
              <w:instrText xml:space="preserve"> PAGEREF _Toc179536100 \h </w:instrText>
            </w:r>
            <w:r>
              <w:rPr>
                <w:webHidden/>
              </w:rPr>
            </w:r>
            <w:r>
              <w:rPr>
                <w:webHidden/>
              </w:rPr>
              <w:fldChar w:fldCharType="separate"/>
            </w:r>
            <w:r>
              <w:rPr>
                <w:webHidden/>
              </w:rPr>
              <w:t>17</w:t>
            </w:r>
            <w:r>
              <w:rPr>
                <w:webHidden/>
              </w:rPr>
              <w:fldChar w:fldCharType="end"/>
            </w:r>
          </w:hyperlink>
        </w:p>
        <w:p w14:paraId="3DB148FF" w14:textId="278A2505" w:rsidR="00743EA4" w:rsidRDefault="00743EA4">
          <w:pPr>
            <w:pStyle w:val="TOC9"/>
            <w:rPr>
              <w:rFonts w:asciiTheme="minorHAnsi" w:eastAsiaTheme="minorEastAsia" w:hAnsiTheme="minorHAnsi" w:cstheme="minorBidi"/>
              <w:color w:val="auto"/>
              <w:kern w:val="2"/>
              <w:sz w:val="24"/>
              <w:szCs w:val="24"/>
              <w14:ligatures w14:val="standardContextual"/>
            </w:rPr>
          </w:pPr>
          <w:hyperlink w:anchor="_Toc179536101" w:history="1">
            <w:r w:rsidRPr="00BD36B0">
              <w:rPr>
                <w:rStyle w:val="Hyperlink"/>
              </w:rPr>
              <w:t>Pharmacy Characteristics and Average Cost of Dispensing Prescription</w:t>
            </w:r>
            <w:r>
              <w:rPr>
                <w:webHidden/>
              </w:rPr>
              <w:tab/>
            </w:r>
            <w:r>
              <w:rPr>
                <w:webHidden/>
              </w:rPr>
              <w:fldChar w:fldCharType="begin"/>
            </w:r>
            <w:r>
              <w:rPr>
                <w:webHidden/>
              </w:rPr>
              <w:instrText xml:space="preserve"> PAGEREF _Toc179536101 \h </w:instrText>
            </w:r>
            <w:r>
              <w:rPr>
                <w:webHidden/>
              </w:rPr>
            </w:r>
            <w:r>
              <w:rPr>
                <w:webHidden/>
              </w:rPr>
              <w:fldChar w:fldCharType="separate"/>
            </w:r>
            <w:r>
              <w:rPr>
                <w:webHidden/>
              </w:rPr>
              <w:t>21</w:t>
            </w:r>
            <w:r>
              <w:rPr>
                <w:webHidden/>
              </w:rPr>
              <w:fldChar w:fldCharType="end"/>
            </w:r>
          </w:hyperlink>
        </w:p>
        <w:p w14:paraId="554A40F1" w14:textId="2A2C5CBF" w:rsidR="00743EA4" w:rsidRDefault="00743EA4">
          <w:pPr>
            <w:pStyle w:val="TOC9"/>
            <w:rPr>
              <w:rFonts w:asciiTheme="minorHAnsi" w:eastAsiaTheme="minorEastAsia" w:hAnsiTheme="minorHAnsi" w:cstheme="minorBidi"/>
              <w:color w:val="auto"/>
              <w:kern w:val="2"/>
              <w:sz w:val="24"/>
              <w:szCs w:val="24"/>
              <w14:ligatures w14:val="standardContextual"/>
            </w:rPr>
          </w:pPr>
          <w:hyperlink w:anchor="_Toc179536102" w:history="1">
            <w:r w:rsidRPr="00BD36B0">
              <w:rPr>
                <w:rStyle w:val="Hyperlink"/>
              </w:rPr>
              <w:t>Cost of Dispensing Survey</w:t>
            </w:r>
            <w:r>
              <w:rPr>
                <w:webHidden/>
              </w:rPr>
              <w:tab/>
            </w:r>
            <w:r>
              <w:rPr>
                <w:webHidden/>
              </w:rPr>
              <w:fldChar w:fldCharType="begin"/>
            </w:r>
            <w:r>
              <w:rPr>
                <w:webHidden/>
              </w:rPr>
              <w:instrText xml:space="preserve"> PAGEREF _Toc179536102 \h </w:instrText>
            </w:r>
            <w:r>
              <w:rPr>
                <w:webHidden/>
              </w:rPr>
            </w:r>
            <w:r>
              <w:rPr>
                <w:webHidden/>
              </w:rPr>
              <w:fldChar w:fldCharType="separate"/>
            </w:r>
            <w:r>
              <w:rPr>
                <w:webHidden/>
              </w:rPr>
              <w:t>22</w:t>
            </w:r>
            <w:r>
              <w:rPr>
                <w:webHidden/>
              </w:rPr>
              <w:fldChar w:fldCharType="end"/>
            </w:r>
          </w:hyperlink>
        </w:p>
        <w:p w14:paraId="22647F72" w14:textId="1CAA4361" w:rsidR="004E0A92" w:rsidRDefault="00FB493A" w:rsidP="00ED3C22">
          <w:r>
            <w:fldChar w:fldCharType="end"/>
          </w:r>
        </w:p>
      </w:sdtContent>
    </w:sdt>
    <w:p w14:paraId="0479EAD8" w14:textId="77777777" w:rsidR="006D5A65" w:rsidRDefault="006D5A65" w:rsidP="00ED3C22"/>
    <w:p w14:paraId="54331D4F" w14:textId="77777777" w:rsidR="00217284" w:rsidRDefault="00217284" w:rsidP="00ED3C22"/>
    <w:sdt>
      <w:sdtPr>
        <w:tag w:val="ProtectedSection"/>
        <w:id w:val="304132704"/>
        <w:lock w:val="sdtContentLocked"/>
        <w:placeholder>
          <w:docPart w:val="D4D98BDEA0F74421BFA867A9EF851100"/>
        </w:placeholder>
        <w15:appearance w15:val="hidden"/>
      </w:sdtPr>
      <w:sdtEndPr/>
      <w:sdtContent>
        <w:p w14:paraId="47F84C6C" w14:textId="77777777" w:rsidR="00D6661C" w:rsidRPr="00217284" w:rsidRDefault="00217284" w:rsidP="00D6661C">
          <w:pPr>
            <w:pStyle w:val="SectionWrapper"/>
            <w:sectPr w:rsidR="00D6661C" w:rsidRPr="00217284" w:rsidSect="00D43CA9">
              <w:headerReference w:type="even" r:id="rId10"/>
              <w:headerReference w:type="default" r:id="rId11"/>
              <w:footerReference w:type="default" r:id="rId12"/>
              <w:headerReference w:type="first" r:id="rId13"/>
              <w:pgSz w:w="12240" w:h="15840" w:code="9"/>
              <w:pgMar w:top="1985" w:right="1751" w:bottom="702" w:left="1418" w:header="766" w:footer="567" w:gutter="0"/>
              <w:pgNumType w:fmt="lowerRoman" w:start="1"/>
              <w:cols w:space="708"/>
              <w:docGrid w:linePitch="360"/>
            </w:sectPr>
          </w:pPr>
          <w:r w:rsidRPr="00217284">
            <w:t xml:space="preserve"> </w:t>
          </w:r>
        </w:p>
      </w:sdtContent>
    </w:sdt>
    <w:p w14:paraId="1B989438" w14:textId="77777777" w:rsidR="00714470" w:rsidRPr="00506929" w:rsidRDefault="00714470" w:rsidP="00506929">
      <w:pPr>
        <w:pStyle w:val="SectionStart"/>
      </w:pPr>
    </w:p>
    <w:p w14:paraId="477AD8AC" w14:textId="46B0E82F" w:rsidR="00BC34C6" w:rsidRPr="00506929" w:rsidRDefault="00FB493A" w:rsidP="00FB493A">
      <w:pPr>
        <w:pStyle w:val="Heading1"/>
        <w:numPr>
          <w:ilvl w:val="0"/>
          <w:numId w:val="0"/>
        </w:numPr>
      </w:pPr>
      <w:bookmarkStart w:id="9" w:name="_Toc179536088"/>
      <w:r>
        <w:t>Executive Summary</w:t>
      </w:r>
      <w:bookmarkEnd w:id="9"/>
    </w:p>
    <w:p w14:paraId="45050896" w14:textId="3DA3CB7F" w:rsidR="00FB493A" w:rsidRDefault="00FB493A" w:rsidP="00A57F35">
      <w:bookmarkStart w:id="10" w:name="Start"/>
      <w:bookmarkEnd w:id="10"/>
      <w:r>
        <w:t xml:space="preserve">The </w:t>
      </w:r>
      <w:r w:rsidR="000F335C">
        <w:t>Commonwealth</w:t>
      </w:r>
      <w:r w:rsidR="00142BDD">
        <w:t xml:space="preserve"> of Massachusetts</w:t>
      </w:r>
      <w:r w:rsidR="00221151">
        <w:t xml:space="preserve"> (Commonwealth</w:t>
      </w:r>
      <w:r w:rsidR="001D0B4E">
        <w:t xml:space="preserve">) </w:t>
      </w:r>
      <w:r w:rsidRPr="00B07673">
        <w:t>engaged Mercer Government Human Services Consulting (Mercer), part of Mercer Health</w:t>
      </w:r>
      <w:r w:rsidR="00A57F35">
        <w:t> </w:t>
      </w:r>
      <w:r w:rsidRPr="00B07673">
        <w:t>&amp;</w:t>
      </w:r>
      <w:r w:rsidR="00A57F35">
        <w:t> </w:t>
      </w:r>
      <w:r w:rsidRPr="00B07673">
        <w:t>Benefits LLC, to develop and conduct a Pharmacy Cost of Dispensing</w:t>
      </w:r>
      <w:r w:rsidR="00653DAE">
        <w:t xml:space="preserve"> (COD)</w:t>
      </w:r>
      <w:r w:rsidRPr="00B07673">
        <w:t xml:space="preserve"> Survey to study the cost to pharmacies of dispensing prescriptions to</w:t>
      </w:r>
      <w:r>
        <w:t xml:space="preserve"> </w:t>
      </w:r>
      <w:r w:rsidR="00C572FD">
        <w:t>MassHealth</w:t>
      </w:r>
      <w:r w:rsidR="00142BDD">
        <w:t xml:space="preserve"> </w:t>
      </w:r>
      <w:r>
        <w:t xml:space="preserve">recipients. </w:t>
      </w:r>
      <w:r w:rsidR="001D0B4E">
        <w:t xml:space="preserve">MassHealth </w:t>
      </w:r>
      <w:r>
        <w:t>previously c</w:t>
      </w:r>
      <w:r w:rsidRPr="00B07673">
        <w:t xml:space="preserve">onducted a Pharmacy </w:t>
      </w:r>
      <w:r w:rsidR="00653DAE">
        <w:t>COD</w:t>
      </w:r>
      <w:r w:rsidRPr="00B07673">
        <w:t xml:space="preserve"> Survey of all pharmacy providers participating in </w:t>
      </w:r>
      <w:r w:rsidR="00142BDD">
        <w:t>Mass</w:t>
      </w:r>
      <w:r w:rsidR="00C572FD">
        <w:t>Health</w:t>
      </w:r>
      <w:r w:rsidR="009C437A">
        <w:t xml:space="preserve">, resulting in a report released </w:t>
      </w:r>
      <w:r w:rsidRPr="00B07673">
        <w:t xml:space="preserve">in </w:t>
      </w:r>
      <w:r>
        <w:t>201</w:t>
      </w:r>
      <w:r w:rsidR="00142BDD">
        <w:t>7</w:t>
      </w:r>
      <w:r>
        <w:t xml:space="preserve">. The 2023 survey provides </w:t>
      </w:r>
      <w:r w:rsidR="00142BDD">
        <w:t>Mass</w:t>
      </w:r>
      <w:r w:rsidR="00C572FD">
        <w:t>Health</w:t>
      </w:r>
      <w:r w:rsidR="00142BDD">
        <w:t xml:space="preserve"> </w:t>
      </w:r>
      <w:r>
        <w:t xml:space="preserve">with updated pharmacy cost information to inform future reimbursement policy decisions, and to ensure </w:t>
      </w:r>
      <w:r w:rsidR="00142BDD">
        <w:t>Mass</w:t>
      </w:r>
      <w:r w:rsidR="00C572FD">
        <w:t>Health</w:t>
      </w:r>
      <w:r w:rsidR="00142BDD">
        <w:t xml:space="preserve"> </w:t>
      </w:r>
      <w:r>
        <w:t>payment policy for the fee</w:t>
      </w:r>
      <w:r>
        <w:noBreakHyphen/>
        <w:t>for</w:t>
      </w:r>
      <w:r>
        <w:noBreakHyphen/>
        <w:t>service (FFS) population remains compliant with the Centers for Medicare</w:t>
      </w:r>
      <w:r w:rsidR="00A57F35">
        <w:t> </w:t>
      </w:r>
      <w:r>
        <w:t>&amp;</w:t>
      </w:r>
      <w:r w:rsidR="00A57F35">
        <w:t> </w:t>
      </w:r>
      <w:r>
        <w:t>Medicaid Services (CMS) Federal Covered Outpatient Drugs final rule (CMS</w:t>
      </w:r>
      <w:r>
        <w:noBreakHyphen/>
        <w:t>2345</w:t>
      </w:r>
      <w:r>
        <w:noBreakHyphen/>
        <w:t>FC). In the final rule, effective April</w:t>
      </w:r>
      <w:r w:rsidR="00A57F35">
        <w:t> </w:t>
      </w:r>
      <w:r>
        <w:t>1,</w:t>
      </w:r>
      <w:r w:rsidR="00A57F35">
        <w:t> </w:t>
      </w:r>
      <w:r>
        <w:t>2017 (42</w:t>
      </w:r>
      <w:r w:rsidR="00A57F35">
        <w:t> </w:t>
      </w:r>
      <w:r>
        <w:t>CFR</w:t>
      </w:r>
      <w:r w:rsidR="00A57F35">
        <w:t> </w:t>
      </w:r>
      <w:r>
        <w:t>447), CMS requires FFS Medicaid pharmacy programs to adopt Actual Acquisition Cost (AAC)</w:t>
      </w:r>
      <w:r w:rsidR="00EC199B">
        <w:noBreakHyphen/>
      </w:r>
      <w:r>
        <w:t xml:space="preserve">based ingredient cost reimbursement, which is more reflective of pharmacies’ actual purchase prices paid, plus a professional dispensing fee (PDF). </w:t>
      </w:r>
    </w:p>
    <w:p w14:paraId="6D272CBE" w14:textId="77777777" w:rsidR="00FB493A" w:rsidRPr="000F69D7" w:rsidRDefault="00FB493A" w:rsidP="00A57F35">
      <w:pPr>
        <w:pStyle w:val="Heading2"/>
      </w:pPr>
      <w:bookmarkStart w:id="11" w:name="_Toc469586731"/>
      <w:bookmarkStart w:id="12" w:name="_Toc478135465"/>
      <w:bookmarkStart w:id="13" w:name="_Toc22640774"/>
      <w:bookmarkStart w:id="14" w:name="_Toc179536089"/>
      <w:r w:rsidRPr="000F69D7">
        <w:t>Cost of Dispensing Survey</w:t>
      </w:r>
      <w:bookmarkEnd w:id="11"/>
      <w:bookmarkEnd w:id="12"/>
      <w:bookmarkEnd w:id="13"/>
      <w:bookmarkEnd w:id="14"/>
    </w:p>
    <w:p w14:paraId="12EC7574" w14:textId="01410681" w:rsidR="00FB493A" w:rsidRPr="00CD39E4" w:rsidRDefault="00FB493A" w:rsidP="00A57F35">
      <w:r w:rsidRPr="00CD39E4">
        <w:t xml:space="preserve">Mercer </w:t>
      </w:r>
      <w:r w:rsidRPr="00AF1BDD">
        <w:t xml:space="preserve">surveyed </w:t>
      </w:r>
      <w:r w:rsidR="00C572FD">
        <w:t>1</w:t>
      </w:r>
      <w:r w:rsidR="000F335C">
        <w:t>,</w:t>
      </w:r>
      <w:r w:rsidR="00142BDD">
        <w:t>187</w:t>
      </w:r>
      <w:r w:rsidRPr="00AF1BDD">
        <w:t xml:space="preserve"> outpatient</w:t>
      </w:r>
      <w:r>
        <w:t xml:space="preserve"> pharmacy providers enrolled with </w:t>
      </w:r>
      <w:r w:rsidR="00142BDD">
        <w:t>Mass</w:t>
      </w:r>
      <w:r w:rsidR="00C572FD">
        <w:t>Health</w:t>
      </w:r>
      <w:r w:rsidR="00142BDD">
        <w:t xml:space="preserve"> </w:t>
      </w:r>
      <w:r>
        <w:t>using the survey shown in Appendix</w:t>
      </w:r>
      <w:r w:rsidR="00A57F35">
        <w:t> </w:t>
      </w:r>
      <w:r w:rsidRPr="00007CE9">
        <w:t>B</w:t>
      </w:r>
      <w:r w:rsidRPr="00CD39E4">
        <w:t xml:space="preserve">. </w:t>
      </w:r>
      <w:r w:rsidRPr="00AF1BDD">
        <w:t xml:space="preserve">Mercer analyzed the response data and performed a statistical analysis of the costs associated with professional dispensing of prescriptions, defined by </w:t>
      </w:r>
      <w:r w:rsidR="00651C5C" w:rsidRPr="00AF1BDD">
        <w:t>42</w:t>
      </w:r>
      <w:r w:rsidR="00651C5C">
        <w:t> </w:t>
      </w:r>
      <w:r w:rsidRPr="00AF1BDD">
        <w:t>CFR</w:t>
      </w:r>
      <w:r w:rsidR="00A57F35">
        <w:t> </w:t>
      </w:r>
      <w:r w:rsidRPr="00AF1BDD">
        <w:t>447.502, which states, “Professional dispensing fee means the fee which:</w:t>
      </w:r>
    </w:p>
    <w:p w14:paraId="1462A382" w14:textId="77777777" w:rsidR="00FB493A" w:rsidRPr="00642294" w:rsidRDefault="00FB493A" w:rsidP="00A57F35">
      <w:pPr>
        <w:pStyle w:val="ListBullet"/>
      </w:pPr>
      <w:r w:rsidRPr="00EE2183">
        <w:t xml:space="preserve">Is incurred at the point of sale or service and pays for costs </w:t>
      </w:r>
      <w:proofErr w:type="gramStart"/>
      <w:r w:rsidRPr="00EE2183">
        <w:t>in excess of</w:t>
      </w:r>
      <w:proofErr w:type="gramEnd"/>
      <w:r w:rsidRPr="00EE2183">
        <w:t xml:space="preserve"> the ingredient cost of a covered outpatient drug each time a covered outpatient drug is dispensed.</w:t>
      </w:r>
    </w:p>
    <w:p w14:paraId="272766D4" w14:textId="77777777" w:rsidR="00FB493A" w:rsidRPr="00642294" w:rsidRDefault="00FB493A" w:rsidP="00A57F35">
      <w:pPr>
        <w:pStyle w:val="ListBullet"/>
      </w:pPr>
      <w:r w:rsidRPr="00642294">
        <w:t>Includes only pharmacy costs associated with ensuring that possession of the appropriate covered outpatient drug is transferred to a Medicaid beneficiary. Pharmacy costs include, but are not limited to, reasonable costs associated with a pharmacist’s time in checking the computer for information about an individual’s coverage, performing drug utilization review and preferred drug list review activities, measurement or mixing of the covered outpatient drug, filling the container, beneficiary counseling, physically providing the completed prescription to the Medicaid beneficiary, delivery, special packaging, and overhead associated with maintaining the facility and equipment necessary to operate the pharmacy.”</w:t>
      </w:r>
    </w:p>
    <w:p w14:paraId="2DA09A20" w14:textId="1AFF6999" w:rsidR="00FB493A" w:rsidRDefault="00FB493A" w:rsidP="00A57F35">
      <w:r>
        <w:t>To group similar pharmacy operations, Mercer classified the survey responses by pharmacy type</w:t>
      </w:r>
      <w:r w:rsidR="00B43C8E">
        <w:t xml:space="preserve"> based on survey responses</w:t>
      </w:r>
      <w:r>
        <w:t>:</w:t>
      </w:r>
    </w:p>
    <w:p w14:paraId="534238B3" w14:textId="0B7EB416" w:rsidR="00425BB9" w:rsidRDefault="00425BB9" w:rsidP="00A57F35">
      <w:pPr>
        <w:pStyle w:val="ListBullet"/>
      </w:pPr>
      <w:r w:rsidRPr="00425BB9">
        <w:rPr>
          <w:b/>
          <w:bCs/>
        </w:rPr>
        <w:t>340B Covered Entity</w:t>
      </w:r>
      <w:r w:rsidRPr="00425BB9">
        <w:t xml:space="preserve"> —</w:t>
      </w:r>
      <w:r w:rsidRPr="00944FAF">
        <w:t xml:space="preserve"> A provider </w:t>
      </w:r>
      <w:r>
        <w:t xml:space="preserve">participating in the 340B discount program as a covered entity. Contracted pharmacies participating </w:t>
      </w:r>
      <w:r w:rsidR="00221151">
        <w:t>are not included in this pharmacy type for the COD survey</w:t>
      </w:r>
      <w:r>
        <w:t>.</w:t>
      </w:r>
    </w:p>
    <w:p w14:paraId="2E861128" w14:textId="7F01B469" w:rsidR="00425BB9" w:rsidRDefault="00425BB9" w:rsidP="00A57F35">
      <w:pPr>
        <w:pStyle w:val="ListBullet"/>
      </w:pPr>
      <w:r w:rsidRPr="00425BB9">
        <w:rPr>
          <w:b/>
          <w:bCs/>
        </w:rPr>
        <w:t>Long-Term Care (LTC) Pharmacy</w:t>
      </w:r>
      <w:r w:rsidRPr="00425BB9">
        <w:t xml:space="preserve"> — </w:t>
      </w:r>
      <w:r w:rsidRPr="00944FAF">
        <w:t xml:space="preserve">A provider that dispenses medicinal preparations delivered to </w:t>
      </w:r>
      <w:r>
        <w:t>Medicaid beneficiaries</w:t>
      </w:r>
      <w:r w:rsidRPr="00944FAF">
        <w:t xml:space="preserve"> residing in an </w:t>
      </w:r>
      <w:r>
        <w:t>i</w:t>
      </w:r>
      <w:r w:rsidRPr="00944FAF">
        <w:t xml:space="preserve">ntermediate or </w:t>
      </w:r>
      <w:r>
        <w:t>s</w:t>
      </w:r>
      <w:r w:rsidRPr="00944FAF">
        <w:t xml:space="preserve">killed </w:t>
      </w:r>
      <w:r>
        <w:t>n</w:t>
      </w:r>
      <w:r w:rsidRPr="00944FAF">
        <w:t xml:space="preserve">ursing </w:t>
      </w:r>
      <w:r>
        <w:t>f</w:t>
      </w:r>
      <w:r w:rsidRPr="00944FAF">
        <w:t xml:space="preserve">acility, </w:t>
      </w:r>
      <w:r w:rsidRPr="00944FAF">
        <w:lastRenderedPageBreak/>
        <w:t xml:space="preserve">including </w:t>
      </w:r>
      <w:r>
        <w:t>f</w:t>
      </w:r>
      <w:r w:rsidRPr="00944FAF">
        <w:t xml:space="preserve">acilities for the </w:t>
      </w:r>
      <w:r>
        <w:t>d</w:t>
      </w:r>
      <w:r w:rsidRPr="00944FAF">
        <w:t xml:space="preserve">evelopmentally </w:t>
      </w:r>
      <w:r>
        <w:t>d</w:t>
      </w:r>
      <w:r w:rsidRPr="00944FAF">
        <w:t xml:space="preserve">isabled, </w:t>
      </w:r>
      <w:r>
        <w:t>h</w:t>
      </w:r>
      <w:r w:rsidRPr="00944FAF">
        <w:t xml:space="preserve">ospices, </w:t>
      </w:r>
      <w:r>
        <w:t>a</w:t>
      </w:r>
      <w:r w:rsidRPr="00944FAF">
        <w:t xml:space="preserve">ssisted </w:t>
      </w:r>
      <w:r>
        <w:t>l</w:t>
      </w:r>
      <w:r w:rsidRPr="00944FAF">
        <w:t xml:space="preserve">iving </w:t>
      </w:r>
      <w:r>
        <w:t>f</w:t>
      </w:r>
      <w:r w:rsidRPr="00944FAF">
        <w:t xml:space="preserve">acilities, </w:t>
      </w:r>
      <w:r>
        <w:t>g</w:t>
      </w:r>
      <w:r w:rsidRPr="00944FAF">
        <w:t xml:space="preserve">roup </w:t>
      </w:r>
      <w:r>
        <w:t>h</w:t>
      </w:r>
      <w:r w:rsidRPr="00944FAF">
        <w:t>omes</w:t>
      </w:r>
      <w:r w:rsidR="006F5B95">
        <w:t>,</w:t>
      </w:r>
      <w:r w:rsidRPr="00944FAF">
        <w:t xml:space="preserve"> and other forms of congregate living arrangement.</w:t>
      </w:r>
    </w:p>
    <w:p w14:paraId="684CF51C" w14:textId="51229928" w:rsidR="00425BB9" w:rsidRDefault="00425BB9" w:rsidP="00A57F35">
      <w:pPr>
        <w:pStyle w:val="ListBullet"/>
      </w:pPr>
      <w:r w:rsidRPr="00425BB9">
        <w:rPr>
          <w:b/>
          <w:bCs/>
        </w:rPr>
        <w:t>Specialty Pharmacy</w:t>
      </w:r>
      <w:r w:rsidRPr="00425BB9">
        <w:t xml:space="preserve"> — </w:t>
      </w:r>
      <w:r>
        <w:t xml:space="preserve">Specialty pharmacies </w:t>
      </w:r>
      <w:r w:rsidRPr="00944FAF">
        <w:t xml:space="preserve">generally </w:t>
      </w:r>
      <w:r>
        <w:t xml:space="preserve">have </w:t>
      </w:r>
      <w:r w:rsidRPr="00944FAF">
        <w:t>low</w:t>
      </w:r>
      <w:r w:rsidR="00EC199B">
        <w:noBreakHyphen/>
      </w:r>
      <w:r w:rsidRPr="00944FAF">
        <w:t>volume and high</w:t>
      </w:r>
      <w:r w:rsidR="00EC199B">
        <w:noBreakHyphen/>
      </w:r>
      <w:r w:rsidRPr="00944FAF">
        <w:t xml:space="preserve">cost medicinal preparations </w:t>
      </w:r>
      <w:r>
        <w:t>for</w:t>
      </w:r>
      <w:r w:rsidRPr="00944FAF">
        <w:t xml:space="preserve"> </w:t>
      </w:r>
      <w:r>
        <w:t>Medicaid beneficiaries</w:t>
      </w:r>
      <w:r w:rsidRPr="00944FAF">
        <w:t xml:space="preserve"> who are undergoing intensive therapies for illnesses that are generally chronic, complex</w:t>
      </w:r>
      <w:r w:rsidR="006F5B95">
        <w:t>,</w:t>
      </w:r>
      <w:r w:rsidRPr="00944FAF">
        <w:t xml:space="preserve"> and potentially life threatening. </w:t>
      </w:r>
    </w:p>
    <w:p w14:paraId="6B641B3F" w14:textId="4FC299DB" w:rsidR="00425BB9" w:rsidRPr="00425BB9" w:rsidRDefault="00425BB9" w:rsidP="00A57F35">
      <w:pPr>
        <w:pStyle w:val="ListBullet"/>
      </w:pPr>
      <w:r w:rsidRPr="00425BB9">
        <w:rPr>
          <w:b/>
          <w:bCs/>
        </w:rPr>
        <w:t>Independent Pharmacy</w:t>
      </w:r>
      <w:r w:rsidRPr="00425BB9">
        <w:t xml:space="preserve"> — </w:t>
      </w:r>
      <w:r w:rsidRPr="004E6E15">
        <w:t xml:space="preserve">A provider whose ownership group(s) owns fewer </w:t>
      </w:r>
      <w:r w:rsidR="009C437A" w:rsidRPr="004E6E15">
        <w:t xml:space="preserve">than four </w:t>
      </w:r>
      <w:r w:rsidRPr="004E6E15">
        <w:t>locations</w:t>
      </w:r>
      <w:r w:rsidRPr="00FF5C2C">
        <w:t xml:space="preserve"> in which pharmacists store, prepare</w:t>
      </w:r>
      <w:r w:rsidR="00653DAE">
        <w:t>,</w:t>
      </w:r>
      <w:r w:rsidRPr="00FF5C2C">
        <w:t xml:space="preserve"> and dispense medicinal preparations and/or prescriptions for a local Medicaid beneficiary population in accordance with federal and state law; counsel Medicaid beneficiaries and caregivers (sometimes independent of the dispensing process); and provide other professional services associated with pharmaceutical care, such as health screenings, consultative services with other healthcare providers, collaborative practice, disease state management</w:t>
      </w:r>
      <w:r w:rsidR="00653DAE">
        <w:t>,</w:t>
      </w:r>
      <w:r w:rsidRPr="00FF5C2C">
        <w:t xml:space="preserve"> and education classes.</w:t>
      </w:r>
    </w:p>
    <w:p w14:paraId="7A762530" w14:textId="779554C6" w:rsidR="00425BB9" w:rsidRPr="00425BB9" w:rsidRDefault="00425BB9" w:rsidP="00A57F35">
      <w:pPr>
        <w:pStyle w:val="ListBullet"/>
        <w:rPr>
          <w:b/>
        </w:rPr>
      </w:pPr>
      <w:r w:rsidRPr="00425BB9">
        <w:rPr>
          <w:b/>
          <w:bCs/>
        </w:rPr>
        <w:t>Chain</w:t>
      </w:r>
      <w:r w:rsidRPr="00425BB9">
        <w:t xml:space="preserve"> — </w:t>
      </w:r>
      <w:r w:rsidRPr="004E6E15">
        <w:t xml:space="preserve">A provider whose ownership group(s) owns </w:t>
      </w:r>
      <w:r w:rsidR="009C437A" w:rsidRPr="004E6E15">
        <w:t xml:space="preserve">four </w:t>
      </w:r>
      <w:r w:rsidRPr="004E6E15">
        <w:t>or more locations</w:t>
      </w:r>
      <w:r w:rsidRPr="00125C78">
        <w:t xml:space="preserve"> in which pharmacists store, prepare and dispense medicinal preparations and/or prescriptions for a local Medicaid beneficiary population in accordance with federal and state law; counsel Medicaid beneficiaries and caregivers (sometimes independent of the dispensing process); and provide other professional services associated with pharmaceutical care, such as health screenings, consultative services with other healthcare providers, collaborative practice, disease state management</w:t>
      </w:r>
      <w:r w:rsidR="00653DAE">
        <w:t>,</w:t>
      </w:r>
      <w:r w:rsidRPr="00125C78">
        <w:t xml:space="preserve"> and education classes.</w:t>
      </w:r>
    </w:p>
    <w:p w14:paraId="6BB26810" w14:textId="36E2378D" w:rsidR="00425BB9" w:rsidRPr="00FF5987" w:rsidRDefault="00425BB9" w:rsidP="00A57F35">
      <w:pPr>
        <w:pStyle w:val="ListBullet"/>
        <w:rPr>
          <w:b/>
        </w:rPr>
      </w:pPr>
      <w:r>
        <w:rPr>
          <w:b/>
          <w:bCs/>
        </w:rPr>
        <w:t>Community Health Center</w:t>
      </w:r>
      <w:r w:rsidR="00D9251A">
        <w:rPr>
          <w:b/>
          <w:bCs/>
        </w:rPr>
        <w:t xml:space="preserve"> (CHC)</w:t>
      </w:r>
      <w:r>
        <w:rPr>
          <w:b/>
          <w:bCs/>
        </w:rPr>
        <w:t xml:space="preserve"> </w:t>
      </w:r>
      <w:r w:rsidR="006F5B95">
        <w:rPr>
          <w:b/>
          <w:bCs/>
        </w:rPr>
        <w:t>—</w:t>
      </w:r>
      <w:r>
        <w:t xml:space="preserve"> </w:t>
      </w:r>
      <w:r w:rsidR="00FF4345">
        <w:t>CHCs</w:t>
      </w:r>
      <w:r w:rsidRPr="00476172">
        <w:t xml:space="preserve"> provide primary, preventive</w:t>
      </w:r>
      <w:r w:rsidR="00F956BD">
        <w:t>,</w:t>
      </w:r>
      <w:r w:rsidRPr="00476172">
        <w:t xml:space="preserve"> and dental care, as well as mental health, substance use disorder</w:t>
      </w:r>
      <w:r w:rsidR="00653DAE">
        <w:t>,</w:t>
      </w:r>
      <w:r w:rsidRPr="00476172">
        <w:t xml:space="preserve"> and other community</w:t>
      </w:r>
      <w:r w:rsidR="00EC199B">
        <w:noBreakHyphen/>
      </w:r>
      <w:r w:rsidRPr="00476172">
        <w:t>based services to anyone in need</w:t>
      </w:r>
      <w:r w:rsidR="00653DAE">
        <w:t>,</w:t>
      </w:r>
      <w:r w:rsidRPr="00476172">
        <w:t xml:space="preserve"> regardless of their insurance status or ability to pay.</w:t>
      </w:r>
    </w:p>
    <w:p w14:paraId="4C793305" w14:textId="5D40AA93" w:rsidR="00FB493A" w:rsidRPr="000F69D7" w:rsidRDefault="00FB493A" w:rsidP="00A57F35">
      <w:pPr>
        <w:pStyle w:val="Heading3"/>
        <w:rPr>
          <w:caps/>
        </w:rPr>
      </w:pPr>
      <w:bookmarkStart w:id="15" w:name="_Toc55547334"/>
      <w:bookmarkStart w:id="16" w:name="_Toc141257726"/>
      <w:r w:rsidRPr="000F69D7">
        <w:t>Results</w:t>
      </w:r>
      <w:bookmarkEnd w:id="15"/>
      <w:bookmarkEnd w:id="16"/>
      <w:r w:rsidR="00FE29BE" w:rsidRPr="000F69D7">
        <w:t xml:space="preserve"> and Recommendations</w:t>
      </w:r>
    </w:p>
    <w:p w14:paraId="52A1E513" w14:textId="05489420" w:rsidR="003170A9" w:rsidRPr="00A660E6" w:rsidRDefault="00FB493A" w:rsidP="00A57F35">
      <w:r w:rsidRPr="00A660E6">
        <w:t>Statistical analysis revealed significant differences in</w:t>
      </w:r>
      <w:r w:rsidR="00F956BD" w:rsidRPr="00A660E6">
        <w:t xml:space="preserve"> the</w:t>
      </w:r>
      <w:r w:rsidRPr="00A660E6">
        <w:t xml:space="preserve"> average cost of dispensing between </w:t>
      </w:r>
      <w:r w:rsidR="000F335C" w:rsidRPr="00A660E6">
        <w:t>Chain</w:t>
      </w:r>
      <w:r w:rsidR="00166BFC" w:rsidRPr="00A660E6">
        <w:t xml:space="preserve">, </w:t>
      </w:r>
      <w:r w:rsidR="000F335C" w:rsidRPr="00A660E6">
        <w:t>Independent</w:t>
      </w:r>
      <w:r w:rsidR="00166BFC" w:rsidRPr="00A660E6">
        <w:t>, and Specialty pharmacy types</w:t>
      </w:r>
      <w:r w:rsidRPr="00A660E6">
        <w:t xml:space="preserve">. </w:t>
      </w:r>
      <w:r w:rsidR="00BF1F9A" w:rsidRPr="00A660E6">
        <w:t xml:space="preserve">Due to a relatively </w:t>
      </w:r>
      <w:r w:rsidR="003170A9" w:rsidRPr="00A660E6">
        <w:t>low number of</w:t>
      </w:r>
      <w:r w:rsidR="00BF1F9A" w:rsidRPr="00A660E6">
        <w:t xml:space="preserve"> usable responses from Specialty, </w:t>
      </w:r>
      <w:r w:rsidR="003170A9" w:rsidRPr="00A660E6">
        <w:t xml:space="preserve">340B, </w:t>
      </w:r>
      <w:r w:rsidR="00653DAE">
        <w:t>CHC</w:t>
      </w:r>
      <w:r w:rsidR="003170A9" w:rsidRPr="00A660E6">
        <w:t xml:space="preserve">, and </w:t>
      </w:r>
      <w:r w:rsidR="006F5B95">
        <w:t>LTC</w:t>
      </w:r>
      <w:r w:rsidR="003170A9" w:rsidRPr="00A660E6">
        <w:t xml:space="preserve"> pharmacies</w:t>
      </w:r>
      <w:r w:rsidR="00BF1F9A" w:rsidRPr="00A660E6">
        <w:t xml:space="preserve">, the focus of </w:t>
      </w:r>
      <w:r w:rsidR="0012308E" w:rsidRPr="00A660E6">
        <w:t>the analysis and future program decisions</w:t>
      </w:r>
      <w:r w:rsidR="00653DAE">
        <w:t xml:space="preserve"> are</w:t>
      </w:r>
      <w:r w:rsidR="0012308E" w:rsidRPr="00A660E6">
        <w:t xml:space="preserve"> aimed at the Chain </w:t>
      </w:r>
      <w:r w:rsidR="00221151">
        <w:t>and</w:t>
      </w:r>
      <w:r w:rsidR="0012308E" w:rsidRPr="00A660E6">
        <w:t xml:space="preserve"> Independent</w:t>
      </w:r>
      <w:r w:rsidR="002623A0">
        <w:t xml:space="preserve"> </w:t>
      </w:r>
      <w:r w:rsidR="0012308E" w:rsidRPr="00A660E6">
        <w:t>pharmacy statistics.</w:t>
      </w:r>
      <w:r w:rsidR="003170A9" w:rsidRPr="00A660E6">
        <w:t xml:space="preserve"> </w:t>
      </w:r>
    </w:p>
    <w:p w14:paraId="1E7B30BB" w14:textId="2E050AF5" w:rsidR="00BF1F9A" w:rsidRDefault="00F956BD" w:rsidP="00A57F35">
      <w:r w:rsidRPr="00A660E6">
        <w:t xml:space="preserve">MassHealth’s current reimbursement structure uses a single dispensing fee methodology </w:t>
      </w:r>
      <w:r w:rsidR="0012308E" w:rsidRPr="00A660E6">
        <w:t xml:space="preserve">for all pharmacy types </w:t>
      </w:r>
      <w:r w:rsidRPr="00A660E6">
        <w:t xml:space="preserve">based on the 2017 </w:t>
      </w:r>
      <w:r w:rsidR="00653DAE">
        <w:t>COD</w:t>
      </w:r>
      <w:r w:rsidRPr="00A660E6">
        <w:t xml:space="preserve"> survey. Many Medicaid programs have updated their methodology to use tiered dispensing fees</w:t>
      </w:r>
      <w:r w:rsidR="00BF1F9A" w:rsidRPr="00A660E6">
        <w:t xml:space="preserve"> </w:t>
      </w:r>
      <w:proofErr w:type="gramStart"/>
      <w:r w:rsidR="00BF1F9A" w:rsidRPr="00A660E6">
        <w:t>in an attempt to</w:t>
      </w:r>
      <w:proofErr w:type="gramEnd"/>
      <w:r w:rsidR="00BF1F9A" w:rsidRPr="00A660E6">
        <w:t xml:space="preserve"> better</w:t>
      </w:r>
      <w:r w:rsidR="006D2887">
        <w:t xml:space="preserve"> </w:t>
      </w:r>
      <w:r w:rsidR="00BF1F9A" w:rsidRPr="00A660E6">
        <w:t>reflect the difference in the cost to dispense between different pharmacies. T</w:t>
      </w:r>
      <w:r w:rsidRPr="00A660E6">
        <w:t xml:space="preserve">ier structures </w:t>
      </w:r>
      <w:r w:rsidR="00BF1F9A" w:rsidRPr="00A660E6">
        <w:t xml:space="preserve">can </w:t>
      </w:r>
      <w:r w:rsidRPr="00A660E6">
        <w:t>vary</w:t>
      </w:r>
      <w:r w:rsidR="00BF1F9A" w:rsidRPr="00A660E6">
        <w:t xml:space="preserve"> from program to program, and CMS has historically allowed states latitude to structure their own program’s reimbursement</w:t>
      </w:r>
      <w:r w:rsidR="00653DAE">
        <w:t>,</w:t>
      </w:r>
      <w:r w:rsidR="00BF1F9A" w:rsidRPr="00A660E6">
        <w:t xml:space="preserve"> </w:t>
      </w:r>
      <w:proofErr w:type="gramStart"/>
      <w:r w:rsidR="00BF1F9A" w:rsidRPr="00A660E6">
        <w:t>as long as</w:t>
      </w:r>
      <w:proofErr w:type="gramEnd"/>
      <w:r w:rsidR="00BF1F9A" w:rsidRPr="00A660E6">
        <w:t xml:space="preserve"> the structure adheres to statistically</w:t>
      </w:r>
      <w:r w:rsidR="00221151">
        <w:t xml:space="preserve"> </w:t>
      </w:r>
      <w:r w:rsidR="00BF1F9A" w:rsidRPr="00A660E6">
        <w:t>valid calculations.</w:t>
      </w:r>
    </w:p>
    <w:p w14:paraId="701A5831" w14:textId="128230AC" w:rsidR="00BB70C0" w:rsidRDefault="00D9792E" w:rsidP="00A57F35">
      <w:r>
        <w:t xml:space="preserve">A common tiering structure </w:t>
      </w:r>
      <w:r w:rsidR="00F86026">
        <w:t xml:space="preserve">across </w:t>
      </w:r>
      <w:r w:rsidR="00653DAE">
        <w:t>several</w:t>
      </w:r>
      <w:r w:rsidR="00F86026">
        <w:t xml:space="preserve"> Medicaid programs </w:t>
      </w:r>
      <w:r>
        <w:t>uses differential fees based on pharmacy type. Through conversations with the Commonwealth regarding program goals</w:t>
      </w:r>
      <w:r w:rsidR="00653DAE">
        <w:t>,</w:t>
      </w:r>
      <w:r w:rsidR="00B17DAA">
        <w:t xml:space="preserve"> coupled with a</w:t>
      </w:r>
      <w:r>
        <w:t xml:space="preserve"> detailed analysis of survey responses, Mercer recommends a three</w:t>
      </w:r>
      <w:r w:rsidR="006D2887">
        <w:noBreakHyphen/>
      </w:r>
      <w:r>
        <w:t xml:space="preserve">tiered </w:t>
      </w:r>
      <w:r w:rsidR="00B17DAA">
        <w:t xml:space="preserve">dispensing fee </w:t>
      </w:r>
      <w:r>
        <w:t>structure</w:t>
      </w:r>
      <w:r w:rsidR="00B17DAA">
        <w:t>.</w:t>
      </w:r>
      <w:r w:rsidR="00BB70C0">
        <w:t xml:space="preserve"> The three tiers are structured per the bullets below: </w:t>
      </w:r>
    </w:p>
    <w:p w14:paraId="1F9597BE" w14:textId="77777777" w:rsidR="00BB70C0" w:rsidRDefault="00BB70C0" w:rsidP="00A57F35">
      <w:pPr>
        <w:pStyle w:val="ListBullet"/>
      </w:pPr>
      <w:r>
        <w:t>Chain = $8.51</w:t>
      </w:r>
    </w:p>
    <w:p w14:paraId="53B4E3B6" w14:textId="3E6613D8" w:rsidR="00BB70C0" w:rsidRDefault="00BB70C0" w:rsidP="00A57F35">
      <w:pPr>
        <w:pStyle w:val="ListBullet"/>
      </w:pPr>
      <w:r>
        <w:t>Independent</w:t>
      </w:r>
      <w:r w:rsidR="009F4434">
        <w:t xml:space="preserve"> and CHC (non-contract) pharmacies </w:t>
      </w:r>
      <w:r>
        <w:t>= $10.21</w:t>
      </w:r>
    </w:p>
    <w:p w14:paraId="04A986C3" w14:textId="0E3296A9" w:rsidR="00BB70C0" w:rsidRDefault="00BB70C0" w:rsidP="00A57F35">
      <w:pPr>
        <w:pStyle w:val="ListBullet"/>
      </w:pPr>
      <w:r>
        <w:lastRenderedPageBreak/>
        <w:t xml:space="preserve">Independent </w:t>
      </w:r>
      <w:r w:rsidR="009F4434">
        <w:t xml:space="preserve">and CHC </w:t>
      </w:r>
      <w:r w:rsidR="006B2F9B">
        <w:t xml:space="preserve">(non-contract) </w:t>
      </w:r>
      <w:r>
        <w:t>pharmacies providing enhanced services = $14.06</w:t>
      </w:r>
      <w:r w:rsidR="00D9792E">
        <w:t xml:space="preserve"> </w:t>
      </w:r>
    </w:p>
    <w:p w14:paraId="045DB892" w14:textId="7F64F621" w:rsidR="00FB493A" w:rsidRDefault="00B17DAA" w:rsidP="00A57F35">
      <w:r>
        <w:t>In this three</w:t>
      </w:r>
      <w:r w:rsidR="006D2887">
        <w:noBreakHyphen/>
      </w:r>
      <w:r>
        <w:t>tier structure, most pharmacies would fall into the standard Chain and Independent tiers of $8.51 and $10.21</w:t>
      </w:r>
      <w:r w:rsidR="00135738">
        <w:t>, respectively</w:t>
      </w:r>
      <w:r>
        <w:t>.</w:t>
      </w:r>
      <w:r w:rsidR="00BB70C0">
        <w:t xml:space="preserve"> </w:t>
      </w:r>
      <w:r>
        <w:t>The third tier of $14.06</w:t>
      </w:r>
      <w:r w:rsidR="00BB70C0">
        <w:t xml:space="preserve"> </w:t>
      </w:r>
      <w:r>
        <w:t xml:space="preserve">is reserved for Independent </w:t>
      </w:r>
      <w:r w:rsidR="00B43C8E">
        <w:t>and CHC (non</w:t>
      </w:r>
      <w:r w:rsidR="006D2887">
        <w:noBreakHyphen/>
      </w:r>
      <w:r w:rsidR="00B43C8E">
        <w:t xml:space="preserve">contract) </w:t>
      </w:r>
      <w:r>
        <w:t>pharmacies providing enhanced services</w:t>
      </w:r>
      <w:r w:rsidR="00BB70C0">
        <w:t xml:space="preserve">, as determined by the Commonwealth. Each of the three tiers may include pharmacies from a mix of the types defined in this report, and </w:t>
      </w:r>
      <w:r w:rsidR="00F86026">
        <w:t xml:space="preserve">these three tiers are recommended </w:t>
      </w:r>
      <w:r w:rsidR="00BB70C0" w:rsidRPr="00F86026">
        <w:t>in lieu of individual tiers for other pharmacy types</w:t>
      </w:r>
      <w:r w:rsidR="00135738">
        <w:t>,</w:t>
      </w:r>
      <w:r w:rsidR="00BB70C0" w:rsidRPr="00F86026">
        <w:t xml:space="preserve"> such as LTC, 340B, </w:t>
      </w:r>
      <w:r w:rsidR="00681F78">
        <w:t xml:space="preserve">and </w:t>
      </w:r>
      <w:r w:rsidR="00BB70C0" w:rsidRPr="00F86026">
        <w:t xml:space="preserve">Specialty. </w:t>
      </w:r>
      <w:proofErr w:type="gramStart"/>
      <w:r w:rsidR="00681F78">
        <w:rPr>
          <w:rStyle w:val="ui-provider"/>
        </w:rPr>
        <w:t>The majority of</w:t>
      </w:r>
      <w:proofErr w:type="gramEnd"/>
      <w:r w:rsidR="00681F78">
        <w:rPr>
          <w:rStyle w:val="ui-provider"/>
        </w:rPr>
        <w:t xml:space="preserve"> Medicaid programs do not implement a </w:t>
      </w:r>
      <w:r w:rsidR="0072797A">
        <w:rPr>
          <w:rStyle w:val="ui-provider"/>
        </w:rPr>
        <w:t xml:space="preserve">standalone </w:t>
      </w:r>
      <w:r w:rsidR="00681F78">
        <w:rPr>
          <w:rStyle w:val="ui-provider"/>
        </w:rPr>
        <w:t>dispensing fee for Specialty pharmacies. This is due to several factors, including complex administrative issues, the absence of clear industry</w:t>
      </w:r>
      <w:r w:rsidR="006D2887">
        <w:rPr>
          <w:rStyle w:val="ui-provider"/>
        </w:rPr>
        <w:noBreakHyphen/>
      </w:r>
      <w:r w:rsidR="00681F78">
        <w:rPr>
          <w:rStyle w:val="ui-provider"/>
        </w:rPr>
        <w:t xml:space="preserve">wide definitions for specialty drugs, and the dispensing fee’s minimal proportion of a specialty claim’s overall cost. Additionally, </w:t>
      </w:r>
      <w:r w:rsidR="00F9271F">
        <w:rPr>
          <w:rStyle w:val="ui-provider"/>
        </w:rPr>
        <w:t>LTC and 340B pharmacies</w:t>
      </w:r>
      <w:r w:rsidR="00681F78">
        <w:rPr>
          <w:rStyle w:val="ui-provider"/>
        </w:rPr>
        <w:t xml:space="preserve"> show little to no statistically significant evidence to justify the establishment of administratively complex standalone dispensing fees.</w:t>
      </w:r>
    </w:p>
    <w:p w14:paraId="75ED12DC" w14:textId="77777777" w:rsidR="00FB493A" w:rsidRDefault="00FB493A" w:rsidP="00A57F35">
      <w:r w:rsidRPr="002210B0">
        <w:t>Detailed results of additional pharmacy attribute analysis are included in the report.</w:t>
      </w:r>
      <w:r>
        <w:t xml:space="preserve"> </w:t>
      </w:r>
    </w:p>
    <w:p w14:paraId="22F982F3" w14:textId="77777777" w:rsidR="00FB493A" w:rsidRDefault="00FB493A" w:rsidP="00A57F35">
      <w:pPr>
        <w:pStyle w:val="Heading3"/>
      </w:pPr>
      <w:bookmarkStart w:id="17" w:name="_Toc467652258"/>
      <w:bookmarkStart w:id="18" w:name="_Toc468708854"/>
      <w:bookmarkStart w:id="19" w:name="_Toc478135467"/>
      <w:bookmarkStart w:id="20" w:name="_Toc22640776"/>
      <w:r>
        <w:t>Limitations of Analysis</w:t>
      </w:r>
      <w:bookmarkEnd w:id="17"/>
      <w:bookmarkEnd w:id="18"/>
      <w:bookmarkEnd w:id="19"/>
      <w:bookmarkEnd w:id="20"/>
    </w:p>
    <w:p w14:paraId="4B2EDB92" w14:textId="5F433E5B" w:rsidR="00FB493A" w:rsidRDefault="00FB493A" w:rsidP="00A57F35">
      <w:r>
        <w:t xml:space="preserve">In preparing this document, Mercer has used and relied upon data supplied by </w:t>
      </w:r>
      <w:r w:rsidR="00142BDD">
        <w:t>Mass</w:t>
      </w:r>
      <w:r w:rsidR="00C572FD">
        <w:t>Health</w:t>
      </w:r>
      <w:r w:rsidR="00142BDD">
        <w:t xml:space="preserve"> </w:t>
      </w:r>
      <w:r>
        <w:t xml:space="preserve">and the pharmacies participating in the </w:t>
      </w:r>
      <w:r w:rsidR="00142BDD">
        <w:t>Mass</w:t>
      </w:r>
      <w:r w:rsidR="00C572FD">
        <w:t>Health</w:t>
      </w:r>
      <w:r w:rsidR="00142BDD">
        <w:t xml:space="preserve"> </w:t>
      </w:r>
      <w:r>
        <w:t xml:space="preserve">program. </w:t>
      </w:r>
      <w:r w:rsidR="00142BDD">
        <w:t>Mass</w:t>
      </w:r>
      <w:r w:rsidR="00C572FD">
        <w:t>Health</w:t>
      </w:r>
      <w:r w:rsidR="00142BDD">
        <w:t xml:space="preserve"> </w:t>
      </w:r>
      <w:r>
        <w:t>and participating pharmacies are responsible for the validity and completeness of this supplied data and information. We have reviewed the data and information for consistency and reasonableness. In our opinion, this data and information are appropriate for the intended purposes. If the data and information are incomplete or inaccurate, the values shown in this analysis may need to be revised accordingly.</w:t>
      </w:r>
      <w:r w:rsidR="00106593">
        <w:t xml:space="preserve"> </w:t>
      </w:r>
      <w:r>
        <w:t>All estimates are based upon the information available at a point in time</w:t>
      </w:r>
      <w:r w:rsidR="00106593">
        <w:t xml:space="preserve"> </w:t>
      </w:r>
      <w:r>
        <w:t>and are subject to unforeseen and random events. Therefore, any projection must be interpreted as having a likely range of variability from the estimate. Any estimate or projection may not be used or relied upon by any other party or for any other purpose than for which it was issued by Mercer. Mercer is not responsible for the consequences of any unauthorized use.</w:t>
      </w:r>
    </w:p>
    <w:p w14:paraId="20CD4656" w14:textId="77777777" w:rsidR="00FB493A" w:rsidRDefault="00FB493A" w:rsidP="00FB493A">
      <w:pPr>
        <w:pStyle w:val="SectionStart"/>
      </w:pPr>
    </w:p>
    <w:p w14:paraId="15B778DB" w14:textId="77777777" w:rsidR="00FB493A" w:rsidRDefault="00FB493A" w:rsidP="00E04E14">
      <w:pPr>
        <w:pStyle w:val="Heading1"/>
        <w:numPr>
          <w:ilvl w:val="0"/>
          <w:numId w:val="12"/>
        </w:numPr>
        <w:tabs>
          <w:tab w:val="clear" w:pos="0"/>
          <w:tab w:val="num" w:pos="360"/>
        </w:tabs>
        <w:spacing w:after="0"/>
      </w:pPr>
      <w:bookmarkStart w:id="21" w:name="_Toc22640777"/>
      <w:bookmarkStart w:id="22" w:name="_Toc179536090"/>
      <w:r>
        <w:t>Cost of Dispensing Study</w:t>
      </w:r>
      <w:bookmarkEnd w:id="21"/>
      <w:bookmarkEnd w:id="22"/>
    </w:p>
    <w:p w14:paraId="3AA41F95" w14:textId="77777777" w:rsidR="00FB493A" w:rsidRPr="000F69D7" w:rsidRDefault="00FB493A" w:rsidP="00A57F35">
      <w:pPr>
        <w:pStyle w:val="Heading2"/>
      </w:pPr>
      <w:bookmarkStart w:id="23" w:name="_Toc468708856"/>
      <w:bookmarkStart w:id="24" w:name="_Toc478135469"/>
      <w:bookmarkStart w:id="25" w:name="_Toc22640778"/>
      <w:bookmarkStart w:id="26" w:name="_Toc179536091"/>
      <w:r w:rsidRPr="000F69D7">
        <w:t>Introduction</w:t>
      </w:r>
      <w:bookmarkEnd w:id="23"/>
      <w:bookmarkEnd w:id="24"/>
      <w:bookmarkEnd w:id="25"/>
      <w:bookmarkEnd w:id="26"/>
    </w:p>
    <w:p w14:paraId="455C6F8B" w14:textId="17FE1E3E" w:rsidR="00FB493A" w:rsidRDefault="00FB493A" w:rsidP="00A57F35">
      <w:r>
        <w:t xml:space="preserve">On February 1, 2016, CMS published the </w:t>
      </w:r>
      <w:r w:rsidR="00106593">
        <w:t xml:space="preserve">Federal </w:t>
      </w:r>
      <w:r>
        <w:t>Covered Outpatient Drugs final rule (CMS</w:t>
      </w:r>
      <w:r w:rsidR="00F97F5B">
        <w:noBreakHyphen/>
      </w:r>
      <w:r>
        <w:t>2345</w:t>
      </w:r>
      <w:r w:rsidR="006D2887">
        <w:noBreakHyphen/>
      </w:r>
      <w:r>
        <w:t>FC). The federal regulation addresses the rise in prescription drug costs by ensuring Medicaid programs reform payment methodologies for prescription drugs. Under the final rule, states must reimburse covered outpatient drugs at AAC</w:t>
      </w:r>
      <w:r w:rsidR="00135738">
        <w:t>,</w:t>
      </w:r>
      <w:r>
        <w:t xml:space="preserve"> plus a PDF for drugs dispensed in outpatient pharmacies. The regulation required all states to </w:t>
      </w:r>
      <w:r w:rsidR="00135738">
        <w:t xml:space="preserve">comply </w:t>
      </w:r>
      <w:r>
        <w:t xml:space="preserve">with the reimbursement requirements of the final rule by April 1, 2017. </w:t>
      </w:r>
    </w:p>
    <w:p w14:paraId="06300E3A" w14:textId="0BF09416" w:rsidR="00FB493A" w:rsidRDefault="00142BDD" w:rsidP="00A57F35">
      <w:r>
        <w:t>Mass</w:t>
      </w:r>
      <w:r w:rsidR="00C572FD">
        <w:t>Health</w:t>
      </w:r>
      <w:r>
        <w:t xml:space="preserve"> </w:t>
      </w:r>
      <w:r w:rsidR="00FB493A">
        <w:t xml:space="preserve">has </w:t>
      </w:r>
      <w:proofErr w:type="gramStart"/>
      <w:r w:rsidR="00FB493A">
        <w:t>been in compliance with</w:t>
      </w:r>
      <w:proofErr w:type="gramEnd"/>
      <w:r w:rsidR="00FB493A">
        <w:t xml:space="preserve"> the final rule since 2017. This year, </w:t>
      </w:r>
      <w:r>
        <w:t>Mass</w:t>
      </w:r>
      <w:r w:rsidR="00C572FD">
        <w:t>Health</w:t>
      </w:r>
      <w:r>
        <w:t xml:space="preserve"> </w:t>
      </w:r>
      <w:r w:rsidR="00FB493A">
        <w:t xml:space="preserve">contracted with Mercer to conduct an updated Pharmacy </w:t>
      </w:r>
      <w:r w:rsidR="00135738">
        <w:t>COD</w:t>
      </w:r>
      <w:r w:rsidR="00FB493A">
        <w:t xml:space="preserve"> survey to determine accurate information regarding the cost of dispensing for </w:t>
      </w:r>
      <w:r>
        <w:t>Mass</w:t>
      </w:r>
      <w:r w:rsidR="00C572FD">
        <w:t xml:space="preserve">Health </w:t>
      </w:r>
      <w:r w:rsidR="00FB493A">
        <w:t xml:space="preserve">providers. </w:t>
      </w:r>
    </w:p>
    <w:p w14:paraId="7C9E7BAB" w14:textId="2FAD066A" w:rsidR="00FB493A" w:rsidRDefault="00FB493A" w:rsidP="00A57F35">
      <w:r w:rsidRPr="006C45E1">
        <w:t>Mercer’s survey process is outlined in detail below; it consists of thorough stakeholder engagement and input, survey question development, intake and validation of survey data, statistical analysis, development of the report</w:t>
      </w:r>
      <w:r w:rsidR="00106593">
        <w:t>,</w:t>
      </w:r>
      <w:r w:rsidRPr="006C45E1">
        <w:t xml:space="preserve"> and the </w:t>
      </w:r>
      <w:proofErr w:type="gramStart"/>
      <w:r w:rsidRPr="006C45E1">
        <w:t>final</w:t>
      </w:r>
      <w:r>
        <w:t xml:space="preserve"> results</w:t>
      </w:r>
      <w:proofErr w:type="gramEnd"/>
      <w:r>
        <w:t>.</w:t>
      </w:r>
    </w:p>
    <w:p w14:paraId="66FB3C97" w14:textId="77777777" w:rsidR="00FB493A" w:rsidRPr="000F69D7" w:rsidRDefault="00FB493A" w:rsidP="00A57F35">
      <w:pPr>
        <w:pStyle w:val="Heading2"/>
      </w:pPr>
      <w:bookmarkStart w:id="27" w:name="_Toc467533806"/>
      <w:bookmarkStart w:id="28" w:name="_Toc420050486"/>
      <w:bookmarkStart w:id="29" w:name="_Toc278885149"/>
      <w:bookmarkStart w:id="30" w:name="_Toc278803812"/>
      <w:bookmarkStart w:id="31" w:name="_Toc278803748"/>
      <w:bookmarkStart w:id="32" w:name="_Toc468708857"/>
      <w:bookmarkStart w:id="33" w:name="_Toc478135470"/>
      <w:bookmarkStart w:id="34" w:name="_Toc22640779"/>
      <w:bookmarkStart w:id="35" w:name="_Toc179536092"/>
      <w:r w:rsidRPr="000F69D7">
        <w:t>Methodology</w:t>
      </w:r>
      <w:bookmarkEnd w:id="27"/>
      <w:bookmarkEnd w:id="28"/>
      <w:bookmarkEnd w:id="29"/>
      <w:bookmarkEnd w:id="30"/>
      <w:bookmarkEnd w:id="31"/>
      <w:bookmarkEnd w:id="32"/>
      <w:bookmarkEnd w:id="33"/>
      <w:bookmarkEnd w:id="34"/>
      <w:bookmarkEnd w:id="35"/>
    </w:p>
    <w:p w14:paraId="4F50553B" w14:textId="77777777" w:rsidR="00FB493A" w:rsidRDefault="00FB493A" w:rsidP="00A57F35">
      <w:r>
        <w:t>The study methodology included the following tasks:</w:t>
      </w:r>
    </w:p>
    <w:p w14:paraId="57E2933F" w14:textId="0E522B41" w:rsidR="00FB493A" w:rsidRPr="00CF6D24" w:rsidRDefault="00FB493A" w:rsidP="00A57F35">
      <w:pPr>
        <w:pStyle w:val="ListBullet"/>
      </w:pPr>
      <w:r w:rsidRPr="00CF6D24">
        <w:t>Held a project kick</w:t>
      </w:r>
      <w:r w:rsidR="006D2887">
        <w:noBreakHyphen/>
      </w:r>
      <w:r w:rsidRPr="00CF6D24">
        <w:t xml:space="preserve">off meeting with </w:t>
      </w:r>
      <w:r w:rsidR="00142BDD">
        <w:t>Mass</w:t>
      </w:r>
      <w:r w:rsidR="00C572FD">
        <w:t>Health</w:t>
      </w:r>
      <w:r w:rsidR="00142BDD" w:rsidRPr="00CF6D24">
        <w:t xml:space="preserve"> </w:t>
      </w:r>
      <w:r w:rsidRPr="00CF6D24">
        <w:t xml:space="preserve">to identify the population to be surveyed, </w:t>
      </w:r>
      <w:r>
        <w:t xml:space="preserve">to </w:t>
      </w:r>
      <w:r w:rsidRPr="00CF6D24">
        <w:t>review the survey objectives</w:t>
      </w:r>
      <w:r>
        <w:t xml:space="preserve"> and</w:t>
      </w:r>
      <w:r w:rsidRPr="00CF6D24">
        <w:t xml:space="preserve"> survey instruments</w:t>
      </w:r>
      <w:r>
        <w:t>,</w:t>
      </w:r>
      <w:r w:rsidRPr="00CF6D24">
        <w:t xml:space="preserve"> and </w:t>
      </w:r>
      <w:r>
        <w:t xml:space="preserve">to </w:t>
      </w:r>
      <w:r w:rsidRPr="00CF6D24">
        <w:t>identif</w:t>
      </w:r>
      <w:r>
        <w:t>y</w:t>
      </w:r>
      <w:r w:rsidRPr="00CF6D24">
        <w:t xml:space="preserve"> timelines to complete the survey and a final report.</w:t>
      </w:r>
    </w:p>
    <w:p w14:paraId="2A37B76C" w14:textId="5C10F396" w:rsidR="00FB493A" w:rsidRPr="005A40CD" w:rsidRDefault="00FB493A" w:rsidP="00A57F35">
      <w:pPr>
        <w:pStyle w:val="ListBullet"/>
      </w:pPr>
      <w:r w:rsidRPr="005A40CD">
        <w:t xml:space="preserve">Requested a list of active providers who billed </w:t>
      </w:r>
      <w:r w:rsidR="00142BDD">
        <w:t>Mass</w:t>
      </w:r>
      <w:r w:rsidR="00C572FD">
        <w:t>Health</w:t>
      </w:r>
      <w:r w:rsidR="00142BDD" w:rsidRPr="005A40CD">
        <w:t xml:space="preserve"> </w:t>
      </w:r>
      <w:r w:rsidRPr="005A40CD">
        <w:t xml:space="preserve">for prescription drugs for </w:t>
      </w:r>
      <w:r w:rsidR="00142BDD">
        <w:t>Mass</w:t>
      </w:r>
      <w:r w:rsidR="00C572FD">
        <w:t>Health</w:t>
      </w:r>
      <w:r w:rsidR="00142BDD">
        <w:t xml:space="preserve"> </w:t>
      </w:r>
      <w:r w:rsidRPr="005A40CD">
        <w:t>beneficiaries, including available contact and address information and identified the universe of providers (study population) to be surveyed.</w:t>
      </w:r>
    </w:p>
    <w:p w14:paraId="3684746A" w14:textId="2A94BEF3" w:rsidR="00FB493A" w:rsidRPr="000F0EE3" w:rsidRDefault="00FB493A" w:rsidP="00A57F35">
      <w:pPr>
        <w:pStyle w:val="ListBullet"/>
      </w:pPr>
      <w:r w:rsidRPr="000F0EE3">
        <w:t xml:space="preserve">Included in the </w:t>
      </w:r>
      <w:r w:rsidR="00135738">
        <w:t>COD</w:t>
      </w:r>
      <w:r w:rsidR="00106593" w:rsidRPr="000F0EE3">
        <w:t xml:space="preserve"> </w:t>
      </w:r>
      <w:r w:rsidRPr="000F0EE3">
        <w:t xml:space="preserve">survey demographic data questions to </w:t>
      </w:r>
      <w:r w:rsidR="00106593" w:rsidRPr="000F0EE3">
        <w:t>collect</w:t>
      </w:r>
      <w:r w:rsidR="008C2693">
        <w:t xml:space="preserve"> </w:t>
      </w:r>
      <w:r w:rsidRPr="000F0EE3">
        <w:t xml:space="preserve">contact information and provider types for the survey population. </w:t>
      </w:r>
      <w:r>
        <w:t>Multiple communications were sent to</w:t>
      </w:r>
      <w:r w:rsidRPr="000F0EE3">
        <w:t xml:space="preserve"> inform the respective providers of the </w:t>
      </w:r>
      <w:r>
        <w:t>upcoming</w:t>
      </w:r>
      <w:r w:rsidRPr="000F0EE3">
        <w:t xml:space="preserve"> </w:t>
      </w:r>
      <w:r w:rsidR="00135738">
        <w:t>COD</w:t>
      </w:r>
      <w:r w:rsidRPr="000F0EE3">
        <w:t xml:space="preserve"> survey.</w:t>
      </w:r>
    </w:p>
    <w:p w14:paraId="1272D99B" w14:textId="276E3CEE" w:rsidR="00FB493A" w:rsidRPr="000F0EE3" w:rsidRDefault="00FB493A" w:rsidP="00A57F35">
      <w:pPr>
        <w:pStyle w:val="ListBullet"/>
      </w:pPr>
      <w:r w:rsidRPr="000F0EE3">
        <w:t xml:space="preserve">Held </w:t>
      </w:r>
      <w:r w:rsidR="00E053C0">
        <w:t>multiple</w:t>
      </w:r>
      <w:r w:rsidRPr="000F0EE3">
        <w:t xml:space="preserve"> stakeholder meeting</w:t>
      </w:r>
      <w:r w:rsidR="00E053C0">
        <w:t>s</w:t>
      </w:r>
      <w:r w:rsidRPr="000F0EE3">
        <w:t xml:space="preserve"> to educate providers on the survey and </w:t>
      </w:r>
      <w:r w:rsidR="00135738">
        <w:t>its</w:t>
      </w:r>
      <w:r w:rsidR="00135738" w:rsidRPr="000F0EE3">
        <w:t xml:space="preserve"> </w:t>
      </w:r>
      <w:r w:rsidRPr="000F0EE3">
        <w:t>process.</w:t>
      </w:r>
    </w:p>
    <w:p w14:paraId="5B12D3A4" w14:textId="55D5F69C" w:rsidR="00FB493A" w:rsidRPr="000F0EE3" w:rsidRDefault="00FB493A" w:rsidP="00A57F35">
      <w:pPr>
        <w:pStyle w:val="ListBullet"/>
      </w:pPr>
      <w:r w:rsidRPr="000F0EE3">
        <w:t>Distributed the survey tool</w:t>
      </w:r>
      <w:r>
        <w:t xml:space="preserve"> and</w:t>
      </w:r>
      <w:r w:rsidRPr="000F0EE3">
        <w:t xml:space="preserve"> instructions to all respective providers identified by </w:t>
      </w:r>
      <w:r w:rsidR="00D355BB">
        <w:t>Mass</w:t>
      </w:r>
      <w:r w:rsidR="00C572FD">
        <w:t>Health</w:t>
      </w:r>
      <w:r w:rsidRPr="000F0EE3">
        <w:t xml:space="preserve">. </w:t>
      </w:r>
      <w:r>
        <w:t>Communications</w:t>
      </w:r>
      <w:r w:rsidRPr="000F0EE3">
        <w:t xml:space="preserve"> highlight</w:t>
      </w:r>
      <w:r>
        <w:t>ed</w:t>
      </w:r>
      <w:r w:rsidRPr="000F0EE3">
        <w:t xml:space="preserve"> the importance of the survey and provide</w:t>
      </w:r>
      <w:r>
        <w:t>d</w:t>
      </w:r>
      <w:r w:rsidRPr="000F0EE3">
        <w:t xml:space="preserve"> methods for submission of the requested information needed for the </w:t>
      </w:r>
      <w:r>
        <w:t xml:space="preserve">analysis and detailed </w:t>
      </w:r>
      <w:r w:rsidRPr="000F0EE3">
        <w:t xml:space="preserve">the mandatory nature of the survey based on contractual obligations with </w:t>
      </w:r>
      <w:r w:rsidR="00D355BB">
        <w:t>Mass</w:t>
      </w:r>
      <w:r w:rsidR="00C572FD">
        <w:t>Health</w:t>
      </w:r>
      <w:r w:rsidRPr="000F0EE3">
        <w:t>.</w:t>
      </w:r>
    </w:p>
    <w:p w14:paraId="64822659" w14:textId="45AD239A" w:rsidR="001645FC" w:rsidRPr="001645FC" w:rsidRDefault="00FB493A" w:rsidP="00A57F35">
      <w:pPr>
        <w:pStyle w:val="ListBullet"/>
      </w:pPr>
      <w:r w:rsidRPr="000F0EE3">
        <w:t>Received completed surveys from pharmacies and sent follow</w:t>
      </w:r>
      <w:r w:rsidR="006D2887">
        <w:noBreakHyphen/>
      </w:r>
      <w:r w:rsidRPr="000F0EE3">
        <w:t>up reminder letters (</w:t>
      </w:r>
      <w:r w:rsidR="00106593">
        <w:t xml:space="preserve">via </w:t>
      </w:r>
      <w:r w:rsidRPr="000F0EE3">
        <w:t>email</w:t>
      </w:r>
      <w:r>
        <w:t xml:space="preserve"> and fax</w:t>
      </w:r>
      <w:r w:rsidRPr="000F0EE3">
        <w:t xml:space="preserve">) to pharmacies that had not yet submitted the survey. </w:t>
      </w:r>
    </w:p>
    <w:p w14:paraId="5E37F317" w14:textId="77777777" w:rsidR="00FB493A" w:rsidRPr="004E6D7D" w:rsidRDefault="00FB493A" w:rsidP="00A57F35">
      <w:pPr>
        <w:pStyle w:val="ListBullet"/>
      </w:pPr>
      <w:r w:rsidRPr="004E6D7D">
        <w:t xml:space="preserve">Conducted reminder phone calls in the final two weeks of the collection period to pharmacies that had not yet submitted the survey. </w:t>
      </w:r>
    </w:p>
    <w:p w14:paraId="23758F4D" w14:textId="5752817A" w:rsidR="00FB493A" w:rsidRPr="00B525F8" w:rsidRDefault="00FB493A" w:rsidP="00A57F35">
      <w:pPr>
        <w:pStyle w:val="ListBullet"/>
      </w:pPr>
      <w:r w:rsidRPr="00B525F8">
        <w:lastRenderedPageBreak/>
        <w:t xml:space="preserve">Performed desk reviews on all </w:t>
      </w:r>
      <w:r w:rsidR="00106593">
        <w:t xml:space="preserve">submitted </w:t>
      </w:r>
      <w:r w:rsidR="000F335C" w:rsidRPr="00B525F8">
        <w:t>surveys.</w:t>
      </w:r>
      <w:r w:rsidRPr="00B525F8">
        <w:t xml:space="preserve"> </w:t>
      </w:r>
      <w:r w:rsidR="00D355BB">
        <w:t xml:space="preserve"> </w:t>
      </w:r>
    </w:p>
    <w:p w14:paraId="70073D8F" w14:textId="2BBB3F5C" w:rsidR="00FB493A" w:rsidRPr="00086C02" w:rsidRDefault="00FB493A" w:rsidP="00A57F35">
      <w:pPr>
        <w:pStyle w:val="ListBullet"/>
      </w:pPr>
      <w:r w:rsidRPr="00086C02">
        <w:t>Compiled outpatient pharmacy self</w:t>
      </w:r>
      <w:r w:rsidR="006D2887">
        <w:noBreakHyphen/>
      </w:r>
      <w:r w:rsidRPr="00086C02">
        <w:t>reported data into a Mercer database and performed initial cost analysis of the data using PDF costs described in 42</w:t>
      </w:r>
      <w:r w:rsidR="00653DAE">
        <w:t> </w:t>
      </w:r>
      <w:r w:rsidRPr="00086C02">
        <w:t>CFR</w:t>
      </w:r>
      <w:r w:rsidR="00653DAE">
        <w:t> </w:t>
      </w:r>
      <w:r w:rsidRPr="00086C02">
        <w:t>447.502.</w:t>
      </w:r>
    </w:p>
    <w:p w14:paraId="60D186D1" w14:textId="4B244955" w:rsidR="00FB493A" w:rsidRPr="00086C02" w:rsidRDefault="00FB493A" w:rsidP="00A57F35">
      <w:pPr>
        <w:pStyle w:val="ListBullet"/>
      </w:pPr>
      <w:r w:rsidRPr="00086C02">
        <w:t xml:space="preserve">Conducted a statistical analysis, including a regression analysis, of the survey data to determine an average cost and percentile distribution of cost of dispensing a prescription to </w:t>
      </w:r>
      <w:r w:rsidR="00D355BB">
        <w:t>Mass</w:t>
      </w:r>
      <w:r w:rsidR="00C572FD">
        <w:t>Health</w:t>
      </w:r>
      <w:r w:rsidR="00D355BB">
        <w:t xml:space="preserve"> </w:t>
      </w:r>
      <w:r>
        <w:t>b</w:t>
      </w:r>
      <w:r w:rsidRPr="00086C02">
        <w:t xml:space="preserve">eneficiaries within the </w:t>
      </w:r>
      <w:r w:rsidR="00221151">
        <w:t>Commonwealth</w:t>
      </w:r>
      <w:r w:rsidRPr="00086C02">
        <w:t>.</w:t>
      </w:r>
    </w:p>
    <w:p w14:paraId="612DE11B" w14:textId="77777777" w:rsidR="00FB493A" w:rsidRPr="00086C02" w:rsidRDefault="00FB493A" w:rsidP="00A57F35">
      <w:pPr>
        <w:pStyle w:val="ListBullet"/>
      </w:pPr>
      <w:r w:rsidRPr="00086C02">
        <w:t>Prepared the draft report.</w:t>
      </w:r>
    </w:p>
    <w:p w14:paraId="3821B934" w14:textId="3A91C1CA" w:rsidR="00FB493A" w:rsidRPr="00086C02" w:rsidRDefault="00FB493A" w:rsidP="00A57F35">
      <w:pPr>
        <w:pStyle w:val="ListBullet"/>
      </w:pPr>
      <w:r w:rsidRPr="00086C02">
        <w:t xml:space="preserve">Reviewed the draft report with </w:t>
      </w:r>
      <w:r w:rsidR="00D355BB">
        <w:t>Mass</w:t>
      </w:r>
      <w:r w:rsidR="00C572FD">
        <w:t>Health</w:t>
      </w:r>
      <w:r w:rsidRPr="00086C02">
        <w:t>.</w:t>
      </w:r>
    </w:p>
    <w:p w14:paraId="00CAC50E" w14:textId="77777777" w:rsidR="00FB493A" w:rsidRPr="008B41A5" w:rsidRDefault="00FB493A" w:rsidP="00A57F35">
      <w:pPr>
        <w:pStyle w:val="ListBullet"/>
      </w:pPr>
      <w:r w:rsidRPr="00086C02">
        <w:t xml:space="preserve">Finalized the report. </w:t>
      </w:r>
    </w:p>
    <w:p w14:paraId="7DF6504C" w14:textId="77777777" w:rsidR="00FB493A" w:rsidRPr="000F69D7" w:rsidRDefault="00FB493A" w:rsidP="00A57F35">
      <w:pPr>
        <w:pStyle w:val="Heading2"/>
      </w:pPr>
      <w:bookmarkStart w:id="36" w:name="_Toc420050487"/>
      <w:bookmarkStart w:id="37" w:name="_Toc278885150"/>
      <w:bookmarkStart w:id="38" w:name="_Toc278803813"/>
      <w:bookmarkStart w:id="39" w:name="_Toc278803749"/>
      <w:bookmarkStart w:id="40" w:name="_Toc467533807"/>
      <w:bookmarkStart w:id="41" w:name="_Toc468708858"/>
      <w:bookmarkStart w:id="42" w:name="_Toc478135471"/>
      <w:bookmarkStart w:id="43" w:name="_Toc22640780"/>
      <w:bookmarkStart w:id="44" w:name="_Toc179536093"/>
      <w:r w:rsidRPr="000F69D7">
        <w:t xml:space="preserve">Survey Instrument </w:t>
      </w:r>
      <w:bookmarkEnd w:id="36"/>
      <w:bookmarkEnd w:id="37"/>
      <w:bookmarkEnd w:id="38"/>
      <w:bookmarkEnd w:id="39"/>
      <w:r w:rsidRPr="000F69D7">
        <w:t>Development</w:t>
      </w:r>
      <w:bookmarkEnd w:id="40"/>
      <w:bookmarkEnd w:id="41"/>
      <w:bookmarkEnd w:id="42"/>
      <w:bookmarkEnd w:id="43"/>
      <w:bookmarkEnd w:id="44"/>
    </w:p>
    <w:p w14:paraId="6D7365E0" w14:textId="7F7EFA7F" w:rsidR="00FB493A" w:rsidRDefault="00FB493A" w:rsidP="00A57F35">
      <w:r>
        <w:t>Mercer designed the survey to be a transparent, comprehensive</w:t>
      </w:r>
      <w:r w:rsidR="00E04E14">
        <w:t>,</w:t>
      </w:r>
      <w:r>
        <w:t xml:space="preserve"> and </w:t>
      </w:r>
      <w:r w:rsidR="004E6E15">
        <w:t>easily completed</w:t>
      </w:r>
      <w:r>
        <w:t xml:space="preserve"> tool that addresses a pharmacy provider’s cost to dispense the drug product to a </w:t>
      </w:r>
      <w:r w:rsidR="00D355BB">
        <w:t>Mass</w:t>
      </w:r>
      <w:r w:rsidR="00C572FD">
        <w:t>Health</w:t>
      </w:r>
      <w:r w:rsidR="00D355BB">
        <w:t xml:space="preserve"> </w:t>
      </w:r>
      <w:r>
        <w:t xml:space="preserve">beneficiary. The </w:t>
      </w:r>
      <w:r w:rsidR="00821D1A">
        <w:t xml:space="preserve">survey </w:t>
      </w:r>
      <w:r>
        <w:t xml:space="preserve">tool was designed to capture all expense elements recorded in a pharmacy’s financial records. The </w:t>
      </w:r>
      <w:r w:rsidR="00D355BB">
        <w:t>Mass</w:t>
      </w:r>
      <w:r w:rsidR="00C572FD">
        <w:t>Health</w:t>
      </w:r>
      <w:r w:rsidR="00D355BB">
        <w:t xml:space="preserve"> </w:t>
      </w:r>
      <w:r w:rsidR="00135738">
        <w:t>COD</w:t>
      </w:r>
      <w:r>
        <w:t xml:space="preserve"> Survey focused on collecting the actual cost incurred by providers </w:t>
      </w:r>
      <w:r w:rsidR="00135738">
        <w:t xml:space="preserve">who </w:t>
      </w:r>
      <w:r>
        <w:t xml:space="preserve">dispense prescription drugs to </w:t>
      </w:r>
      <w:r w:rsidR="00D355BB">
        <w:t>Mass</w:t>
      </w:r>
      <w:r w:rsidR="00C572FD">
        <w:t>Health</w:t>
      </w:r>
      <w:r w:rsidR="00D355BB">
        <w:t xml:space="preserve"> </w:t>
      </w:r>
      <w:r>
        <w:t xml:space="preserve">FFS beneficiaries. The survey tool was designed following review of dispensing fee surveys conducted both at the national and individual state levels and based on the needs identified by </w:t>
      </w:r>
      <w:r w:rsidR="00D355BB">
        <w:t>Mass</w:t>
      </w:r>
      <w:r w:rsidR="00C572FD">
        <w:t>Health</w:t>
      </w:r>
      <w:r w:rsidR="00D355BB">
        <w:t xml:space="preserve"> </w:t>
      </w:r>
      <w:r>
        <w:t>and key stakeholders.</w:t>
      </w:r>
    </w:p>
    <w:p w14:paraId="7F1827E6" w14:textId="1F1E1F6F" w:rsidR="00FB493A" w:rsidRDefault="00FB493A" w:rsidP="00A57F35">
      <w:r>
        <w:t>Development and receipt of the dispensing fee survey tool included:</w:t>
      </w:r>
    </w:p>
    <w:p w14:paraId="5CBFA78D" w14:textId="06611503" w:rsidR="00FB493A" w:rsidRPr="00CF6D24" w:rsidRDefault="00FB493A" w:rsidP="00A57F35">
      <w:pPr>
        <w:pStyle w:val="ListBullet"/>
      </w:pPr>
      <w:r w:rsidRPr="00CF6D24">
        <w:t xml:space="preserve">Developed survey tool and instructions for </w:t>
      </w:r>
      <w:r w:rsidR="00E04E14">
        <w:t xml:space="preserve">survey </w:t>
      </w:r>
      <w:r w:rsidRPr="00CF6D24">
        <w:t xml:space="preserve">completion and submission alternatives in collaboration with </w:t>
      </w:r>
      <w:r w:rsidR="00D355BB">
        <w:t>Mass</w:t>
      </w:r>
      <w:r w:rsidR="00C572FD">
        <w:t>Health</w:t>
      </w:r>
      <w:r w:rsidR="00D355BB">
        <w:t>.</w:t>
      </w:r>
    </w:p>
    <w:p w14:paraId="3F8BB5F2" w14:textId="77777777" w:rsidR="00FB493A" w:rsidRPr="005A40CD" w:rsidRDefault="00FB493A" w:rsidP="00A57F35">
      <w:pPr>
        <w:pStyle w:val="ListBullet"/>
      </w:pPr>
      <w:r w:rsidRPr="005A40CD">
        <w:t xml:space="preserve">Developed an expanded specialty pharmacy section to separate dispensing activities from ancillary activities. </w:t>
      </w:r>
    </w:p>
    <w:p w14:paraId="6DCFEA11" w14:textId="77777777" w:rsidR="00FB493A" w:rsidRPr="005A40CD" w:rsidRDefault="00FB493A" w:rsidP="00A57F35">
      <w:pPr>
        <w:pStyle w:val="ListBullet"/>
      </w:pPr>
      <w:r w:rsidRPr="005A40CD">
        <w:t>Created an online web</w:t>
      </w:r>
      <w:r>
        <w:noBreakHyphen/>
      </w:r>
      <w:r w:rsidRPr="005A40CD">
        <w:t>based survey.</w:t>
      </w:r>
    </w:p>
    <w:p w14:paraId="5C537041" w14:textId="77777777" w:rsidR="00FB493A" w:rsidRPr="00CF6D24" w:rsidRDefault="00FB493A" w:rsidP="00A57F35">
      <w:pPr>
        <w:pStyle w:val="ListBullet"/>
      </w:pPr>
      <w:r w:rsidRPr="005A40CD">
        <w:t>Created an Excel</w:t>
      </w:r>
      <w:r w:rsidRPr="006562E5">
        <w:rPr>
          <w:vertAlign w:val="superscript"/>
        </w:rPr>
        <w:t>®</w:t>
      </w:r>
      <w:r>
        <w:noBreakHyphen/>
      </w:r>
      <w:r w:rsidRPr="00CF6D24">
        <w:t>based spreadsheet to accommodate retail pharmacy chains that submitted surveys for multiple locations.</w:t>
      </w:r>
    </w:p>
    <w:p w14:paraId="080664FA" w14:textId="77777777" w:rsidR="00FB493A" w:rsidRDefault="00FB493A" w:rsidP="00A57F35">
      <w:pPr>
        <w:pStyle w:val="ListBullet"/>
      </w:pPr>
      <w:r w:rsidRPr="005A40CD">
        <w:t xml:space="preserve">Established </w:t>
      </w:r>
      <w:r>
        <w:t>a help desk</w:t>
      </w:r>
      <w:r w:rsidRPr="005A40CD">
        <w:t xml:space="preserve"> </w:t>
      </w:r>
      <w:r>
        <w:t>fo</w:t>
      </w:r>
      <w:r w:rsidRPr="005A40CD">
        <w:t>r technical assistance.</w:t>
      </w:r>
      <w:r>
        <w:t xml:space="preserve"> </w:t>
      </w:r>
    </w:p>
    <w:p w14:paraId="785C8BDB" w14:textId="77777777" w:rsidR="00FB493A" w:rsidRPr="000F69D7" w:rsidRDefault="00FB493A" w:rsidP="00A57F35">
      <w:pPr>
        <w:pStyle w:val="Heading2"/>
      </w:pPr>
      <w:bookmarkStart w:id="45" w:name="_Toc420050488"/>
      <w:bookmarkStart w:id="46" w:name="_Toc278885151"/>
      <w:bookmarkStart w:id="47" w:name="_Toc278803814"/>
      <w:bookmarkStart w:id="48" w:name="_Toc278803750"/>
      <w:bookmarkStart w:id="49" w:name="_Toc467533808"/>
      <w:bookmarkStart w:id="50" w:name="_Toc468708859"/>
      <w:bookmarkStart w:id="51" w:name="_Toc478135472"/>
      <w:bookmarkStart w:id="52" w:name="_Toc22640781"/>
      <w:bookmarkStart w:id="53" w:name="_Toc179536094"/>
      <w:r w:rsidRPr="000F69D7">
        <w:t xml:space="preserve">Survey </w:t>
      </w:r>
      <w:bookmarkEnd w:id="45"/>
      <w:bookmarkEnd w:id="46"/>
      <w:bookmarkEnd w:id="47"/>
      <w:bookmarkEnd w:id="48"/>
      <w:r w:rsidRPr="000F69D7">
        <w:t>Population</w:t>
      </w:r>
      <w:bookmarkEnd w:id="49"/>
      <w:bookmarkEnd w:id="50"/>
      <w:bookmarkEnd w:id="51"/>
      <w:bookmarkEnd w:id="52"/>
      <w:bookmarkEnd w:id="53"/>
    </w:p>
    <w:p w14:paraId="116E43E0" w14:textId="455CD23F" w:rsidR="00FB493A" w:rsidRDefault="00FB493A" w:rsidP="00A57F35">
      <w:r>
        <w:t xml:space="preserve">A list of </w:t>
      </w:r>
      <w:r w:rsidR="00D355BB">
        <w:t>1</w:t>
      </w:r>
      <w:r w:rsidR="000F335C">
        <w:t>,</w:t>
      </w:r>
      <w:r w:rsidR="00D355BB">
        <w:t>187</w:t>
      </w:r>
      <w:r>
        <w:t xml:space="preserve"> enrolled outpatient pharmacy providers obtained from </w:t>
      </w:r>
      <w:r w:rsidR="00D355BB">
        <w:t>Mass</w:t>
      </w:r>
      <w:r w:rsidR="00C572FD">
        <w:t>Health</w:t>
      </w:r>
      <w:r w:rsidR="00D355BB">
        <w:t xml:space="preserve"> </w:t>
      </w:r>
      <w:r>
        <w:t xml:space="preserve">served as the main data source to identify the study population. Existing </w:t>
      </w:r>
      <w:r w:rsidR="00C572FD">
        <w:t xml:space="preserve">MassHealth </w:t>
      </w:r>
      <w:r>
        <w:t xml:space="preserve">pharmacy types were used to determine the primary pharmacy types for the population, and </w:t>
      </w:r>
      <w:r w:rsidRPr="001476BF">
        <w:t>responding pharmacies were re</w:t>
      </w:r>
      <w:r w:rsidR="006D2887">
        <w:noBreakHyphen/>
      </w:r>
      <w:r w:rsidRPr="001476BF">
        <w:t>assigned to the specialty pharmacy type</w:t>
      </w:r>
      <w:r w:rsidR="00206CF0">
        <w:t xml:space="preserve"> from their self</w:t>
      </w:r>
      <w:r w:rsidR="006D2887">
        <w:noBreakHyphen/>
      </w:r>
      <w:r w:rsidR="00206CF0">
        <w:t>selected pharmacy type</w:t>
      </w:r>
      <w:r w:rsidRPr="001476BF">
        <w:t xml:space="preserve"> if their reported specialty prescription counts were greater than 25% of their total prescription counts</w:t>
      </w:r>
      <w:r>
        <w:t xml:space="preserve">. The population </w:t>
      </w:r>
      <w:r w:rsidRPr="00A660E6">
        <w:t>included</w:t>
      </w:r>
      <w:r w:rsidR="000F335C" w:rsidRPr="00A660E6">
        <w:t xml:space="preserve"> 22</w:t>
      </w:r>
      <w:r w:rsidR="000F335C">
        <w:t xml:space="preserve"> </w:t>
      </w:r>
      <w:r w:rsidR="00135738">
        <w:t xml:space="preserve">Specialty </w:t>
      </w:r>
      <w:r w:rsidR="000F335C">
        <w:t xml:space="preserve">pharmacies. </w:t>
      </w:r>
    </w:p>
    <w:p w14:paraId="4E2EB0D5" w14:textId="75D6361A" w:rsidR="00FB493A" w:rsidRPr="000F69D7" w:rsidRDefault="00FB493A" w:rsidP="00A57F35">
      <w:pPr>
        <w:pStyle w:val="Heading2"/>
      </w:pPr>
      <w:bookmarkStart w:id="54" w:name="_Toc467533809"/>
      <w:bookmarkStart w:id="55" w:name="_Toc420050489"/>
      <w:bookmarkStart w:id="56" w:name="_Toc278885152"/>
      <w:bookmarkStart w:id="57" w:name="_Toc278803815"/>
      <w:bookmarkStart w:id="58" w:name="_Toc278803751"/>
      <w:bookmarkStart w:id="59" w:name="_Toc468708860"/>
      <w:bookmarkStart w:id="60" w:name="_Toc478135473"/>
      <w:bookmarkStart w:id="61" w:name="_Toc22640782"/>
      <w:bookmarkStart w:id="62" w:name="_Toc179536095"/>
      <w:r w:rsidRPr="000F69D7">
        <w:lastRenderedPageBreak/>
        <w:t>Survey Distribution and Follow</w:t>
      </w:r>
      <w:r w:rsidR="00272359" w:rsidRPr="000F69D7">
        <w:t>-</w:t>
      </w:r>
      <w:r w:rsidRPr="000F69D7">
        <w:t>Up</w:t>
      </w:r>
      <w:bookmarkEnd w:id="54"/>
      <w:bookmarkEnd w:id="55"/>
      <w:bookmarkEnd w:id="56"/>
      <w:bookmarkEnd w:id="57"/>
      <w:bookmarkEnd w:id="58"/>
      <w:bookmarkEnd w:id="59"/>
      <w:bookmarkEnd w:id="60"/>
      <w:bookmarkEnd w:id="61"/>
      <w:bookmarkEnd w:id="62"/>
    </w:p>
    <w:p w14:paraId="7042A7A7" w14:textId="3E4B78E4" w:rsidR="00FB493A" w:rsidRDefault="00FB493A" w:rsidP="00A57F35">
      <w:r>
        <w:t xml:space="preserve">Mercer and </w:t>
      </w:r>
      <w:r w:rsidR="005064E8">
        <w:t xml:space="preserve">MassHealth </w:t>
      </w:r>
      <w:r>
        <w:t xml:space="preserve">hosted a stakeholder meeting on </w:t>
      </w:r>
      <w:r w:rsidR="00AE30D5">
        <w:t>September</w:t>
      </w:r>
      <w:r w:rsidR="00A57F35">
        <w:t> </w:t>
      </w:r>
      <w:r w:rsidR="00AE30D5">
        <w:t>22,</w:t>
      </w:r>
      <w:r w:rsidR="00A57F35">
        <w:t> </w:t>
      </w:r>
      <w:r w:rsidR="00AE30D5">
        <w:t>2023</w:t>
      </w:r>
      <w:r w:rsidR="00272359">
        <w:t>,</w:t>
      </w:r>
      <w:r>
        <w:t xml:space="preserve"> to allow for pharmacy provider questions </w:t>
      </w:r>
      <w:r w:rsidR="004379EE">
        <w:t>about</w:t>
      </w:r>
      <w:r>
        <w:t xml:space="preserve"> the survey process. </w:t>
      </w:r>
      <w:r w:rsidR="00425BB9">
        <w:t>On October</w:t>
      </w:r>
      <w:r w:rsidR="00A57F35">
        <w:t> </w:t>
      </w:r>
      <w:r w:rsidR="00425BB9">
        <w:t>9,</w:t>
      </w:r>
      <w:r w:rsidR="00A57F35">
        <w:t> </w:t>
      </w:r>
      <w:r w:rsidR="00425BB9">
        <w:t xml:space="preserve">2023, </w:t>
      </w:r>
      <w:r>
        <w:t xml:space="preserve">Mercer sent </w:t>
      </w:r>
      <w:r w:rsidR="00821D1A">
        <w:t>all enrolled pharmacies</w:t>
      </w:r>
      <w:r>
        <w:t xml:space="preserve"> secure links to the survey tool and survey instructions. The week of </w:t>
      </w:r>
      <w:r w:rsidR="00AE30D5">
        <w:t>October</w:t>
      </w:r>
      <w:r w:rsidR="00A57F35">
        <w:t> </w:t>
      </w:r>
      <w:r w:rsidR="00AE30D5">
        <w:t>16,</w:t>
      </w:r>
      <w:r w:rsidR="00A57F35">
        <w:t> </w:t>
      </w:r>
      <w:r w:rsidR="00AE30D5">
        <w:t>2023</w:t>
      </w:r>
      <w:r w:rsidR="00425BB9">
        <w:t>,</w:t>
      </w:r>
      <w:r>
        <w:t xml:space="preserve"> Mercer sent reminder notices to attend the follow</w:t>
      </w:r>
      <w:r w:rsidR="006D2887">
        <w:noBreakHyphen/>
      </w:r>
      <w:r>
        <w:t xml:space="preserve">up stakeholder webinar, which Mercer and </w:t>
      </w:r>
      <w:r w:rsidR="00AE30D5">
        <w:t xml:space="preserve">MassHealth </w:t>
      </w:r>
      <w:r>
        <w:t>hosted on</w:t>
      </w:r>
      <w:r w:rsidR="00AE30D5">
        <w:t xml:space="preserve"> October</w:t>
      </w:r>
      <w:r w:rsidR="00A57F35">
        <w:t> </w:t>
      </w:r>
      <w:r w:rsidR="00AE30D5">
        <w:t>23,</w:t>
      </w:r>
      <w:r w:rsidR="00A57F35">
        <w:t> </w:t>
      </w:r>
      <w:r w:rsidR="00AE30D5">
        <w:t>2023</w:t>
      </w:r>
      <w:r>
        <w:t xml:space="preserve">. The survey deadline was extended from </w:t>
      </w:r>
      <w:r w:rsidR="00AE30D5">
        <w:t>November</w:t>
      </w:r>
      <w:r w:rsidR="00A57F35">
        <w:t> </w:t>
      </w:r>
      <w:r w:rsidR="00AE30D5">
        <w:t>6,</w:t>
      </w:r>
      <w:r w:rsidR="00A57F35">
        <w:t> </w:t>
      </w:r>
      <w:proofErr w:type="gramStart"/>
      <w:r w:rsidR="00AE30D5">
        <w:t>2023</w:t>
      </w:r>
      <w:proofErr w:type="gramEnd"/>
      <w:r w:rsidR="00272359">
        <w:t xml:space="preserve"> </w:t>
      </w:r>
      <w:r>
        <w:t xml:space="preserve">to </w:t>
      </w:r>
      <w:r w:rsidR="00AE30D5">
        <w:t>November</w:t>
      </w:r>
      <w:r w:rsidR="00A57F35">
        <w:t> </w:t>
      </w:r>
      <w:r w:rsidR="00AE30D5">
        <w:t>22,</w:t>
      </w:r>
      <w:r w:rsidR="00A57F35">
        <w:t> </w:t>
      </w:r>
      <w:r w:rsidR="00AE30D5">
        <w:t>2023</w:t>
      </w:r>
      <w:r w:rsidR="00425BB9">
        <w:t>,</w:t>
      </w:r>
      <w:r>
        <w:t xml:space="preserve"> and </w:t>
      </w:r>
      <w:r w:rsidR="005217A8">
        <w:t>then to</w:t>
      </w:r>
      <w:r>
        <w:t xml:space="preserve"> </w:t>
      </w:r>
      <w:r w:rsidR="0067505A">
        <w:t>December</w:t>
      </w:r>
      <w:r w:rsidR="00A57F35">
        <w:t> </w:t>
      </w:r>
      <w:r w:rsidR="0067505A">
        <w:t>1,</w:t>
      </w:r>
      <w:r w:rsidR="00A57F35">
        <w:t> </w:t>
      </w:r>
      <w:r w:rsidR="0067505A">
        <w:t>2023</w:t>
      </w:r>
      <w:r>
        <w:t>. Phone calls to non</w:t>
      </w:r>
      <w:r w:rsidR="006D2887">
        <w:noBreakHyphen/>
      </w:r>
      <w:r>
        <w:t xml:space="preserve">responding pharmacies were made </w:t>
      </w:r>
      <w:r w:rsidR="00135738">
        <w:t xml:space="preserve">from </w:t>
      </w:r>
      <w:r w:rsidR="00B53A01">
        <w:t>November </w:t>
      </w:r>
      <w:r w:rsidR="0067505A">
        <w:t>15</w:t>
      </w:r>
      <w:r w:rsidR="00A57F35">
        <w:t>, </w:t>
      </w:r>
      <w:proofErr w:type="gramStart"/>
      <w:r w:rsidR="00A57F35">
        <w:t>2023</w:t>
      </w:r>
      <w:proofErr w:type="gramEnd"/>
      <w:r w:rsidR="00A57F35">
        <w:t xml:space="preserve"> </w:t>
      </w:r>
      <w:r w:rsidR="00135738">
        <w:t>to</w:t>
      </w:r>
      <w:r w:rsidR="00A57F35">
        <w:t xml:space="preserve"> November </w:t>
      </w:r>
      <w:r w:rsidR="0067505A">
        <w:t>16,</w:t>
      </w:r>
      <w:r w:rsidR="00A57F35">
        <w:t> </w:t>
      </w:r>
      <w:r w:rsidR="0067505A">
        <w:t>202</w:t>
      </w:r>
      <w:r w:rsidR="004379EE">
        <w:t>3</w:t>
      </w:r>
      <w:r>
        <w:t>, and weekly reminder notices were sent via email and fax to the non</w:t>
      </w:r>
      <w:r w:rsidR="006D2887">
        <w:noBreakHyphen/>
      </w:r>
      <w:r>
        <w:t xml:space="preserve">responding pharmacies in the final weeks of the survey period. Pharmacies with incomplete but fixable responses were contacted as needed for clarification </w:t>
      </w:r>
      <w:proofErr w:type="gramStart"/>
      <w:r>
        <w:t>in an effort to</w:t>
      </w:r>
      <w:proofErr w:type="gramEnd"/>
      <w:r>
        <w:t xml:space="preserve"> include the responses in the analysis.</w:t>
      </w:r>
    </w:p>
    <w:p w14:paraId="75209C84" w14:textId="7F216923" w:rsidR="00FB493A" w:rsidRDefault="00FB493A" w:rsidP="00396ACC"/>
    <w:p w14:paraId="3FCB6737" w14:textId="77777777" w:rsidR="00FB493A" w:rsidRDefault="00FB493A" w:rsidP="00396ACC"/>
    <w:p w14:paraId="66EFEDA5" w14:textId="79437A6D" w:rsidR="003A1031" w:rsidRDefault="003A1031" w:rsidP="00FB493A">
      <w:pPr>
        <w:pStyle w:val="SectionStart"/>
      </w:pPr>
    </w:p>
    <w:p w14:paraId="68BA316E" w14:textId="77777777" w:rsidR="00FB493A" w:rsidRPr="007D5CD6" w:rsidRDefault="00FB493A" w:rsidP="00E04E14">
      <w:pPr>
        <w:pStyle w:val="Heading1"/>
        <w:numPr>
          <w:ilvl w:val="0"/>
          <w:numId w:val="14"/>
        </w:numPr>
      </w:pPr>
      <w:bookmarkStart w:id="63" w:name="_Toc22640783"/>
      <w:bookmarkStart w:id="64" w:name="_Toc179536096"/>
      <w:r>
        <w:t>Results and Conclusions</w:t>
      </w:r>
      <w:bookmarkEnd w:id="63"/>
      <w:bookmarkEnd w:id="64"/>
    </w:p>
    <w:p w14:paraId="4A0747D0" w14:textId="2C56300E" w:rsidR="00FB493A" w:rsidRPr="000F69D7" w:rsidRDefault="00FB493A" w:rsidP="00A57F35">
      <w:pPr>
        <w:pStyle w:val="Heading2"/>
      </w:pPr>
      <w:bookmarkStart w:id="65" w:name="_Toc22640784"/>
      <w:bookmarkStart w:id="66" w:name="_Toc179536097"/>
      <w:r w:rsidRPr="000F69D7">
        <w:t>Survey Response Rate and Non</w:t>
      </w:r>
      <w:r w:rsidR="00272359" w:rsidRPr="000F69D7">
        <w:t>-</w:t>
      </w:r>
      <w:r w:rsidRPr="000F69D7">
        <w:t>Response Bias</w:t>
      </w:r>
      <w:bookmarkEnd w:id="65"/>
      <w:bookmarkEnd w:id="66"/>
    </w:p>
    <w:p w14:paraId="145AE443" w14:textId="38AEA126" w:rsidR="00FB493A" w:rsidRDefault="00FB493A" w:rsidP="00A57F35">
      <w:r w:rsidRPr="00A660E6">
        <w:t xml:space="preserve">Of </w:t>
      </w:r>
      <w:r w:rsidR="0067505A" w:rsidRPr="00A660E6">
        <w:t>1</w:t>
      </w:r>
      <w:r w:rsidR="00DB22C2" w:rsidRPr="00A660E6">
        <w:t>,</w:t>
      </w:r>
      <w:r w:rsidR="0067505A" w:rsidRPr="00A660E6">
        <w:t>187</w:t>
      </w:r>
      <w:r w:rsidRPr="00A660E6">
        <w:t xml:space="preserve"> pharmacies in the study population, </w:t>
      </w:r>
      <w:r w:rsidR="0067505A" w:rsidRPr="00A660E6">
        <w:t>9</w:t>
      </w:r>
      <w:r w:rsidR="00DB22C2" w:rsidRPr="00A660E6">
        <w:t>40</w:t>
      </w:r>
      <w:r w:rsidRPr="00A660E6">
        <w:t xml:space="preserve"> unique pharmacies responded to the survey, representing a total response rate of </w:t>
      </w:r>
      <w:r w:rsidR="0067505A" w:rsidRPr="00A660E6">
        <w:t>7</w:t>
      </w:r>
      <w:r w:rsidR="00DB22C2" w:rsidRPr="00A660E6">
        <w:t>9</w:t>
      </w:r>
      <w:r w:rsidR="0067505A" w:rsidRPr="00A660E6">
        <w:t>.2</w:t>
      </w:r>
      <w:r w:rsidRPr="00A660E6">
        <w:t>%</w:t>
      </w:r>
      <w:r w:rsidR="00CE074E">
        <w:t>;</w:t>
      </w:r>
      <w:r w:rsidRPr="00A660E6">
        <w:t xml:space="preserve"> </w:t>
      </w:r>
      <w:r w:rsidR="00ED6E3F" w:rsidRPr="00A660E6">
        <w:t xml:space="preserve">87 </w:t>
      </w:r>
      <w:r w:rsidRPr="00A660E6">
        <w:t>pharmacies provided non</w:t>
      </w:r>
      <w:r w:rsidRPr="00A660E6">
        <w:noBreakHyphen/>
        <w:t xml:space="preserve">usable responses. Of the </w:t>
      </w:r>
      <w:r w:rsidR="00D317B0" w:rsidRPr="00A660E6">
        <w:t>940</w:t>
      </w:r>
      <w:r w:rsidRPr="00A660E6">
        <w:t xml:space="preserve"> pharmacies that responded, </w:t>
      </w:r>
      <w:r w:rsidR="00ED6E3F" w:rsidRPr="00A660E6">
        <w:t xml:space="preserve">853 </w:t>
      </w:r>
      <w:r w:rsidRPr="00A660E6">
        <w:t xml:space="preserve">pharmacies provided usable responses to the study, representing a </w:t>
      </w:r>
      <w:r w:rsidR="005217A8">
        <w:t xml:space="preserve">total </w:t>
      </w:r>
      <w:r w:rsidRPr="00A660E6">
        <w:t xml:space="preserve">usable response rate of </w:t>
      </w:r>
      <w:r w:rsidR="00ED6E3F" w:rsidRPr="00A660E6">
        <w:t>71.9</w:t>
      </w:r>
      <w:r w:rsidRPr="00A660E6">
        <w:t>%.</w:t>
      </w:r>
      <w:r>
        <w:t xml:space="preserve"> </w:t>
      </w:r>
    </w:p>
    <w:p w14:paraId="7DF38ED1" w14:textId="77777777" w:rsidR="00FB493A" w:rsidRDefault="00FB493A" w:rsidP="00A57F35">
      <w:r>
        <w:t>Usable responses were defined as responses that contained sufficient data to permit calculation of the following variables:</w:t>
      </w:r>
    </w:p>
    <w:p w14:paraId="03BAD5C6" w14:textId="0902FADC" w:rsidR="00FB493A" w:rsidRDefault="00FB493A" w:rsidP="00A57F35">
      <w:pPr>
        <w:pStyle w:val="ListBullet"/>
      </w:pPr>
      <w:r>
        <w:t>A 12</w:t>
      </w:r>
      <w:r w:rsidR="00886711">
        <w:t>-</w:t>
      </w:r>
      <w:r>
        <w:t>month reporting period</w:t>
      </w:r>
    </w:p>
    <w:p w14:paraId="31A7CB7F" w14:textId="0F67B36F" w:rsidR="00FB493A" w:rsidRDefault="00FB493A" w:rsidP="00A57F35">
      <w:pPr>
        <w:pStyle w:val="ListBullet"/>
      </w:pPr>
      <w:r>
        <w:t>Measurable financial reporting period</w:t>
      </w:r>
    </w:p>
    <w:p w14:paraId="0D369451" w14:textId="069ED825" w:rsidR="00FB493A" w:rsidRDefault="00FB493A" w:rsidP="00A57F35">
      <w:pPr>
        <w:pStyle w:val="ListBullet"/>
      </w:pPr>
      <w:r>
        <w:t>Years open</w:t>
      </w:r>
    </w:p>
    <w:p w14:paraId="01E49E5A" w14:textId="4695E2A5" w:rsidR="00FB493A" w:rsidRDefault="005217A8" w:rsidP="00A57F35">
      <w:pPr>
        <w:pStyle w:val="ListBullet"/>
      </w:pPr>
      <w:r>
        <w:t>Whether p</w:t>
      </w:r>
      <w:r w:rsidR="00FB493A">
        <w:t>harmacy has been open at least one year</w:t>
      </w:r>
    </w:p>
    <w:p w14:paraId="3A9B9BA4" w14:textId="3F1A0D16" w:rsidR="00FB493A" w:rsidRDefault="00FB493A" w:rsidP="00A57F35">
      <w:pPr>
        <w:pStyle w:val="ListBullet"/>
      </w:pPr>
      <w:r>
        <w:t>Prescription area square footage</w:t>
      </w:r>
    </w:p>
    <w:p w14:paraId="7EAEBE37" w14:textId="4CCC8320" w:rsidR="00FB493A" w:rsidRDefault="00FB493A" w:rsidP="00A57F35">
      <w:pPr>
        <w:pStyle w:val="ListBullet"/>
      </w:pPr>
      <w:r>
        <w:t>Total square footage</w:t>
      </w:r>
    </w:p>
    <w:p w14:paraId="10C43A72" w14:textId="132D4B7A" w:rsidR="00FB493A" w:rsidRDefault="00FB493A" w:rsidP="00A57F35">
      <w:pPr>
        <w:pStyle w:val="ListBullet"/>
      </w:pPr>
      <w:r>
        <w:t>Total number of prescriptions</w:t>
      </w:r>
    </w:p>
    <w:p w14:paraId="5302E1A2" w14:textId="04E7DB67" w:rsidR="00FB493A" w:rsidRDefault="00FB493A" w:rsidP="00A57F35">
      <w:pPr>
        <w:pStyle w:val="ListBullet"/>
      </w:pPr>
      <w:r>
        <w:t>Prescription sales (not including over</w:t>
      </w:r>
      <w:r w:rsidR="00886711">
        <w:t>-</w:t>
      </w:r>
      <w:r>
        <w:t>the</w:t>
      </w:r>
      <w:r w:rsidR="00886711">
        <w:t>-</w:t>
      </w:r>
      <w:r>
        <w:t xml:space="preserve">counter </w:t>
      </w:r>
      <w:r w:rsidR="00CE074E">
        <w:t>[</w:t>
      </w:r>
      <w:r>
        <w:t>OTC</w:t>
      </w:r>
      <w:r w:rsidR="00CE074E">
        <w:t>]</w:t>
      </w:r>
      <w:r>
        <w:t xml:space="preserve"> sales)</w:t>
      </w:r>
    </w:p>
    <w:p w14:paraId="3096E2DD" w14:textId="0D9AAAF4" w:rsidR="00FB493A" w:rsidRDefault="00FB493A" w:rsidP="00A57F35">
      <w:pPr>
        <w:pStyle w:val="ListBullet"/>
      </w:pPr>
      <w:r>
        <w:t>Total sales</w:t>
      </w:r>
    </w:p>
    <w:p w14:paraId="2789F80D" w14:textId="7F7684C6" w:rsidR="00FB493A" w:rsidRDefault="00FB493A" w:rsidP="00A57F35">
      <w:pPr>
        <w:pStyle w:val="ListBullet"/>
      </w:pPr>
      <w:r>
        <w:t>Prescription department payroll</w:t>
      </w:r>
    </w:p>
    <w:p w14:paraId="72FDD44D" w14:textId="5F70CC11" w:rsidR="00FB493A" w:rsidRDefault="00FB493A" w:rsidP="00A57F35">
      <w:pPr>
        <w:pStyle w:val="ListBullet"/>
      </w:pPr>
      <w:r>
        <w:t>Total prescription department costs</w:t>
      </w:r>
    </w:p>
    <w:p w14:paraId="0EC6760D" w14:textId="241243CA" w:rsidR="00FB493A" w:rsidRDefault="00FB493A" w:rsidP="00A57F35">
      <w:pPr>
        <w:pStyle w:val="ListBullet"/>
      </w:pPr>
      <w:r>
        <w:t>Total facility costs</w:t>
      </w:r>
    </w:p>
    <w:p w14:paraId="6EAB8FBC" w14:textId="263C3307" w:rsidR="00FB493A" w:rsidRDefault="00FB493A" w:rsidP="00A57F35">
      <w:pPr>
        <w:pStyle w:val="ListBullet"/>
      </w:pPr>
      <w:r>
        <w:t>Total overhead costs</w:t>
      </w:r>
    </w:p>
    <w:p w14:paraId="46B61648" w14:textId="745B2BB4" w:rsidR="00FB493A" w:rsidRDefault="00FB493A" w:rsidP="00A57F35">
      <w:pPr>
        <w:pStyle w:val="ListBullet"/>
      </w:pPr>
      <w:r>
        <w:t>Total sales less than total costs of dispensing</w:t>
      </w:r>
    </w:p>
    <w:p w14:paraId="5281B314" w14:textId="2D3B8A92" w:rsidR="00FB493A" w:rsidRDefault="00FB493A" w:rsidP="00A57F35">
      <w:pPr>
        <w:pStyle w:val="ListBullet"/>
      </w:pPr>
      <w:r>
        <w:t>Specialty pharmacies reporting count and sales of specialty prescriptions</w:t>
      </w:r>
    </w:p>
    <w:p w14:paraId="54BFE7D2" w14:textId="20330C35" w:rsidR="00FB493A" w:rsidRDefault="00FB493A" w:rsidP="00A57F35">
      <w:r>
        <w:t>Responses missing critical information required to calculate the average cost of dispensing per prescription were unusable and excluded from the analysis. Table 1 reports the numbers and reasons for responses excluded from the sample.</w:t>
      </w:r>
    </w:p>
    <w:p w14:paraId="612D5028" w14:textId="584DAEEA" w:rsidR="00FB493A" w:rsidRPr="00BF1719" w:rsidRDefault="00FB493A" w:rsidP="00BF1719">
      <w:pPr>
        <w:pStyle w:val="TableHeadingText"/>
        <w:rPr>
          <w:color w:val="002C77" w:themeColor="text1"/>
        </w:rPr>
      </w:pPr>
      <w:r w:rsidRPr="00BF1719">
        <w:rPr>
          <w:color w:val="002C77" w:themeColor="text1"/>
        </w:rPr>
        <w:lastRenderedPageBreak/>
        <w:t xml:space="preserve">Table 1: Accounting of </w:t>
      </w:r>
      <w:r w:rsidR="00633537" w:rsidRPr="00BF1719">
        <w:rPr>
          <w:color w:val="002C77" w:themeColor="text1"/>
        </w:rPr>
        <w:t xml:space="preserve">Unusable Responses </w:t>
      </w:r>
      <w:r w:rsidRPr="00BF1719">
        <w:rPr>
          <w:color w:val="002C77" w:themeColor="text1"/>
        </w:rPr>
        <w:t xml:space="preserve">— </w:t>
      </w:r>
      <w:r w:rsidR="00633537" w:rsidRPr="00BF1719">
        <w:rPr>
          <w:color w:val="002C77" w:themeColor="text1"/>
        </w:rPr>
        <w:t xml:space="preserve">Missing Data </w:t>
      </w:r>
      <w:r w:rsidRPr="00BF1719">
        <w:rPr>
          <w:color w:val="002C77" w:themeColor="text1"/>
        </w:rPr>
        <w:t xml:space="preserve">or </w:t>
      </w:r>
      <w:r w:rsidR="00633537" w:rsidRPr="00BF1719">
        <w:rPr>
          <w:color w:val="002C77" w:themeColor="text1"/>
        </w:rPr>
        <w:t>Logical Errors</w:t>
      </w:r>
      <w:r w:rsidR="00BF1719" w:rsidRPr="00BF1719">
        <w:rPr>
          <w:color w:val="002C77" w:themeColor="text1"/>
          <w:vertAlign w:val="superscript"/>
        </w:rPr>
        <w:t>1</w:t>
      </w:r>
    </w:p>
    <w:tbl>
      <w:tblPr>
        <w:tblStyle w:val="MMCTable"/>
        <w:tblW w:w="5000" w:type="pct"/>
        <w:tblLook w:val="04A0" w:firstRow="1" w:lastRow="0" w:firstColumn="1" w:lastColumn="0" w:noHBand="0" w:noVBand="1"/>
      </w:tblPr>
      <w:tblGrid>
        <w:gridCol w:w="5580"/>
        <w:gridCol w:w="3491"/>
      </w:tblGrid>
      <w:tr w:rsidR="00ED6E3F" w:rsidRPr="00323067" w14:paraId="6C1BCC6D" w14:textId="77777777" w:rsidTr="001357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76" w:type="pct"/>
            <w:tcBorders>
              <w:bottom w:val="single" w:sz="4" w:space="0" w:color="FFFFFF" w:themeColor="background1"/>
            </w:tcBorders>
            <w:vAlign w:val="top"/>
          </w:tcPr>
          <w:p w14:paraId="1CB0CD1A" w14:textId="77777777" w:rsidR="00ED6E3F" w:rsidRPr="00323067" w:rsidRDefault="00ED6E3F" w:rsidP="00A57F35">
            <w:pPr>
              <w:pStyle w:val="TableHeadingText"/>
              <w:rPr>
                <w:b/>
              </w:rPr>
            </w:pPr>
            <w:r w:rsidRPr="00323067">
              <w:rPr>
                <w:b/>
              </w:rPr>
              <w:t>Reason</w:t>
            </w:r>
          </w:p>
        </w:tc>
        <w:tc>
          <w:tcPr>
            <w:tcW w:w="1924" w:type="pct"/>
            <w:tcBorders>
              <w:bottom w:val="single" w:sz="4" w:space="0" w:color="FFFFFF" w:themeColor="background1"/>
            </w:tcBorders>
          </w:tcPr>
          <w:p w14:paraId="45B92DB8" w14:textId="711723FF" w:rsidR="00ED6E3F" w:rsidRPr="00323067" w:rsidRDefault="00ED6E3F" w:rsidP="00A57F35">
            <w:pPr>
              <w:pStyle w:val="TableHeadingText"/>
              <w:cnfStyle w:val="100000000000" w:firstRow="1" w:lastRow="0" w:firstColumn="0" w:lastColumn="0" w:oddVBand="0" w:evenVBand="0" w:oddHBand="0" w:evenHBand="0" w:firstRowFirstColumn="0" w:firstRowLastColumn="0" w:lastRowFirstColumn="0" w:lastRowLastColumn="0"/>
              <w:rPr>
                <w:b/>
              </w:rPr>
            </w:pPr>
            <w:r w:rsidRPr="00323067">
              <w:rPr>
                <w:b/>
              </w:rPr>
              <w:t>Number Dropped from Sample</w:t>
            </w:r>
            <w:r w:rsidR="00CE074E" w:rsidRPr="00323067">
              <w:rPr>
                <w:rStyle w:val="FootnoteReference"/>
                <w:b/>
              </w:rPr>
              <w:footnoteReference w:id="1"/>
            </w:r>
          </w:p>
        </w:tc>
      </w:tr>
      <w:tr w:rsidR="00221151" w:rsidRPr="00323067" w14:paraId="713A0244" w14:textId="77777777" w:rsidTr="00135738">
        <w:tc>
          <w:tcPr>
            <w:cnfStyle w:val="001000000000" w:firstRow="0" w:lastRow="0" w:firstColumn="1" w:lastColumn="0" w:oddVBand="0" w:evenVBand="0" w:oddHBand="0" w:evenHBand="0" w:firstRowFirstColumn="0" w:firstRowLastColumn="0" w:lastRowFirstColumn="0" w:lastRowLastColumn="0"/>
            <w:tcW w:w="3076" w:type="pct"/>
            <w:tcBorders>
              <w:top w:val="single" w:sz="4" w:space="0" w:color="FFFFFF" w:themeColor="background1"/>
              <w:bottom w:val="single" w:sz="4" w:space="0" w:color="FFFFFF" w:themeColor="background1"/>
              <w:right w:val="single" w:sz="4" w:space="0" w:color="FFFFFF" w:themeColor="background1"/>
            </w:tcBorders>
            <w:shd w:val="clear" w:color="auto" w:fill="F2F2F2"/>
          </w:tcPr>
          <w:p w14:paraId="017E509C" w14:textId="77777777" w:rsidR="00ED6E3F" w:rsidRPr="00323067" w:rsidRDefault="00ED6E3F" w:rsidP="00A57F35">
            <w:pPr>
              <w:pStyle w:val="TableText"/>
              <w:rPr>
                <w:b w:val="0"/>
                <w:bCs/>
              </w:rPr>
            </w:pPr>
            <w:r w:rsidRPr="00323067">
              <w:rPr>
                <w:b w:val="0"/>
                <w:bCs/>
              </w:rPr>
              <w:t>Missing or Invalid Financial Period</w:t>
            </w:r>
          </w:p>
        </w:tc>
        <w:tc>
          <w:tcPr>
            <w:tcW w:w="1924" w:type="pct"/>
            <w:tcBorders>
              <w:top w:val="single" w:sz="4" w:space="0" w:color="FFFFFF" w:themeColor="background1"/>
              <w:left w:val="single" w:sz="4" w:space="0" w:color="FFFFFF" w:themeColor="background1"/>
              <w:bottom w:val="single" w:sz="4" w:space="0" w:color="FFFFFF" w:themeColor="background1"/>
            </w:tcBorders>
            <w:shd w:val="clear" w:color="auto" w:fill="F2F2F2"/>
          </w:tcPr>
          <w:p w14:paraId="65E7306F" w14:textId="2D9A6E5B" w:rsidR="00ED6E3F" w:rsidRPr="00323067" w:rsidRDefault="00ED6E3F" w:rsidP="00A57F35">
            <w:pPr>
              <w:pStyle w:val="TableText"/>
              <w:cnfStyle w:val="000000000000" w:firstRow="0" w:lastRow="0" w:firstColumn="0" w:lastColumn="0" w:oddVBand="0" w:evenVBand="0" w:oddHBand="0" w:evenHBand="0" w:firstRowFirstColumn="0" w:firstRowLastColumn="0" w:lastRowFirstColumn="0" w:lastRowLastColumn="0"/>
              <w:rPr>
                <w:bCs/>
              </w:rPr>
            </w:pPr>
            <w:r w:rsidRPr="00323067">
              <w:rPr>
                <w:bCs/>
              </w:rPr>
              <w:t>17</w:t>
            </w:r>
          </w:p>
        </w:tc>
      </w:tr>
      <w:tr w:rsidR="00221151" w:rsidRPr="00323067" w14:paraId="20791D40" w14:textId="77777777" w:rsidTr="001357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6" w:type="pct"/>
            <w:tcBorders>
              <w:top w:val="single" w:sz="4" w:space="0" w:color="FFFFFF" w:themeColor="background1"/>
              <w:bottom w:val="single" w:sz="4" w:space="0" w:color="FFFFFF" w:themeColor="background1"/>
              <w:right w:val="single" w:sz="4" w:space="0" w:color="FFFFFF" w:themeColor="background1"/>
            </w:tcBorders>
            <w:shd w:val="clear" w:color="auto" w:fill="F2F2F2"/>
          </w:tcPr>
          <w:p w14:paraId="5975DE3E" w14:textId="77777777" w:rsidR="00ED6E3F" w:rsidRPr="00323067" w:rsidRDefault="00ED6E3F" w:rsidP="00A57F35">
            <w:pPr>
              <w:pStyle w:val="TableText"/>
              <w:rPr>
                <w:b w:val="0"/>
                <w:bCs/>
              </w:rPr>
            </w:pPr>
            <w:r w:rsidRPr="00323067">
              <w:rPr>
                <w:b w:val="0"/>
                <w:bCs/>
              </w:rPr>
              <w:t>Missing Pharmacy Department Area Square Footage</w:t>
            </w:r>
          </w:p>
        </w:tc>
        <w:tc>
          <w:tcPr>
            <w:tcW w:w="1924" w:type="pct"/>
            <w:tcBorders>
              <w:top w:val="single" w:sz="4" w:space="0" w:color="FFFFFF" w:themeColor="background1"/>
              <w:left w:val="single" w:sz="4" w:space="0" w:color="FFFFFF" w:themeColor="background1"/>
              <w:bottom w:val="single" w:sz="4" w:space="0" w:color="FFFFFF" w:themeColor="background1"/>
            </w:tcBorders>
            <w:shd w:val="clear" w:color="auto" w:fill="F2F2F2"/>
          </w:tcPr>
          <w:p w14:paraId="19DBCDF6" w14:textId="42CFB434" w:rsidR="00ED6E3F" w:rsidRPr="00323067" w:rsidRDefault="00ED6E3F" w:rsidP="00A57F35">
            <w:pPr>
              <w:pStyle w:val="TableText"/>
              <w:cnfStyle w:val="000000010000" w:firstRow="0" w:lastRow="0" w:firstColumn="0" w:lastColumn="0" w:oddVBand="0" w:evenVBand="0" w:oddHBand="0" w:evenHBand="1" w:firstRowFirstColumn="0" w:firstRowLastColumn="0" w:lastRowFirstColumn="0" w:lastRowLastColumn="0"/>
              <w:rPr>
                <w:bCs/>
              </w:rPr>
            </w:pPr>
            <w:r w:rsidRPr="00323067">
              <w:rPr>
                <w:bCs/>
              </w:rPr>
              <w:t>7</w:t>
            </w:r>
          </w:p>
        </w:tc>
      </w:tr>
      <w:tr w:rsidR="00221151" w:rsidRPr="00323067" w14:paraId="1B785157" w14:textId="77777777" w:rsidTr="00135738">
        <w:tc>
          <w:tcPr>
            <w:cnfStyle w:val="001000000000" w:firstRow="0" w:lastRow="0" w:firstColumn="1" w:lastColumn="0" w:oddVBand="0" w:evenVBand="0" w:oddHBand="0" w:evenHBand="0" w:firstRowFirstColumn="0" w:firstRowLastColumn="0" w:lastRowFirstColumn="0" w:lastRowLastColumn="0"/>
            <w:tcW w:w="3076" w:type="pct"/>
            <w:tcBorders>
              <w:top w:val="single" w:sz="4" w:space="0" w:color="FFFFFF" w:themeColor="background1"/>
              <w:bottom w:val="single" w:sz="4" w:space="0" w:color="FFFFFF" w:themeColor="background1"/>
              <w:right w:val="single" w:sz="4" w:space="0" w:color="FFFFFF" w:themeColor="background1"/>
            </w:tcBorders>
            <w:shd w:val="clear" w:color="auto" w:fill="F2F2F2"/>
          </w:tcPr>
          <w:p w14:paraId="6163F3A5" w14:textId="77777777" w:rsidR="00ED6E3F" w:rsidRPr="00323067" w:rsidRDefault="00ED6E3F" w:rsidP="00A57F35">
            <w:pPr>
              <w:pStyle w:val="TableText"/>
              <w:rPr>
                <w:b w:val="0"/>
                <w:bCs/>
              </w:rPr>
            </w:pPr>
            <w:r w:rsidRPr="00323067">
              <w:rPr>
                <w:b w:val="0"/>
                <w:bCs/>
              </w:rPr>
              <w:t>Missing Total Square Footage</w:t>
            </w:r>
          </w:p>
        </w:tc>
        <w:tc>
          <w:tcPr>
            <w:tcW w:w="1924" w:type="pct"/>
            <w:tcBorders>
              <w:top w:val="single" w:sz="4" w:space="0" w:color="FFFFFF" w:themeColor="background1"/>
              <w:left w:val="single" w:sz="4" w:space="0" w:color="FFFFFF" w:themeColor="background1"/>
              <w:bottom w:val="single" w:sz="4" w:space="0" w:color="FFFFFF" w:themeColor="background1"/>
            </w:tcBorders>
            <w:shd w:val="clear" w:color="auto" w:fill="F2F2F2"/>
          </w:tcPr>
          <w:p w14:paraId="5286E126" w14:textId="1D294664" w:rsidR="00ED6E3F" w:rsidRPr="00323067" w:rsidRDefault="00ED6E3F" w:rsidP="00A57F35">
            <w:pPr>
              <w:pStyle w:val="TableText"/>
              <w:cnfStyle w:val="000000000000" w:firstRow="0" w:lastRow="0" w:firstColumn="0" w:lastColumn="0" w:oddVBand="0" w:evenVBand="0" w:oddHBand="0" w:evenHBand="0" w:firstRowFirstColumn="0" w:firstRowLastColumn="0" w:lastRowFirstColumn="0" w:lastRowLastColumn="0"/>
              <w:rPr>
                <w:bCs/>
              </w:rPr>
            </w:pPr>
            <w:r w:rsidRPr="00323067">
              <w:rPr>
                <w:bCs/>
              </w:rPr>
              <w:t>7</w:t>
            </w:r>
          </w:p>
        </w:tc>
      </w:tr>
      <w:tr w:rsidR="00221151" w:rsidRPr="00323067" w14:paraId="72DAE66A" w14:textId="77777777" w:rsidTr="001357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6" w:type="pct"/>
            <w:tcBorders>
              <w:top w:val="single" w:sz="4" w:space="0" w:color="FFFFFF" w:themeColor="background1"/>
              <w:bottom w:val="single" w:sz="4" w:space="0" w:color="FFFFFF" w:themeColor="background1"/>
              <w:right w:val="single" w:sz="4" w:space="0" w:color="FFFFFF" w:themeColor="background1"/>
            </w:tcBorders>
            <w:shd w:val="clear" w:color="auto" w:fill="F2F2F2"/>
          </w:tcPr>
          <w:p w14:paraId="71D5249C" w14:textId="77777777" w:rsidR="00ED6E3F" w:rsidRPr="00323067" w:rsidRDefault="00ED6E3F" w:rsidP="00A57F35">
            <w:pPr>
              <w:pStyle w:val="TableText"/>
              <w:rPr>
                <w:b w:val="0"/>
                <w:bCs/>
              </w:rPr>
            </w:pPr>
            <w:r w:rsidRPr="00323067">
              <w:rPr>
                <w:b w:val="0"/>
                <w:bCs/>
              </w:rPr>
              <w:t>Missing Total Number of Prescriptions</w:t>
            </w:r>
          </w:p>
        </w:tc>
        <w:tc>
          <w:tcPr>
            <w:tcW w:w="1924" w:type="pct"/>
            <w:tcBorders>
              <w:top w:val="single" w:sz="4" w:space="0" w:color="FFFFFF" w:themeColor="background1"/>
              <w:left w:val="single" w:sz="4" w:space="0" w:color="FFFFFF" w:themeColor="background1"/>
              <w:bottom w:val="single" w:sz="4" w:space="0" w:color="FFFFFF" w:themeColor="background1"/>
            </w:tcBorders>
            <w:shd w:val="clear" w:color="auto" w:fill="F2F2F2"/>
          </w:tcPr>
          <w:p w14:paraId="18EA62BF" w14:textId="288696CB" w:rsidR="00ED6E3F" w:rsidRPr="00323067" w:rsidRDefault="00ED6E3F" w:rsidP="00A57F35">
            <w:pPr>
              <w:pStyle w:val="TableText"/>
              <w:cnfStyle w:val="000000010000" w:firstRow="0" w:lastRow="0" w:firstColumn="0" w:lastColumn="0" w:oddVBand="0" w:evenVBand="0" w:oddHBand="0" w:evenHBand="1" w:firstRowFirstColumn="0" w:firstRowLastColumn="0" w:lastRowFirstColumn="0" w:lastRowLastColumn="0"/>
              <w:rPr>
                <w:bCs/>
              </w:rPr>
            </w:pPr>
            <w:r w:rsidRPr="00323067">
              <w:rPr>
                <w:bCs/>
              </w:rPr>
              <w:t>8</w:t>
            </w:r>
          </w:p>
        </w:tc>
      </w:tr>
      <w:tr w:rsidR="00221151" w:rsidRPr="00323067" w14:paraId="1804927B" w14:textId="77777777" w:rsidTr="00135738">
        <w:tc>
          <w:tcPr>
            <w:cnfStyle w:val="001000000000" w:firstRow="0" w:lastRow="0" w:firstColumn="1" w:lastColumn="0" w:oddVBand="0" w:evenVBand="0" w:oddHBand="0" w:evenHBand="0" w:firstRowFirstColumn="0" w:firstRowLastColumn="0" w:lastRowFirstColumn="0" w:lastRowLastColumn="0"/>
            <w:tcW w:w="3076" w:type="pct"/>
            <w:tcBorders>
              <w:top w:val="single" w:sz="4" w:space="0" w:color="FFFFFF" w:themeColor="background1"/>
              <w:bottom w:val="single" w:sz="4" w:space="0" w:color="FFFFFF" w:themeColor="background1"/>
              <w:right w:val="single" w:sz="4" w:space="0" w:color="FFFFFF" w:themeColor="background1"/>
            </w:tcBorders>
            <w:shd w:val="clear" w:color="auto" w:fill="F2F2F2"/>
          </w:tcPr>
          <w:p w14:paraId="52C67714" w14:textId="77777777" w:rsidR="00ED6E3F" w:rsidRPr="00323067" w:rsidRDefault="00ED6E3F" w:rsidP="00A57F35">
            <w:pPr>
              <w:pStyle w:val="TableText"/>
              <w:rPr>
                <w:b w:val="0"/>
                <w:bCs/>
              </w:rPr>
            </w:pPr>
            <w:r w:rsidRPr="00323067">
              <w:rPr>
                <w:b w:val="0"/>
                <w:bCs/>
              </w:rPr>
              <w:t>Missing Prescription Sales</w:t>
            </w:r>
          </w:p>
        </w:tc>
        <w:tc>
          <w:tcPr>
            <w:tcW w:w="1924" w:type="pct"/>
            <w:tcBorders>
              <w:top w:val="single" w:sz="4" w:space="0" w:color="FFFFFF" w:themeColor="background1"/>
              <w:left w:val="single" w:sz="4" w:space="0" w:color="FFFFFF" w:themeColor="background1"/>
              <w:bottom w:val="single" w:sz="4" w:space="0" w:color="FFFFFF" w:themeColor="background1"/>
            </w:tcBorders>
            <w:shd w:val="clear" w:color="auto" w:fill="F2F2F2"/>
          </w:tcPr>
          <w:p w14:paraId="22D31CCC" w14:textId="043A30A1" w:rsidR="00ED6E3F" w:rsidRPr="00323067" w:rsidRDefault="00ED6E3F" w:rsidP="00A57F35">
            <w:pPr>
              <w:pStyle w:val="TableText"/>
              <w:cnfStyle w:val="000000000000" w:firstRow="0" w:lastRow="0" w:firstColumn="0" w:lastColumn="0" w:oddVBand="0" w:evenVBand="0" w:oddHBand="0" w:evenHBand="0" w:firstRowFirstColumn="0" w:firstRowLastColumn="0" w:lastRowFirstColumn="0" w:lastRowLastColumn="0"/>
              <w:rPr>
                <w:bCs/>
              </w:rPr>
            </w:pPr>
            <w:r w:rsidRPr="00323067">
              <w:rPr>
                <w:bCs/>
              </w:rPr>
              <w:t>13</w:t>
            </w:r>
          </w:p>
        </w:tc>
      </w:tr>
      <w:tr w:rsidR="00221151" w:rsidRPr="00323067" w14:paraId="15802C8D" w14:textId="77777777" w:rsidTr="001357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6" w:type="pct"/>
            <w:tcBorders>
              <w:top w:val="single" w:sz="4" w:space="0" w:color="FFFFFF" w:themeColor="background1"/>
              <w:bottom w:val="single" w:sz="4" w:space="0" w:color="FFFFFF" w:themeColor="background1"/>
              <w:right w:val="single" w:sz="4" w:space="0" w:color="FFFFFF" w:themeColor="background1"/>
            </w:tcBorders>
            <w:shd w:val="clear" w:color="auto" w:fill="F2F2F2"/>
          </w:tcPr>
          <w:p w14:paraId="02744065" w14:textId="77777777" w:rsidR="00ED6E3F" w:rsidRPr="00323067" w:rsidRDefault="00ED6E3F" w:rsidP="00A57F35">
            <w:pPr>
              <w:pStyle w:val="TableText"/>
              <w:rPr>
                <w:b w:val="0"/>
                <w:bCs/>
              </w:rPr>
            </w:pPr>
            <w:r w:rsidRPr="00323067">
              <w:rPr>
                <w:b w:val="0"/>
                <w:bCs/>
              </w:rPr>
              <w:t>Missing Total Sales</w:t>
            </w:r>
          </w:p>
        </w:tc>
        <w:tc>
          <w:tcPr>
            <w:tcW w:w="1924" w:type="pct"/>
            <w:tcBorders>
              <w:top w:val="single" w:sz="4" w:space="0" w:color="FFFFFF" w:themeColor="background1"/>
              <w:left w:val="single" w:sz="4" w:space="0" w:color="FFFFFF" w:themeColor="background1"/>
              <w:bottom w:val="single" w:sz="4" w:space="0" w:color="FFFFFF" w:themeColor="background1"/>
            </w:tcBorders>
            <w:shd w:val="clear" w:color="auto" w:fill="F2F2F2"/>
          </w:tcPr>
          <w:p w14:paraId="40D70FA6" w14:textId="0815149C" w:rsidR="00ED6E3F" w:rsidRPr="00323067" w:rsidRDefault="00ED6E3F" w:rsidP="00A57F35">
            <w:pPr>
              <w:pStyle w:val="TableText"/>
              <w:cnfStyle w:val="000000010000" w:firstRow="0" w:lastRow="0" w:firstColumn="0" w:lastColumn="0" w:oddVBand="0" w:evenVBand="0" w:oddHBand="0" w:evenHBand="1" w:firstRowFirstColumn="0" w:firstRowLastColumn="0" w:lastRowFirstColumn="0" w:lastRowLastColumn="0"/>
              <w:rPr>
                <w:bCs/>
              </w:rPr>
            </w:pPr>
            <w:r w:rsidRPr="00323067">
              <w:rPr>
                <w:bCs/>
              </w:rPr>
              <w:t>9</w:t>
            </w:r>
          </w:p>
        </w:tc>
      </w:tr>
      <w:tr w:rsidR="00221151" w:rsidRPr="00323067" w14:paraId="7A808022" w14:textId="77777777" w:rsidTr="00135738">
        <w:tc>
          <w:tcPr>
            <w:cnfStyle w:val="001000000000" w:firstRow="0" w:lastRow="0" w:firstColumn="1" w:lastColumn="0" w:oddVBand="0" w:evenVBand="0" w:oddHBand="0" w:evenHBand="0" w:firstRowFirstColumn="0" w:firstRowLastColumn="0" w:lastRowFirstColumn="0" w:lastRowLastColumn="0"/>
            <w:tcW w:w="3076" w:type="pct"/>
            <w:tcBorders>
              <w:top w:val="single" w:sz="4" w:space="0" w:color="FFFFFF" w:themeColor="background1"/>
              <w:bottom w:val="single" w:sz="4" w:space="0" w:color="FFFFFF" w:themeColor="background1"/>
              <w:right w:val="single" w:sz="4" w:space="0" w:color="FFFFFF" w:themeColor="background1"/>
            </w:tcBorders>
            <w:shd w:val="clear" w:color="auto" w:fill="F2F2F2"/>
          </w:tcPr>
          <w:p w14:paraId="7139CE26" w14:textId="77777777" w:rsidR="00ED6E3F" w:rsidRPr="00323067" w:rsidRDefault="00ED6E3F" w:rsidP="00A57F35">
            <w:pPr>
              <w:pStyle w:val="TableText"/>
              <w:rPr>
                <w:b w:val="0"/>
                <w:bCs/>
              </w:rPr>
            </w:pPr>
            <w:r w:rsidRPr="00323067">
              <w:rPr>
                <w:b w:val="0"/>
                <w:bCs/>
              </w:rPr>
              <w:t>Missing Prescription Department Payroll</w:t>
            </w:r>
          </w:p>
        </w:tc>
        <w:tc>
          <w:tcPr>
            <w:tcW w:w="1924" w:type="pct"/>
            <w:tcBorders>
              <w:top w:val="single" w:sz="4" w:space="0" w:color="FFFFFF" w:themeColor="background1"/>
              <w:left w:val="single" w:sz="4" w:space="0" w:color="FFFFFF" w:themeColor="background1"/>
              <w:bottom w:val="single" w:sz="4" w:space="0" w:color="FFFFFF" w:themeColor="background1"/>
            </w:tcBorders>
            <w:shd w:val="clear" w:color="auto" w:fill="F2F2F2"/>
          </w:tcPr>
          <w:p w14:paraId="51A67918" w14:textId="45C6F83F" w:rsidR="00ED6E3F" w:rsidRPr="00323067" w:rsidRDefault="00ED6E3F" w:rsidP="00A57F35">
            <w:pPr>
              <w:pStyle w:val="TableText"/>
              <w:cnfStyle w:val="000000000000" w:firstRow="0" w:lastRow="0" w:firstColumn="0" w:lastColumn="0" w:oddVBand="0" w:evenVBand="0" w:oddHBand="0" w:evenHBand="0" w:firstRowFirstColumn="0" w:firstRowLastColumn="0" w:lastRowFirstColumn="0" w:lastRowLastColumn="0"/>
              <w:rPr>
                <w:bCs/>
              </w:rPr>
            </w:pPr>
            <w:r w:rsidRPr="00323067">
              <w:rPr>
                <w:bCs/>
              </w:rPr>
              <w:t>11</w:t>
            </w:r>
          </w:p>
        </w:tc>
      </w:tr>
      <w:tr w:rsidR="00221151" w:rsidRPr="00323067" w14:paraId="54407BA4" w14:textId="77777777" w:rsidTr="001357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6" w:type="pct"/>
            <w:tcBorders>
              <w:top w:val="single" w:sz="4" w:space="0" w:color="FFFFFF" w:themeColor="background1"/>
              <w:bottom w:val="single" w:sz="4" w:space="0" w:color="FFFFFF" w:themeColor="background1"/>
              <w:right w:val="single" w:sz="4" w:space="0" w:color="FFFFFF" w:themeColor="background1"/>
            </w:tcBorders>
            <w:shd w:val="clear" w:color="auto" w:fill="F2F2F2"/>
          </w:tcPr>
          <w:p w14:paraId="2EC08034" w14:textId="77777777" w:rsidR="00ED6E3F" w:rsidRPr="00323067" w:rsidRDefault="00ED6E3F" w:rsidP="00A57F35">
            <w:pPr>
              <w:pStyle w:val="TableText"/>
              <w:rPr>
                <w:b w:val="0"/>
                <w:bCs/>
              </w:rPr>
            </w:pPr>
            <w:r w:rsidRPr="00323067">
              <w:rPr>
                <w:b w:val="0"/>
                <w:bCs/>
              </w:rPr>
              <w:t>Missing Prescription Department Expenses</w:t>
            </w:r>
          </w:p>
        </w:tc>
        <w:tc>
          <w:tcPr>
            <w:tcW w:w="1924" w:type="pct"/>
            <w:tcBorders>
              <w:top w:val="single" w:sz="4" w:space="0" w:color="FFFFFF" w:themeColor="background1"/>
              <w:left w:val="single" w:sz="4" w:space="0" w:color="FFFFFF" w:themeColor="background1"/>
              <w:bottom w:val="single" w:sz="4" w:space="0" w:color="FFFFFF" w:themeColor="background1"/>
            </w:tcBorders>
            <w:shd w:val="clear" w:color="auto" w:fill="F2F2F2"/>
          </w:tcPr>
          <w:p w14:paraId="2A031B71" w14:textId="603B4398" w:rsidR="00ED6E3F" w:rsidRPr="00323067" w:rsidRDefault="00ED6E3F" w:rsidP="00A57F35">
            <w:pPr>
              <w:pStyle w:val="TableText"/>
              <w:cnfStyle w:val="000000010000" w:firstRow="0" w:lastRow="0" w:firstColumn="0" w:lastColumn="0" w:oddVBand="0" w:evenVBand="0" w:oddHBand="0" w:evenHBand="1" w:firstRowFirstColumn="0" w:firstRowLastColumn="0" w:lastRowFirstColumn="0" w:lastRowLastColumn="0"/>
              <w:rPr>
                <w:bCs/>
              </w:rPr>
            </w:pPr>
            <w:r w:rsidRPr="00323067">
              <w:rPr>
                <w:bCs/>
              </w:rPr>
              <w:t>13</w:t>
            </w:r>
          </w:p>
        </w:tc>
      </w:tr>
      <w:tr w:rsidR="00221151" w:rsidRPr="00323067" w14:paraId="77A4369B" w14:textId="77777777" w:rsidTr="00135738">
        <w:tc>
          <w:tcPr>
            <w:cnfStyle w:val="001000000000" w:firstRow="0" w:lastRow="0" w:firstColumn="1" w:lastColumn="0" w:oddVBand="0" w:evenVBand="0" w:oddHBand="0" w:evenHBand="0" w:firstRowFirstColumn="0" w:firstRowLastColumn="0" w:lastRowFirstColumn="0" w:lastRowLastColumn="0"/>
            <w:tcW w:w="3076" w:type="pct"/>
            <w:tcBorders>
              <w:top w:val="single" w:sz="4" w:space="0" w:color="FFFFFF" w:themeColor="background1"/>
              <w:bottom w:val="single" w:sz="4" w:space="0" w:color="FFFFFF" w:themeColor="background1"/>
              <w:right w:val="single" w:sz="4" w:space="0" w:color="FFFFFF" w:themeColor="background1"/>
            </w:tcBorders>
            <w:shd w:val="clear" w:color="auto" w:fill="F2F2F2"/>
          </w:tcPr>
          <w:p w14:paraId="48D42841" w14:textId="77777777" w:rsidR="00ED6E3F" w:rsidRPr="00323067" w:rsidRDefault="00ED6E3F" w:rsidP="00A57F35">
            <w:pPr>
              <w:pStyle w:val="TableText"/>
              <w:rPr>
                <w:b w:val="0"/>
                <w:bCs/>
              </w:rPr>
            </w:pPr>
            <w:r w:rsidRPr="00323067">
              <w:rPr>
                <w:b w:val="0"/>
                <w:bCs/>
              </w:rPr>
              <w:t>Missing Overhead Costs</w:t>
            </w:r>
          </w:p>
        </w:tc>
        <w:tc>
          <w:tcPr>
            <w:tcW w:w="1924" w:type="pct"/>
            <w:tcBorders>
              <w:top w:val="single" w:sz="4" w:space="0" w:color="FFFFFF" w:themeColor="background1"/>
              <w:left w:val="single" w:sz="4" w:space="0" w:color="FFFFFF" w:themeColor="background1"/>
              <w:bottom w:val="single" w:sz="4" w:space="0" w:color="FFFFFF" w:themeColor="background1"/>
            </w:tcBorders>
            <w:shd w:val="clear" w:color="auto" w:fill="F2F2F2"/>
          </w:tcPr>
          <w:p w14:paraId="0E19321D" w14:textId="290D535F" w:rsidR="00ED6E3F" w:rsidRPr="00323067" w:rsidRDefault="00ED6E3F" w:rsidP="00A57F35">
            <w:pPr>
              <w:pStyle w:val="TableText"/>
              <w:cnfStyle w:val="000000000000" w:firstRow="0" w:lastRow="0" w:firstColumn="0" w:lastColumn="0" w:oddVBand="0" w:evenVBand="0" w:oddHBand="0" w:evenHBand="0" w:firstRowFirstColumn="0" w:firstRowLastColumn="0" w:lastRowFirstColumn="0" w:lastRowLastColumn="0"/>
              <w:rPr>
                <w:bCs/>
              </w:rPr>
            </w:pPr>
            <w:r w:rsidRPr="00323067">
              <w:rPr>
                <w:bCs/>
              </w:rPr>
              <w:t>24</w:t>
            </w:r>
          </w:p>
        </w:tc>
      </w:tr>
      <w:tr w:rsidR="00221151" w:rsidRPr="00323067" w14:paraId="3975E319" w14:textId="77777777" w:rsidTr="001357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6" w:type="pct"/>
            <w:tcBorders>
              <w:top w:val="single" w:sz="4" w:space="0" w:color="FFFFFF" w:themeColor="background1"/>
              <w:bottom w:val="single" w:sz="4" w:space="0" w:color="FFFFFF" w:themeColor="background1"/>
              <w:right w:val="single" w:sz="4" w:space="0" w:color="FFFFFF" w:themeColor="background1"/>
            </w:tcBorders>
            <w:shd w:val="clear" w:color="auto" w:fill="F2F2F2"/>
          </w:tcPr>
          <w:p w14:paraId="71CFE1B9" w14:textId="61680F6A" w:rsidR="00ED6E3F" w:rsidRPr="00323067" w:rsidRDefault="00ED6E3F" w:rsidP="00A57F35">
            <w:pPr>
              <w:pStyle w:val="TableText"/>
              <w:rPr>
                <w:b w:val="0"/>
                <w:bCs/>
              </w:rPr>
            </w:pPr>
            <w:r w:rsidRPr="00323067">
              <w:rPr>
                <w:b w:val="0"/>
                <w:bCs/>
              </w:rPr>
              <w:t>Costs of Dispensing Greater Than Total Sales</w:t>
            </w:r>
          </w:p>
        </w:tc>
        <w:tc>
          <w:tcPr>
            <w:tcW w:w="1924" w:type="pct"/>
            <w:tcBorders>
              <w:top w:val="single" w:sz="4" w:space="0" w:color="FFFFFF" w:themeColor="background1"/>
              <w:left w:val="single" w:sz="4" w:space="0" w:color="FFFFFF" w:themeColor="background1"/>
              <w:bottom w:val="single" w:sz="4" w:space="0" w:color="FFFFFF" w:themeColor="background1"/>
            </w:tcBorders>
            <w:shd w:val="clear" w:color="auto" w:fill="F2F2F2"/>
          </w:tcPr>
          <w:p w14:paraId="4F137B81" w14:textId="2C75BC26" w:rsidR="00ED6E3F" w:rsidRPr="00323067" w:rsidRDefault="00ED6E3F" w:rsidP="00A57F35">
            <w:pPr>
              <w:pStyle w:val="TableText"/>
              <w:cnfStyle w:val="000000010000" w:firstRow="0" w:lastRow="0" w:firstColumn="0" w:lastColumn="0" w:oddVBand="0" w:evenVBand="0" w:oddHBand="0" w:evenHBand="1" w:firstRowFirstColumn="0" w:firstRowLastColumn="0" w:lastRowFirstColumn="0" w:lastRowLastColumn="0"/>
              <w:rPr>
                <w:bCs/>
              </w:rPr>
            </w:pPr>
            <w:r w:rsidRPr="00323067">
              <w:rPr>
                <w:bCs/>
              </w:rPr>
              <w:t>15</w:t>
            </w:r>
          </w:p>
        </w:tc>
      </w:tr>
      <w:tr w:rsidR="00221151" w:rsidRPr="00323067" w14:paraId="2381BECB" w14:textId="77777777" w:rsidTr="00135738">
        <w:tc>
          <w:tcPr>
            <w:cnfStyle w:val="001000000000" w:firstRow="0" w:lastRow="0" w:firstColumn="1" w:lastColumn="0" w:oddVBand="0" w:evenVBand="0" w:oddHBand="0" w:evenHBand="0" w:firstRowFirstColumn="0" w:firstRowLastColumn="0" w:lastRowFirstColumn="0" w:lastRowLastColumn="0"/>
            <w:tcW w:w="3076" w:type="pct"/>
            <w:tcBorders>
              <w:top w:val="single" w:sz="4" w:space="0" w:color="FFFFFF" w:themeColor="background1"/>
              <w:bottom w:val="single" w:sz="4" w:space="0" w:color="FFFFFF" w:themeColor="background1"/>
              <w:right w:val="single" w:sz="4" w:space="0" w:color="FFFFFF" w:themeColor="background1"/>
            </w:tcBorders>
            <w:shd w:val="clear" w:color="auto" w:fill="F2F2F2"/>
          </w:tcPr>
          <w:p w14:paraId="7A960ABF" w14:textId="77777777" w:rsidR="00ED6E3F" w:rsidRPr="00323067" w:rsidRDefault="00ED6E3F" w:rsidP="00A57F35">
            <w:pPr>
              <w:pStyle w:val="TableText"/>
              <w:rPr>
                <w:b w:val="0"/>
                <w:bCs/>
              </w:rPr>
            </w:pPr>
            <w:r w:rsidRPr="00323067">
              <w:rPr>
                <w:b w:val="0"/>
                <w:bCs/>
              </w:rPr>
              <w:t>Open Less Than a Year</w:t>
            </w:r>
          </w:p>
        </w:tc>
        <w:tc>
          <w:tcPr>
            <w:tcW w:w="1924" w:type="pct"/>
            <w:tcBorders>
              <w:top w:val="single" w:sz="4" w:space="0" w:color="FFFFFF" w:themeColor="background1"/>
              <w:left w:val="single" w:sz="4" w:space="0" w:color="FFFFFF" w:themeColor="background1"/>
              <w:bottom w:val="single" w:sz="4" w:space="0" w:color="FFFFFF" w:themeColor="background1"/>
            </w:tcBorders>
            <w:shd w:val="clear" w:color="auto" w:fill="F2F2F2"/>
          </w:tcPr>
          <w:p w14:paraId="69274B54" w14:textId="6182A2D3" w:rsidR="00ED6E3F" w:rsidRPr="00323067" w:rsidRDefault="00ED6E3F" w:rsidP="00A57F35">
            <w:pPr>
              <w:pStyle w:val="TableText"/>
              <w:cnfStyle w:val="000000000000" w:firstRow="0" w:lastRow="0" w:firstColumn="0" w:lastColumn="0" w:oddVBand="0" w:evenVBand="0" w:oddHBand="0" w:evenHBand="0" w:firstRowFirstColumn="0" w:firstRowLastColumn="0" w:lastRowFirstColumn="0" w:lastRowLastColumn="0"/>
              <w:rPr>
                <w:bCs/>
              </w:rPr>
            </w:pPr>
            <w:r w:rsidRPr="00323067">
              <w:rPr>
                <w:bCs/>
              </w:rPr>
              <w:t>21</w:t>
            </w:r>
          </w:p>
        </w:tc>
      </w:tr>
      <w:tr w:rsidR="00221151" w:rsidRPr="00323067" w14:paraId="4C1E4A26" w14:textId="77777777" w:rsidTr="001357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6" w:type="pct"/>
            <w:tcBorders>
              <w:top w:val="single" w:sz="4" w:space="0" w:color="FFFFFF" w:themeColor="background1"/>
              <w:bottom w:val="single" w:sz="4" w:space="0" w:color="FFFFFF" w:themeColor="background1"/>
              <w:right w:val="single" w:sz="4" w:space="0" w:color="FFFFFF" w:themeColor="background1"/>
            </w:tcBorders>
            <w:shd w:val="clear" w:color="auto" w:fill="F2F2F2"/>
          </w:tcPr>
          <w:p w14:paraId="43812D17" w14:textId="77777777" w:rsidR="00ED6E3F" w:rsidRPr="00323067" w:rsidRDefault="00ED6E3F" w:rsidP="00A57F35">
            <w:pPr>
              <w:pStyle w:val="TableText"/>
              <w:rPr>
                <w:b w:val="0"/>
                <w:bCs/>
              </w:rPr>
            </w:pPr>
            <w:r w:rsidRPr="00323067">
              <w:rPr>
                <w:b w:val="0"/>
                <w:bCs/>
              </w:rPr>
              <w:t>Outliers</w:t>
            </w:r>
          </w:p>
        </w:tc>
        <w:tc>
          <w:tcPr>
            <w:tcW w:w="1924" w:type="pct"/>
            <w:tcBorders>
              <w:top w:val="single" w:sz="4" w:space="0" w:color="FFFFFF" w:themeColor="background1"/>
              <w:left w:val="single" w:sz="4" w:space="0" w:color="FFFFFF" w:themeColor="background1"/>
              <w:bottom w:val="single" w:sz="4" w:space="0" w:color="FFFFFF" w:themeColor="background1"/>
            </w:tcBorders>
            <w:shd w:val="clear" w:color="auto" w:fill="F2F2F2"/>
          </w:tcPr>
          <w:p w14:paraId="4DAB9FCD" w14:textId="1B8E90DF" w:rsidR="00ED6E3F" w:rsidRPr="00323067" w:rsidRDefault="00ED6E3F" w:rsidP="00A57F35">
            <w:pPr>
              <w:pStyle w:val="TableText"/>
              <w:cnfStyle w:val="000000010000" w:firstRow="0" w:lastRow="0" w:firstColumn="0" w:lastColumn="0" w:oddVBand="0" w:evenVBand="0" w:oddHBand="0" w:evenHBand="1" w:firstRowFirstColumn="0" w:firstRowLastColumn="0" w:lastRowFirstColumn="0" w:lastRowLastColumn="0"/>
              <w:rPr>
                <w:bCs/>
              </w:rPr>
            </w:pPr>
            <w:r w:rsidRPr="00323067">
              <w:rPr>
                <w:bCs/>
              </w:rPr>
              <w:t>19</w:t>
            </w:r>
          </w:p>
        </w:tc>
      </w:tr>
      <w:tr w:rsidR="00221151" w:rsidRPr="00323067" w14:paraId="2AF0B7F4" w14:textId="77777777" w:rsidTr="00135738">
        <w:tc>
          <w:tcPr>
            <w:cnfStyle w:val="001000000000" w:firstRow="0" w:lastRow="0" w:firstColumn="1" w:lastColumn="0" w:oddVBand="0" w:evenVBand="0" w:oddHBand="0" w:evenHBand="0" w:firstRowFirstColumn="0" w:firstRowLastColumn="0" w:lastRowFirstColumn="0" w:lastRowLastColumn="0"/>
            <w:tcW w:w="3076" w:type="pct"/>
            <w:tcBorders>
              <w:top w:val="single" w:sz="4" w:space="0" w:color="FFFFFF" w:themeColor="background1"/>
              <w:right w:val="single" w:sz="4" w:space="0" w:color="FFFFFF" w:themeColor="background1"/>
            </w:tcBorders>
            <w:shd w:val="clear" w:color="auto" w:fill="F2F2F2"/>
          </w:tcPr>
          <w:p w14:paraId="410F6301" w14:textId="77777777" w:rsidR="00ED6E3F" w:rsidRPr="00323067" w:rsidRDefault="00ED6E3F" w:rsidP="00A57F35">
            <w:pPr>
              <w:pStyle w:val="TableText"/>
              <w:rPr>
                <w:b w:val="0"/>
                <w:bCs/>
              </w:rPr>
            </w:pPr>
            <w:r w:rsidRPr="00323067">
              <w:rPr>
                <w:b w:val="0"/>
                <w:bCs/>
              </w:rPr>
              <w:t>Self-Identified as Specialty, but Missing Specialty Data</w:t>
            </w:r>
          </w:p>
        </w:tc>
        <w:tc>
          <w:tcPr>
            <w:tcW w:w="1924" w:type="pct"/>
            <w:tcBorders>
              <w:top w:val="single" w:sz="4" w:space="0" w:color="FFFFFF" w:themeColor="background1"/>
              <w:left w:val="single" w:sz="4" w:space="0" w:color="FFFFFF" w:themeColor="background1"/>
            </w:tcBorders>
            <w:shd w:val="clear" w:color="auto" w:fill="F2F2F2"/>
          </w:tcPr>
          <w:p w14:paraId="0655F6FB" w14:textId="26D2C03D" w:rsidR="00ED6E3F" w:rsidRPr="00323067" w:rsidRDefault="00ED6E3F" w:rsidP="00A57F35">
            <w:pPr>
              <w:pStyle w:val="TableText"/>
              <w:cnfStyle w:val="000000000000" w:firstRow="0" w:lastRow="0" w:firstColumn="0" w:lastColumn="0" w:oddVBand="0" w:evenVBand="0" w:oddHBand="0" w:evenHBand="0" w:firstRowFirstColumn="0" w:firstRowLastColumn="0" w:lastRowFirstColumn="0" w:lastRowLastColumn="0"/>
              <w:rPr>
                <w:bCs/>
              </w:rPr>
            </w:pPr>
            <w:r w:rsidRPr="00323067">
              <w:rPr>
                <w:bCs/>
              </w:rPr>
              <w:t>3</w:t>
            </w:r>
          </w:p>
        </w:tc>
      </w:tr>
    </w:tbl>
    <w:p w14:paraId="26209EA2" w14:textId="0A40705B" w:rsidR="00FB493A" w:rsidRPr="00C74D8B" w:rsidRDefault="00FB493A" w:rsidP="00A57F35">
      <w:pPr>
        <w:spacing w:before="240"/>
      </w:pPr>
      <w:r>
        <w:t>After the average</w:t>
      </w:r>
      <w:r w:rsidR="00221151">
        <w:t xml:space="preserve"> COD</w:t>
      </w:r>
      <w:r>
        <w:t xml:space="preserve"> was calculated for each respondent, the results were analyzed for outliers. </w:t>
      </w:r>
      <w:r w:rsidR="00BB0D48">
        <w:t>Nineteen</w:t>
      </w:r>
      <w:r w:rsidR="0055663C">
        <w:t xml:space="preserve"> responses were dropped as outliers. For Independent</w:t>
      </w:r>
      <w:r w:rsidR="00C87392">
        <w:t>, e</w:t>
      </w:r>
      <w:r w:rsidR="0055663C">
        <w:t xml:space="preserve">ight responses were </w:t>
      </w:r>
      <w:r w:rsidR="00C87392">
        <w:t xml:space="preserve">removed as outliers. Specifically, </w:t>
      </w:r>
      <w:r w:rsidR="0055663C">
        <w:t xml:space="preserve">four had </w:t>
      </w:r>
      <w:r w:rsidR="0012308E">
        <w:t xml:space="preserve">an </w:t>
      </w:r>
      <w:r w:rsidR="0055663C">
        <w:t xml:space="preserve">average COD less than three standard deviations </w:t>
      </w:r>
      <w:r w:rsidR="00C87392">
        <w:t xml:space="preserve">within </w:t>
      </w:r>
      <w:proofErr w:type="gramStart"/>
      <w:r w:rsidR="00693ECD">
        <w:t>Independent</w:t>
      </w:r>
      <w:proofErr w:type="gramEnd"/>
      <w:r w:rsidR="00B43C8E">
        <w:t xml:space="preserve"> </w:t>
      </w:r>
      <w:r w:rsidR="00C87392">
        <w:t>group</w:t>
      </w:r>
      <w:r w:rsidR="004379EE">
        <w:t>’s</w:t>
      </w:r>
      <w:r w:rsidR="00C87392">
        <w:t xml:space="preserve"> </w:t>
      </w:r>
      <w:r w:rsidR="0055663C">
        <w:t>mean COD</w:t>
      </w:r>
      <w:r w:rsidR="00693ECD">
        <w:t>,</w:t>
      </w:r>
      <w:r w:rsidR="00C87392">
        <w:t xml:space="preserve"> </w:t>
      </w:r>
      <w:r w:rsidR="0055663C">
        <w:t xml:space="preserve">two had </w:t>
      </w:r>
      <w:r w:rsidR="00C87392">
        <w:t>very</w:t>
      </w:r>
      <w:r w:rsidR="0055663C">
        <w:t xml:space="preserve"> low average COD values </w:t>
      </w:r>
      <w:r w:rsidR="00135738">
        <w:t>(</w:t>
      </w:r>
      <w:r w:rsidR="0055663C">
        <w:t>likely due to data entry errors</w:t>
      </w:r>
      <w:r w:rsidR="00135738">
        <w:t>)</w:t>
      </w:r>
      <w:r w:rsidR="00693ECD">
        <w:t xml:space="preserve">, and </w:t>
      </w:r>
      <w:r w:rsidR="0055663C">
        <w:t>two more had average COD greater than three standard deviations from the mean COD</w:t>
      </w:r>
      <w:r w:rsidR="00693ECD">
        <w:t>. For Chain pharmacies, eight responses were removed as outliers because their average COD was greater than three standard deviations within Chain group</w:t>
      </w:r>
      <w:r w:rsidR="004379EE">
        <w:t>’s</w:t>
      </w:r>
      <w:r w:rsidR="00693ECD">
        <w:t xml:space="preserve"> mean COD. For </w:t>
      </w:r>
      <w:r w:rsidR="00135738">
        <w:t>CHCs</w:t>
      </w:r>
      <w:r w:rsidR="00693ECD">
        <w:t xml:space="preserve">, one response was removed as an outlier </w:t>
      </w:r>
      <w:r w:rsidR="0012308E">
        <w:t>because</w:t>
      </w:r>
      <w:r w:rsidR="00693ECD">
        <w:t xml:space="preserve"> their average COD was greater than three standard deviations within</w:t>
      </w:r>
      <w:r w:rsidR="0012308E">
        <w:t xml:space="preserve"> the</w:t>
      </w:r>
      <w:r w:rsidR="00693ECD">
        <w:t xml:space="preserve"> </w:t>
      </w:r>
      <w:r w:rsidR="00135738">
        <w:t>CHC</w:t>
      </w:r>
      <w:r w:rsidR="00693ECD">
        <w:t xml:space="preserve"> group</w:t>
      </w:r>
      <w:r w:rsidR="004379EE">
        <w:t>’s</w:t>
      </w:r>
      <w:r w:rsidR="00693ECD">
        <w:t xml:space="preserve"> mean COD. Lastly, for Specialty, two responses were removed as outliers because they had very high average COD values (greater than $1000).  </w:t>
      </w:r>
    </w:p>
    <w:p w14:paraId="17438E89" w14:textId="7BB6E3D7" w:rsidR="009148A2" w:rsidRDefault="009148A2" w:rsidP="00A57F35">
      <w:r>
        <w:t xml:space="preserve">Of 853 pharmacies providing usable responses to the survey: </w:t>
      </w:r>
    </w:p>
    <w:p w14:paraId="2300A9DC" w14:textId="35AB09F5" w:rsidR="009148A2" w:rsidRDefault="009148A2" w:rsidP="00A57F35">
      <w:pPr>
        <w:pStyle w:val="ListBullet"/>
      </w:pPr>
      <w:r>
        <w:t>656 (76.9%) were classified as Chain.</w:t>
      </w:r>
    </w:p>
    <w:p w14:paraId="242B70E1" w14:textId="7DA9C355" w:rsidR="009148A2" w:rsidRDefault="009148A2" w:rsidP="00A57F35">
      <w:pPr>
        <w:pStyle w:val="ListBullet"/>
      </w:pPr>
      <w:r>
        <w:t xml:space="preserve">145 (17.0%) were classified as Independent. </w:t>
      </w:r>
    </w:p>
    <w:p w14:paraId="112BFA4E" w14:textId="71482BD5" w:rsidR="009148A2" w:rsidRDefault="009148A2" w:rsidP="00A57F35">
      <w:pPr>
        <w:pStyle w:val="ListBullet"/>
      </w:pPr>
      <w:r>
        <w:t xml:space="preserve">21 (2.5%) were classified as LTC. </w:t>
      </w:r>
    </w:p>
    <w:p w14:paraId="033D098E" w14:textId="72803627" w:rsidR="009148A2" w:rsidRDefault="009148A2" w:rsidP="00A57F35">
      <w:pPr>
        <w:pStyle w:val="ListBullet"/>
      </w:pPr>
      <w:r>
        <w:t xml:space="preserve">8 (0.9%) were classified as 340B. </w:t>
      </w:r>
    </w:p>
    <w:p w14:paraId="7F272DA4" w14:textId="150D71F4" w:rsidR="00230866" w:rsidRDefault="00230866" w:rsidP="00A57F35">
      <w:pPr>
        <w:pStyle w:val="ListBullet"/>
      </w:pPr>
      <w:r>
        <w:t xml:space="preserve">10 (1.2%) were classified as Specialty. </w:t>
      </w:r>
    </w:p>
    <w:p w14:paraId="476A4677" w14:textId="5D7D8328" w:rsidR="009148A2" w:rsidRDefault="009148A2" w:rsidP="00A57F35">
      <w:pPr>
        <w:pStyle w:val="ListBullet"/>
      </w:pPr>
      <w:r>
        <w:lastRenderedPageBreak/>
        <w:t xml:space="preserve">13 (1.5%) were classified as </w:t>
      </w:r>
      <w:r w:rsidR="00135738">
        <w:t>CHC</w:t>
      </w:r>
      <w:r>
        <w:t xml:space="preserve">. </w:t>
      </w:r>
    </w:p>
    <w:p w14:paraId="4C72796E" w14:textId="1489FAB5" w:rsidR="00FB493A" w:rsidRPr="003A34B8" w:rsidRDefault="00FB493A" w:rsidP="00A57F35">
      <w:r w:rsidRPr="003A34B8">
        <w:t>To determine whether the distributions of the responding sample by type characteristics differed from those observed in the study population, Chi</w:t>
      </w:r>
      <w:r w:rsidR="006D2887">
        <w:noBreakHyphen/>
      </w:r>
      <w:r w:rsidRPr="003A34B8">
        <w:t>square analysis was performed. The results were statistically significant (p &lt;</w:t>
      </w:r>
      <w:r>
        <w:t xml:space="preserve"> </w:t>
      </w:r>
      <w:r w:rsidRPr="003A34B8">
        <w:t xml:space="preserve">0.05) for </w:t>
      </w:r>
      <w:r>
        <w:t>pharmacy</w:t>
      </w:r>
      <w:r w:rsidRPr="003A34B8">
        <w:t xml:space="preserve"> type, indicating that the responding pharmacies were more likely to be a</w:t>
      </w:r>
      <w:r>
        <w:t xml:space="preserve"> C</w:t>
      </w:r>
      <w:r w:rsidRPr="003A34B8">
        <w:t>hain pharmacy than an</w:t>
      </w:r>
      <w:r>
        <w:t xml:space="preserve"> Independent Retail, </w:t>
      </w:r>
      <w:r w:rsidR="00EE1049">
        <w:t>LTC</w:t>
      </w:r>
      <w:r>
        <w:t xml:space="preserve">, 340B, </w:t>
      </w:r>
      <w:r w:rsidR="00135738">
        <w:t>CHC</w:t>
      </w:r>
      <w:r w:rsidR="00625A6E">
        <w:t xml:space="preserve">, </w:t>
      </w:r>
      <w:r>
        <w:t>or Specialty</w:t>
      </w:r>
      <w:r w:rsidRPr="003A34B8">
        <w:t xml:space="preserve"> pharmacy when compared to the study population.</w:t>
      </w:r>
    </w:p>
    <w:p w14:paraId="5EA93CDD" w14:textId="77777777" w:rsidR="00FB493A" w:rsidRPr="000F69D7" w:rsidRDefault="00FB493A" w:rsidP="00A57F35">
      <w:pPr>
        <w:pStyle w:val="Heading2"/>
      </w:pPr>
      <w:bookmarkStart w:id="67" w:name="_Toc22640785"/>
      <w:bookmarkStart w:id="68" w:name="_Toc179536098"/>
      <w:r w:rsidRPr="000F69D7">
        <w:t>Costs and Expenses Elements</w:t>
      </w:r>
      <w:bookmarkEnd w:id="67"/>
      <w:bookmarkEnd w:id="68"/>
    </w:p>
    <w:p w14:paraId="1D90C434" w14:textId="253CA3B8" w:rsidR="00FB493A" w:rsidRDefault="00FB493A" w:rsidP="00A57F35">
      <w:r>
        <w:t xml:space="preserve">Costs included in the PDF calculation for </w:t>
      </w:r>
      <w:r w:rsidR="001F371C">
        <w:t>Independent, Chain</w:t>
      </w:r>
      <w:r>
        <w:t>, 340B</w:t>
      </w:r>
      <w:r w:rsidR="00886711">
        <w:t>,</w:t>
      </w:r>
      <w:r>
        <w:t xml:space="preserve"> </w:t>
      </w:r>
      <w:r w:rsidR="00135738">
        <w:t>CHC</w:t>
      </w:r>
      <w:r w:rsidR="004379EE">
        <w:t>,</w:t>
      </w:r>
      <w:r>
        <w:t xml:space="preserve"> LTC</w:t>
      </w:r>
      <w:r w:rsidR="001F371C">
        <w:t>, and Specialty</w:t>
      </w:r>
      <w:r>
        <w:t xml:space="preserve"> pharmacies include those </w:t>
      </w:r>
      <w:r w:rsidR="005217A8">
        <w:t xml:space="preserve">included </w:t>
      </w:r>
      <w:r>
        <w:t>in</w:t>
      </w:r>
      <w:r w:rsidR="005217A8">
        <w:t xml:space="preserve"> the definition in</w:t>
      </w:r>
      <w:r>
        <w:t xml:space="preserve"> 42</w:t>
      </w:r>
      <w:r w:rsidR="00A57F35">
        <w:t> </w:t>
      </w:r>
      <w:r>
        <w:t>CFR</w:t>
      </w:r>
      <w:r w:rsidR="00A57F35">
        <w:t> </w:t>
      </w:r>
      <w:r>
        <w:t>447.502, which states, “Professional dispensing fee means the fee which:</w:t>
      </w:r>
    </w:p>
    <w:p w14:paraId="55C3B12B" w14:textId="77777777" w:rsidR="00FB493A" w:rsidRDefault="00FB493A" w:rsidP="00323067">
      <w:pPr>
        <w:pStyle w:val="ListBullet"/>
      </w:pPr>
      <w:r>
        <w:t xml:space="preserve">Is incurred at the point of sale or service and pays for costs </w:t>
      </w:r>
      <w:proofErr w:type="gramStart"/>
      <w:r>
        <w:t>in excess of</w:t>
      </w:r>
      <w:proofErr w:type="gramEnd"/>
      <w:r>
        <w:t xml:space="preserve"> the ingredient cost of a covered outpatient drug each time a covered outpatient drug is dispensed.</w:t>
      </w:r>
    </w:p>
    <w:p w14:paraId="4F7093E4" w14:textId="77777777" w:rsidR="00FB493A" w:rsidRDefault="00FB493A" w:rsidP="00323067">
      <w:pPr>
        <w:pStyle w:val="ListBullet"/>
      </w:pPr>
      <w:r>
        <w:t>Includes only pharmacy costs associated with ensuring that possession of the appropriate covered outpatient drug is transferred to a Medicaid beneficiary. Pharmacy costs include, but are not limited to, reasonable costs associated with a pharmacist's time in checking the computer for information about an individual's coverage, performing drug utilization review and preferred drug list review activities, measurement or mixing of the covered outpatient drug, filling the container, beneficiary counseling, physically providing the completed prescription to the Medicaid beneficiary, delivery, special packaging, and overhead associated with maintaining the facility and equipment necessary to operate the pharmacy.”</w:t>
      </w:r>
    </w:p>
    <w:p w14:paraId="2E2B7082" w14:textId="18756814" w:rsidR="00D9251A" w:rsidRDefault="00FB493A" w:rsidP="00323067">
      <w:r>
        <w:t>The expenses included in the cost of dispensing calculation are classified as prescription department payroll expenses, prescription department expenditures, facility expenses</w:t>
      </w:r>
      <w:r w:rsidR="00FD62A2">
        <w:t>,</w:t>
      </w:r>
      <w:r>
        <w:t xml:space="preserve"> and other non</w:t>
      </w:r>
      <w:r w:rsidR="006D2887">
        <w:noBreakHyphen/>
      </w:r>
      <w:r>
        <w:t xml:space="preserve">facility administrative expenses. </w:t>
      </w:r>
    </w:p>
    <w:p w14:paraId="2CE6606E" w14:textId="228A4951" w:rsidR="00FB493A" w:rsidRDefault="00FB493A" w:rsidP="00323067">
      <w:r>
        <w:t xml:space="preserve">Prescription department payroll expenses and prescription department expenditures are </w:t>
      </w:r>
      <w:r w:rsidR="00D9251A">
        <w:t xml:space="preserve">fully </w:t>
      </w:r>
      <w:r>
        <w:t xml:space="preserve">allocated to the cost to dispense. </w:t>
      </w:r>
    </w:p>
    <w:p w14:paraId="1D0E2432" w14:textId="0555C6E7" w:rsidR="00FB493A" w:rsidRDefault="00FB493A" w:rsidP="00323067">
      <w:r>
        <w:t>Facility expenses are allocated as a percentage of square footage and other non</w:t>
      </w:r>
      <w:r w:rsidR="006D2887">
        <w:noBreakHyphen/>
      </w:r>
      <w:r>
        <w:t>facility administrative expenses are allocated using several methods of the costs to the average dispensing fee calculation. The allocation can be made based on area ratio of square footage, prescription versus non</w:t>
      </w:r>
      <w:r w:rsidR="006D2887">
        <w:noBreakHyphen/>
      </w:r>
      <w:r>
        <w:t>prescription sales ratio or, if sales are not available, prescription versus non</w:t>
      </w:r>
      <w:r w:rsidR="006D2887">
        <w:noBreakHyphen/>
      </w:r>
      <w:r>
        <w:t>prescription cost of goods sold ratio. Area ratio is calculated by dividing the prescription department square footage by total square footage. Sales ratio is calculated by dividing prescription sales (not including non</w:t>
      </w:r>
      <w:r>
        <w:noBreakHyphen/>
        <w:t>prescription OTC sales) by total sales for the reporting period. Cost of goods sold ratio is calculated by dividing prescription ingredient costs by total cost of goods sold.</w:t>
      </w:r>
    </w:p>
    <w:p w14:paraId="428F4989" w14:textId="44B8C0F1" w:rsidR="00FB493A" w:rsidRDefault="00FB493A" w:rsidP="00323067">
      <w:r>
        <w:t>Reasonable costs associated with a pharmacist</w:t>
      </w:r>
      <w:r w:rsidR="003F684D">
        <w:t>’</w:t>
      </w:r>
      <w:r>
        <w:t xml:space="preserve">s time in checking the computer for information about an individual's coverage, performing drug utilization review and preferred drug list review activities, measurement or mixing of the covered outpatient drug, filling the container, beneficiary counseling, and physically providing the completed prescription to the </w:t>
      </w:r>
      <w:r w:rsidR="0067505A">
        <w:t xml:space="preserve">MassHealth </w:t>
      </w:r>
      <w:r>
        <w:t xml:space="preserve">FFS beneficiaries are difficult to identify because most pharmacies do not capture time spent for each of the aforementioned activities. Therefore, </w:t>
      </w:r>
      <w:r w:rsidR="00636990">
        <w:t xml:space="preserve">pharmacy </w:t>
      </w:r>
      <w:r w:rsidR="00636990">
        <w:lastRenderedPageBreak/>
        <w:t xml:space="preserve">department </w:t>
      </w:r>
      <w:r>
        <w:t>payroll expenses including compensation, benefits</w:t>
      </w:r>
      <w:r w:rsidR="00EA6770">
        <w:t>,</w:t>
      </w:r>
      <w:r>
        <w:t xml:space="preserve"> and payroll taxes are allocated using the method described above to the dispensing fee calculation to account for the costs of a pharmacist’s time performing professional dispensing activities. </w:t>
      </w:r>
    </w:p>
    <w:p w14:paraId="0E04EF87" w14:textId="77777777" w:rsidR="00FB493A" w:rsidRDefault="00FB493A" w:rsidP="00323067">
      <w:r>
        <w:t>Prescription department expenditures, allocated at 100%, included:</w:t>
      </w:r>
    </w:p>
    <w:p w14:paraId="6E65D0F4" w14:textId="04E259F0" w:rsidR="00FB493A" w:rsidRDefault="00FB493A" w:rsidP="00323067">
      <w:pPr>
        <w:pStyle w:val="ListBullet"/>
      </w:pPr>
      <w:r>
        <w:t>Prescription containers, labels</w:t>
      </w:r>
      <w:r w:rsidR="002203D4">
        <w:t>,</w:t>
      </w:r>
      <w:r>
        <w:t xml:space="preserve"> and other pharmacy supplies</w:t>
      </w:r>
    </w:p>
    <w:p w14:paraId="530E0259" w14:textId="77777777" w:rsidR="00FB493A" w:rsidRDefault="00FB493A" w:rsidP="00323067">
      <w:pPr>
        <w:pStyle w:val="ListBullet"/>
      </w:pPr>
      <w:r>
        <w:t>Professional liability insurance</w:t>
      </w:r>
    </w:p>
    <w:p w14:paraId="319E6799" w14:textId="32E7642F" w:rsidR="00230866" w:rsidRDefault="00FB493A" w:rsidP="00323067">
      <w:pPr>
        <w:pStyle w:val="ListBullet"/>
      </w:pPr>
      <w:r>
        <w:t>Prescription department licenses, permits</w:t>
      </w:r>
      <w:r w:rsidR="002203D4">
        <w:t>,</w:t>
      </w:r>
      <w:r>
        <w:t xml:space="preserve"> and fees</w:t>
      </w:r>
    </w:p>
    <w:p w14:paraId="573CFBA5" w14:textId="6549EBF5" w:rsidR="00230866" w:rsidRDefault="00230866" w:rsidP="00323067">
      <w:pPr>
        <w:pStyle w:val="ListBullet"/>
      </w:pPr>
      <w:r>
        <w:t>Dues, subscriptions</w:t>
      </w:r>
      <w:r w:rsidR="00C338E5">
        <w:t>,</w:t>
      </w:r>
      <w:r>
        <w:t xml:space="preserve"> and continuing education for the prescription department</w:t>
      </w:r>
    </w:p>
    <w:p w14:paraId="616174F7" w14:textId="3983C58B" w:rsidR="00FB493A" w:rsidRDefault="00FB493A" w:rsidP="00323067">
      <w:pPr>
        <w:pStyle w:val="ListBullet"/>
      </w:pPr>
      <w:r>
        <w:t>Delivery expenses (prescription</w:t>
      </w:r>
      <w:r w:rsidR="00886711">
        <w:t>-</w:t>
      </w:r>
      <w:r>
        <w:t>related only)</w:t>
      </w:r>
    </w:p>
    <w:p w14:paraId="72D11D4A" w14:textId="77777777" w:rsidR="00FB493A" w:rsidRDefault="00FB493A" w:rsidP="00323067">
      <w:pPr>
        <w:pStyle w:val="ListBullet"/>
      </w:pPr>
      <w:r>
        <w:t>Computer systems (related only to the prescription department for dispensing and ancillary services)</w:t>
      </w:r>
    </w:p>
    <w:p w14:paraId="5B5D9FDC" w14:textId="77777777" w:rsidR="00FB493A" w:rsidRDefault="00FB493A" w:rsidP="00323067">
      <w:pPr>
        <w:pStyle w:val="ListBullet"/>
      </w:pPr>
      <w:r>
        <w:t>Claims transmission charges</w:t>
      </w:r>
    </w:p>
    <w:p w14:paraId="31CA9E0E" w14:textId="77777777" w:rsidR="00FB493A" w:rsidRDefault="00FB493A" w:rsidP="00323067">
      <w:pPr>
        <w:pStyle w:val="ListBullet"/>
      </w:pPr>
      <w:r>
        <w:t>Depreciation directly related to the prescription department</w:t>
      </w:r>
    </w:p>
    <w:p w14:paraId="362767D2" w14:textId="323A9388" w:rsidR="00C1759D" w:rsidRDefault="00C1759D" w:rsidP="00323067">
      <w:pPr>
        <w:pStyle w:val="ListBullet"/>
      </w:pPr>
      <w:r>
        <w:t>Profession education and training</w:t>
      </w:r>
    </w:p>
    <w:p w14:paraId="451E3E7A" w14:textId="77777777" w:rsidR="00FB493A" w:rsidRDefault="00FB493A" w:rsidP="00323067">
      <w:pPr>
        <w:pStyle w:val="ListBullet"/>
      </w:pPr>
      <w:r>
        <w:t>Costs attributed to 340B, including program management and inventory segregation</w:t>
      </w:r>
    </w:p>
    <w:p w14:paraId="6D0A548D" w14:textId="3F5D116A" w:rsidR="00FB493A" w:rsidRDefault="00FB493A" w:rsidP="00323067">
      <w:r>
        <w:t>Overhead associated with maintaining the facility and equipment necessary to operate the pharmacy are split into facility expenses and other non</w:t>
      </w:r>
      <w:r w:rsidR="006D2887">
        <w:noBreakHyphen/>
      </w:r>
      <w:r>
        <w:t>facility administrative expenses. Facility expenses, allocated based on area ratio, included:</w:t>
      </w:r>
    </w:p>
    <w:p w14:paraId="405A88A7" w14:textId="77777777" w:rsidR="00FB493A" w:rsidRDefault="00FB493A" w:rsidP="00323067">
      <w:pPr>
        <w:pStyle w:val="ListBullet"/>
      </w:pPr>
      <w:r>
        <w:t>Rent</w:t>
      </w:r>
    </w:p>
    <w:p w14:paraId="6C394A01" w14:textId="44D1D2CE" w:rsidR="00FB493A" w:rsidRDefault="00FB493A" w:rsidP="00323067">
      <w:pPr>
        <w:pStyle w:val="ListBullet"/>
      </w:pPr>
      <w:r>
        <w:t>Utilities (gas, electric, water</w:t>
      </w:r>
      <w:r w:rsidR="00C338E5">
        <w:t>,</w:t>
      </w:r>
      <w:r>
        <w:t xml:space="preserve"> and sewer)</w:t>
      </w:r>
    </w:p>
    <w:p w14:paraId="6CD8F24F" w14:textId="77777777" w:rsidR="00FB493A" w:rsidRDefault="00FB493A" w:rsidP="00323067">
      <w:pPr>
        <w:pStyle w:val="ListBullet"/>
      </w:pPr>
      <w:r>
        <w:t>Real estate taxes</w:t>
      </w:r>
    </w:p>
    <w:p w14:paraId="59D4BAE8" w14:textId="77777777" w:rsidR="00FB493A" w:rsidRDefault="00FB493A" w:rsidP="00323067">
      <w:pPr>
        <w:pStyle w:val="ListBullet"/>
      </w:pPr>
      <w:r>
        <w:t>Facility insurance</w:t>
      </w:r>
    </w:p>
    <w:p w14:paraId="51133A03" w14:textId="77777777" w:rsidR="00FB493A" w:rsidRDefault="00FB493A" w:rsidP="00323067">
      <w:pPr>
        <w:pStyle w:val="ListBullet"/>
      </w:pPr>
      <w:r>
        <w:t>Maintenance and cleaning</w:t>
      </w:r>
    </w:p>
    <w:p w14:paraId="69A555DC" w14:textId="77777777" w:rsidR="00FB493A" w:rsidRDefault="00FB493A" w:rsidP="00323067">
      <w:pPr>
        <w:pStyle w:val="ListBullet"/>
      </w:pPr>
      <w:r>
        <w:t>Depreciation (not including depreciation directly related to the prescription department)</w:t>
      </w:r>
    </w:p>
    <w:p w14:paraId="06DBD1C9" w14:textId="77777777" w:rsidR="00FB493A" w:rsidRDefault="00FB493A" w:rsidP="00323067">
      <w:pPr>
        <w:pStyle w:val="ListBullet"/>
      </w:pPr>
      <w:r>
        <w:t>Mortgage interest</w:t>
      </w:r>
    </w:p>
    <w:p w14:paraId="3A0BBEF9" w14:textId="0DB806C1" w:rsidR="00FB493A" w:rsidRDefault="00FB493A" w:rsidP="00323067">
      <w:r>
        <w:t>Other non</w:t>
      </w:r>
      <w:r w:rsidR="00FD62A2">
        <w:t>-</w:t>
      </w:r>
      <w:r>
        <w:t>facility administrative expenses, allocated based on sales ratio, included:</w:t>
      </w:r>
    </w:p>
    <w:p w14:paraId="6FAA1DB6" w14:textId="77777777" w:rsidR="00FB493A" w:rsidRDefault="00FB493A" w:rsidP="00323067">
      <w:pPr>
        <w:pStyle w:val="ListBullet"/>
      </w:pPr>
      <w:r>
        <w:t>Professional services (for example, accounting, legal, consulting)</w:t>
      </w:r>
    </w:p>
    <w:p w14:paraId="6C42C55A" w14:textId="77777777" w:rsidR="00FB493A" w:rsidRDefault="00FB493A" w:rsidP="00323067">
      <w:pPr>
        <w:pStyle w:val="ListBullet"/>
      </w:pPr>
      <w:r>
        <w:t>Security costs</w:t>
      </w:r>
    </w:p>
    <w:p w14:paraId="5899FFCF" w14:textId="77777777" w:rsidR="00FB493A" w:rsidRDefault="00FB493A" w:rsidP="00323067">
      <w:pPr>
        <w:pStyle w:val="ListBullet"/>
      </w:pPr>
      <w:r>
        <w:t>Telephone and data communication</w:t>
      </w:r>
    </w:p>
    <w:p w14:paraId="26F79A9E" w14:textId="77777777" w:rsidR="00FB493A" w:rsidRDefault="00FB493A" w:rsidP="00323067">
      <w:pPr>
        <w:pStyle w:val="ListBullet"/>
      </w:pPr>
      <w:r>
        <w:t>Transaction and merchant fees</w:t>
      </w:r>
    </w:p>
    <w:p w14:paraId="03F360E4" w14:textId="77777777" w:rsidR="00FB493A" w:rsidRDefault="00FB493A" w:rsidP="00323067">
      <w:pPr>
        <w:pStyle w:val="ListBullet"/>
      </w:pPr>
      <w:r>
        <w:lastRenderedPageBreak/>
        <w:t>Computer systems and supports (not included as direct pharmacy expenses)</w:t>
      </w:r>
    </w:p>
    <w:p w14:paraId="24E5892C" w14:textId="0ADA1076" w:rsidR="00C1759D" w:rsidRDefault="00C1759D" w:rsidP="00323067">
      <w:pPr>
        <w:pStyle w:val="ListBullet"/>
      </w:pPr>
      <w:r>
        <w:t>Depreciation not captured elsewhere</w:t>
      </w:r>
    </w:p>
    <w:p w14:paraId="351E9FF7" w14:textId="0F01DA3A" w:rsidR="00C1759D" w:rsidRDefault="00C1759D" w:rsidP="00323067">
      <w:pPr>
        <w:pStyle w:val="ListBullet"/>
      </w:pPr>
      <w:r>
        <w:t>Amortization</w:t>
      </w:r>
    </w:p>
    <w:p w14:paraId="2AD8B4DD" w14:textId="77777777" w:rsidR="00FB493A" w:rsidRDefault="00FB493A" w:rsidP="00323067">
      <w:pPr>
        <w:pStyle w:val="ListBullet"/>
      </w:pPr>
      <w:r>
        <w:t>Office supplies</w:t>
      </w:r>
    </w:p>
    <w:p w14:paraId="569F584D" w14:textId="77777777" w:rsidR="00FB493A" w:rsidRDefault="00FB493A" w:rsidP="00323067">
      <w:pPr>
        <w:pStyle w:val="ListBullet"/>
      </w:pPr>
      <w:r>
        <w:t>Office expenses</w:t>
      </w:r>
    </w:p>
    <w:p w14:paraId="493CEA44" w14:textId="0040B3A6" w:rsidR="00C1759D" w:rsidRDefault="00C1759D" w:rsidP="00323067">
      <w:pPr>
        <w:pStyle w:val="ListBullet"/>
      </w:pPr>
      <w:r>
        <w:t>Other insurance</w:t>
      </w:r>
    </w:p>
    <w:p w14:paraId="1EDE2927" w14:textId="63FA576D" w:rsidR="00C1759D" w:rsidRDefault="00C1759D" w:rsidP="00323067">
      <w:pPr>
        <w:pStyle w:val="ListBullet"/>
      </w:pPr>
      <w:r>
        <w:t>Franchise fees</w:t>
      </w:r>
    </w:p>
    <w:p w14:paraId="3A0B6FE5" w14:textId="67E7CE90" w:rsidR="00FB493A" w:rsidRDefault="00FB493A" w:rsidP="00323067">
      <w:pPr>
        <w:pStyle w:val="ListBullet"/>
      </w:pPr>
      <w:r>
        <w:t>Non</w:t>
      </w:r>
      <w:r w:rsidR="00FD62A2">
        <w:t>-</w:t>
      </w:r>
      <w:r>
        <w:t>mortgage interest</w:t>
      </w:r>
    </w:p>
    <w:p w14:paraId="63D06993" w14:textId="226BC52A" w:rsidR="00FB493A" w:rsidRDefault="00FB493A" w:rsidP="00323067">
      <w:r>
        <w:t>Total pharmacy operational expenses</w:t>
      </w:r>
      <w:r w:rsidR="00A660E6">
        <w:t xml:space="preserve"> </w:t>
      </w:r>
      <w:r>
        <w:t>are obtained by summing payroll expenses, prescription department expenses, facility expenses allocated by square footage</w:t>
      </w:r>
      <w:r w:rsidR="00EF3D12">
        <w:t>,</w:t>
      </w:r>
      <w:r>
        <w:t xml:space="preserve"> and other non</w:t>
      </w:r>
      <w:r w:rsidR="006D2887">
        <w:noBreakHyphen/>
      </w:r>
      <w:r>
        <w:t xml:space="preserve">facility administrative expenses allocated by percentage of sales to the prescription department as identified above. </w:t>
      </w:r>
      <w:r w:rsidR="0012308E">
        <w:t xml:space="preserve">The cost </w:t>
      </w:r>
      <w:r>
        <w:t>of dispensing</w:t>
      </w:r>
      <w:r w:rsidR="003F684D">
        <w:t xml:space="preserve"> for</w:t>
      </w:r>
      <w:r>
        <w:t xml:space="preserve"> a prescription is obtained by dividing the total pharmacy operational expenses by total number of prescriptions reported in the </w:t>
      </w:r>
      <w:proofErr w:type="gramStart"/>
      <w:r>
        <w:t>time period</w:t>
      </w:r>
      <w:proofErr w:type="gramEnd"/>
      <w:r>
        <w:t xml:space="preserve">. All other costs and expenses collected were not identified in the definition of </w:t>
      </w:r>
      <w:r w:rsidR="00FF4345">
        <w:t>PDF</w:t>
      </w:r>
      <w:r>
        <w:t xml:space="preserve"> described in the final rule.</w:t>
      </w:r>
    </w:p>
    <w:p w14:paraId="4D6F0DE2" w14:textId="0DA8954C" w:rsidR="00FB493A" w:rsidRPr="003A34B8" w:rsidRDefault="00FB493A" w:rsidP="00323067">
      <w:r w:rsidRPr="003A34B8">
        <w:t xml:space="preserve">Of the average </w:t>
      </w:r>
      <w:r>
        <w:t>COD</w:t>
      </w:r>
      <w:r w:rsidR="00DB72CA">
        <w:t xml:space="preserve"> weighted by total prescription volume</w:t>
      </w:r>
      <w:r w:rsidRPr="003A34B8" w:rsidDel="00ED419B">
        <w:t xml:space="preserve"> </w:t>
      </w:r>
      <w:r w:rsidRPr="003A34B8">
        <w:t xml:space="preserve">observed, the percentage of component costs </w:t>
      </w:r>
      <w:r>
        <w:t>are</w:t>
      </w:r>
      <w:r w:rsidRPr="003A34B8">
        <w:t xml:space="preserve"> shown in </w:t>
      </w:r>
      <w:r>
        <w:t>Table 2</w:t>
      </w:r>
      <w:r w:rsidRPr="003A34B8">
        <w:t xml:space="preserve"> below. See </w:t>
      </w:r>
      <w:r w:rsidRPr="005046D3">
        <w:t>Figure 1</w:t>
      </w:r>
      <w:r w:rsidRPr="003A34B8">
        <w:t xml:space="preserve"> for comparison of dispensing fee components by Pharmacy Type. </w:t>
      </w:r>
    </w:p>
    <w:p w14:paraId="38747D01" w14:textId="563C96F2" w:rsidR="00FB493A" w:rsidRPr="00323067" w:rsidRDefault="00FB493A" w:rsidP="00323067">
      <w:pPr>
        <w:pStyle w:val="TableHeadingText"/>
        <w:rPr>
          <w:color w:val="002C77" w:themeColor="text1"/>
        </w:rPr>
      </w:pPr>
      <w:r w:rsidRPr="00323067">
        <w:rPr>
          <w:color w:val="002C77" w:themeColor="text1"/>
        </w:rPr>
        <w:t xml:space="preserve">Table 2: Percentage of Component Costs </w:t>
      </w:r>
      <w:r w:rsidR="001F371C" w:rsidRPr="00323067">
        <w:rPr>
          <w:color w:val="002C77" w:themeColor="text1"/>
        </w:rPr>
        <w:t xml:space="preserve">for </w:t>
      </w:r>
      <w:r w:rsidR="00EF3D12" w:rsidRPr="00323067">
        <w:rPr>
          <w:color w:val="002C77" w:themeColor="text1"/>
        </w:rPr>
        <w:t>N</w:t>
      </w:r>
      <w:r w:rsidR="001F371C" w:rsidRPr="00323067">
        <w:rPr>
          <w:color w:val="002C77" w:themeColor="text1"/>
        </w:rPr>
        <w:t>on</w:t>
      </w:r>
      <w:r w:rsidR="006D2887" w:rsidRPr="00323067">
        <w:rPr>
          <w:color w:val="002C77" w:themeColor="text1"/>
        </w:rPr>
        <w:noBreakHyphen/>
      </w:r>
      <w:r w:rsidR="001F371C" w:rsidRPr="00323067">
        <w:rPr>
          <w:color w:val="002C77" w:themeColor="text1"/>
        </w:rPr>
        <w:t>Specialty Pharmacies</w:t>
      </w:r>
    </w:p>
    <w:tbl>
      <w:tblPr>
        <w:tblStyle w:val="MMCTable"/>
        <w:tblW w:w="5000" w:type="pct"/>
        <w:tblLook w:val="04A0" w:firstRow="1" w:lastRow="0" w:firstColumn="1" w:lastColumn="0" w:noHBand="0" w:noVBand="1"/>
      </w:tblPr>
      <w:tblGrid>
        <w:gridCol w:w="1440"/>
        <w:gridCol w:w="2700"/>
        <w:gridCol w:w="2340"/>
        <w:gridCol w:w="1161"/>
        <w:gridCol w:w="1430"/>
      </w:tblGrid>
      <w:tr w:rsidR="009D6274" w:rsidRPr="00323067" w14:paraId="13481EFB" w14:textId="77777777" w:rsidTr="003F684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93" w:type="pct"/>
            <w:tcBorders>
              <w:bottom w:val="single" w:sz="4" w:space="0" w:color="FFFFFF" w:themeColor="background1"/>
            </w:tcBorders>
            <w:vAlign w:val="top"/>
          </w:tcPr>
          <w:p w14:paraId="66FB7AEA" w14:textId="75BA00D0" w:rsidR="00625A6E" w:rsidRPr="00323067" w:rsidRDefault="003F684D" w:rsidP="009D6274">
            <w:pPr>
              <w:pStyle w:val="TableHeadingText"/>
              <w:rPr>
                <w:b/>
                <w:bCs/>
              </w:rPr>
            </w:pPr>
            <w:r>
              <w:rPr>
                <w:b/>
                <w:bCs/>
              </w:rPr>
              <w:t>Pharmacy Type</w:t>
            </w:r>
          </w:p>
        </w:tc>
        <w:tc>
          <w:tcPr>
            <w:tcW w:w="1488" w:type="pct"/>
            <w:tcBorders>
              <w:bottom w:val="single" w:sz="4" w:space="0" w:color="FFFFFF" w:themeColor="background1"/>
            </w:tcBorders>
          </w:tcPr>
          <w:p w14:paraId="58A74C81" w14:textId="09B5F29E" w:rsidR="00625A6E" w:rsidRPr="00323067" w:rsidRDefault="00625A6E" w:rsidP="00323067">
            <w:pPr>
              <w:pStyle w:val="TableHeadingText"/>
              <w:jc w:val="right"/>
              <w:cnfStyle w:val="100000000000" w:firstRow="1" w:lastRow="0" w:firstColumn="0" w:lastColumn="0" w:oddVBand="0" w:evenVBand="0" w:oddHBand="0" w:evenHBand="0" w:firstRowFirstColumn="0" w:firstRowLastColumn="0" w:lastRowFirstColumn="0" w:lastRowLastColumn="0"/>
              <w:rPr>
                <w:b/>
              </w:rPr>
            </w:pPr>
            <w:r w:rsidRPr="00323067">
              <w:rPr>
                <w:b/>
              </w:rPr>
              <w:t>Prescription Department Other</w:t>
            </w:r>
            <w:r w:rsidR="00323067">
              <w:rPr>
                <w:b/>
              </w:rPr>
              <w:t xml:space="preserve"> </w:t>
            </w:r>
            <w:r w:rsidRPr="00323067">
              <w:rPr>
                <w:b/>
              </w:rPr>
              <w:t>(Non</w:t>
            </w:r>
            <w:r w:rsidR="006D2887" w:rsidRPr="00323067">
              <w:rPr>
                <w:b/>
              </w:rPr>
              <w:noBreakHyphen/>
            </w:r>
            <w:r w:rsidRPr="00323067">
              <w:rPr>
                <w:b/>
              </w:rPr>
              <w:t>Payroll)</w:t>
            </w:r>
          </w:p>
        </w:tc>
        <w:tc>
          <w:tcPr>
            <w:tcW w:w="1290" w:type="pct"/>
            <w:tcBorders>
              <w:bottom w:val="single" w:sz="4" w:space="0" w:color="FFFFFF" w:themeColor="background1"/>
            </w:tcBorders>
          </w:tcPr>
          <w:p w14:paraId="252EE77A" w14:textId="77777777" w:rsidR="00625A6E" w:rsidRPr="00323067" w:rsidRDefault="00625A6E" w:rsidP="00323067">
            <w:pPr>
              <w:pStyle w:val="TableHeadingText"/>
              <w:jc w:val="right"/>
              <w:cnfStyle w:val="100000000000" w:firstRow="1" w:lastRow="0" w:firstColumn="0" w:lastColumn="0" w:oddVBand="0" w:evenVBand="0" w:oddHBand="0" w:evenHBand="0" w:firstRowFirstColumn="0" w:firstRowLastColumn="0" w:lastRowFirstColumn="0" w:lastRowLastColumn="0"/>
              <w:rPr>
                <w:b/>
              </w:rPr>
            </w:pPr>
            <w:r w:rsidRPr="00323067">
              <w:rPr>
                <w:b/>
              </w:rPr>
              <w:t>Prescription Department Payroll</w:t>
            </w:r>
          </w:p>
        </w:tc>
        <w:tc>
          <w:tcPr>
            <w:tcW w:w="640" w:type="pct"/>
            <w:tcBorders>
              <w:bottom w:val="single" w:sz="4" w:space="0" w:color="FFFFFF" w:themeColor="background1"/>
            </w:tcBorders>
          </w:tcPr>
          <w:p w14:paraId="1372FB68" w14:textId="77777777" w:rsidR="00625A6E" w:rsidRPr="00323067" w:rsidRDefault="00625A6E" w:rsidP="00323067">
            <w:pPr>
              <w:pStyle w:val="TableHeadingText"/>
              <w:jc w:val="right"/>
              <w:cnfStyle w:val="100000000000" w:firstRow="1" w:lastRow="0" w:firstColumn="0" w:lastColumn="0" w:oddVBand="0" w:evenVBand="0" w:oddHBand="0" w:evenHBand="0" w:firstRowFirstColumn="0" w:firstRowLastColumn="0" w:lastRowFirstColumn="0" w:lastRowLastColumn="0"/>
              <w:rPr>
                <w:b/>
              </w:rPr>
            </w:pPr>
            <w:r w:rsidRPr="00323067">
              <w:rPr>
                <w:b/>
              </w:rPr>
              <w:t>Facility Costs</w:t>
            </w:r>
          </w:p>
        </w:tc>
        <w:tc>
          <w:tcPr>
            <w:tcW w:w="788" w:type="pct"/>
            <w:tcBorders>
              <w:bottom w:val="single" w:sz="4" w:space="0" w:color="FFFFFF" w:themeColor="background1"/>
            </w:tcBorders>
          </w:tcPr>
          <w:p w14:paraId="3D236E38" w14:textId="77777777" w:rsidR="00625A6E" w:rsidRPr="00323067" w:rsidRDefault="00625A6E" w:rsidP="00323067">
            <w:pPr>
              <w:pStyle w:val="TableHeadingText"/>
              <w:jc w:val="right"/>
              <w:cnfStyle w:val="100000000000" w:firstRow="1" w:lastRow="0" w:firstColumn="0" w:lastColumn="0" w:oddVBand="0" w:evenVBand="0" w:oddHBand="0" w:evenHBand="0" w:firstRowFirstColumn="0" w:firstRowLastColumn="0" w:lastRowFirstColumn="0" w:lastRowLastColumn="0"/>
              <w:rPr>
                <w:b/>
              </w:rPr>
            </w:pPr>
            <w:r w:rsidRPr="00323067">
              <w:rPr>
                <w:b/>
              </w:rPr>
              <w:t>Other Store Costs</w:t>
            </w:r>
          </w:p>
        </w:tc>
      </w:tr>
      <w:tr w:rsidR="00323067" w:rsidRPr="00323067" w14:paraId="38C0E520" w14:textId="77777777" w:rsidTr="003F684D">
        <w:tc>
          <w:tcPr>
            <w:cnfStyle w:val="001000000000" w:firstRow="0" w:lastRow="0" w:firstColumn="1" w:lastColumn="0" w:oddVBand="0" w:evenVBand="0" w:oddHBand="0" w:evenHBand="0" w:firstRowFirstColumn="0" w:firstRowLastColumn="0" w:lastRowFirstColumn="0" w:lastRowLastColumn="0"/>
            <w:tcW w:w="793" w:type="pct"/>
            <w:tcBorders>
              <w:top w:val="single" w:sz="4" w:space="0" w:color="FFFFFF" w:themeColor="background1"/>
              <w:bottom w:val="single" w:sz="4" w:space="0" w:color="FFFFFF" w:themeColor="background1"/>
              <w:right w:val="single" w:sz="4" w:space="0" w:color="FFFFFF" w:themeColor="background1"/>
            </w:tcBorders>
            <w:shd w:val="clear" w:color="auto" w:fill="F2F2F2"/>
          </w:tcPr>
          <w:p w14:paraId="50D94558" w14:textId="77777777" w:rsidR="00625A6E" w:rsidRPr="00323067" w:rsidRDefault="00625A6E" w:rsidP="00323067">
            <w:pPr>
              <w:pStyle w:val="TableText"/>
              <w:rPr>
                <w:b w:val="0"/>
              </w:rPr>
            </w:pPr>
            <w:r w:rsidRPr="00323067">
              <w:rPr>
                <w:b w:val="0"/>
              </w:rPr>
              <w:t>340B</w:t>
            </w:r>
          </w:p>
        </w:tc>
        <w:tc>
          <w:tcPr>
            <w:tcW w:w="148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3A4629B8" w14:textId="3978F138" w:rsidR="00625A6E" w:rsidRPr="00323067" w:rsidRDefault="006B52C8" w:rsidP="00323067">
            <w:pPr>
              <w:pStyle w:val="TableText"/>
              <w:jc w:val="right"/>
              <w:cnfStyle w:val="000000000000" w:firstRow="0" w:lastRow="0" w:firstColumn="0" w:lastColumn="0" w:oddVBand="0" w:evenVBand="0" w:oddHBand="0" w:evenHBand="0" w:firstRowFirstColumn="0" w:firstRowLastColumn="0" w:lastRowFirstColumn="0" w:lastRowLastColumn="0"/>
            </w:pPr>
            <w:r w:rsidRPr="00323067">
              <w:t>43.6</w:t>
            </w:r>
            <w:r w:rsidR="00625A6E" w:rsidRPr="00323067">
              <w:t>%</w:t>
            </w:r>
          </w:p>
        </w:tc>
        <w:tc>
          <w:tcPr>
            <w:tcW w:w="12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30BB4F23" w14:textId="6CDDE46C" w:rsidR="00625A6E" w:rsidRPr="00323067" w:rsidRDefault="006B52C8" w:rsidP="00323067">
            <w:pPr>
              <w:pStyle w:val="TableText"/>
              <w:jc w:val="right"/>
              <w:cnfStyle w:val="000000000000" w:firstRow="0" w:lastRow="0" w:firstColumn="0" w:lastColumn="0" w:oddVBand="0" w:evenVBand="0" w:oddHBand="0" w:evenHBand="0" w:firstRowFirstColumn="0" w:firstRowLastColumn="0" w:lastRowFirstColumn="0" w:lastRowLastColumn="0"/>
            </w:pPr>
            <w:r w:rsidRPr="00323067">
              <w:t>40.3</w:t>
            </w:r>
            <w:r w:rsidR="00625A6E" w:rsidRPr="00323067">
              <w:t>%</w:t>
            </w:r>
          </w:p>
        </w:tc>
        <w:tc>
          <w:tcPr>
            <w:tcW w:w="64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1CD7BCA5" w14:textId="2B913844" w:rsidR="00625A6E" w:rsidRPr="00323067" w:rsidRDefault="006B52C8" w:rsidP="00323067">
            <w:pPr>
              <w:pStyle w:val="TableText"/>
              <w:jc w:val="right"/>
              <w:cnfStyle w:val="000000000000" w:firstRow="0" w:lastRow="0" w:firstColumn="0" w:lastColumn="0" w:oddVBand="0" w:evenVBand="0" w:oddHBand="0" w:evenHBand="0" w:firstRowFirstColumn="0" w:firstRowLastColumn="0" w:lastRowFirstColumn="0" w:lastRowLastColumn="0"/>
            </w:pPr>
            <w:r w:rsidRPr="00323067">
              <w:t>8.3</w:t>
            </w:r>
            <w:r w:rsidR="00625A6E" w:rsidRPr="00323067">
              <w:t>%</w:t>
            </w:r>
          </w:p>
        </w:tc>
        <w:tc>
          <w:tcPr>
            <w:tcW w:w="788" w:type="pct"/>
            <w:tcBorders>
              <w:top w:val="single" w:sz="4" w:space="0" w:color="FFFFFF" w:themeColor="background1"/>
              <w:left w:val="single" w:sz="4" w:space="0" w:color="FFFFFF" w:themeColor="background1"/>
              <w:bottom w:val="single" w:sz="4" w:space="0" w:color="FFFFFF" w:themeColor="background1"/>
            </w:tcBorders>
            <w:shd w:val="clear" w:color="auto" w:fill="F2F2F2"/>
          </w:tcPr>
          <w:p w14:paraId="1B6CD1FF" w14:textId="30CD5327" w:rsidR="00625A6E" w:rsidRPr="00323067" w:rsidRDefault="006B52C8" w:rsidP="00323067">
            <w:pPr>
              <w:pStyle w:val="TableText"/>
              <w:jc w:val="right"/>
              <w:cnfStyle w:val="000000000000" w:firstRow="0" w:lastRow="0" w:firstColumn="0" w:lastColumn="0" w:oddVBand="0" w:evenVBand="0" w:oddHBand="0" w:evenHBand="0" w:firstRowFirstColumn="0" w:firstRowLastColumn="0" w:lastRowFirstColumn="0" w:lastRowLastColumn="0"/>
            </w:pPr>
            <w:r w:rsidRPr="00323067">
              <w:t>7.8</w:t>
            </w:r>
            <w:r w:rsidR="00625A6E" w:rsidRPr="00323067">
              <w:t>%</w:t>
            </w:r>
          </w:p>
        </w:tc>
      </w:tr>
      <w:tr w:rsidR="00323067" w:rsidRPr="00323067" w14:paraId="2BA8F6F6" w14:textId="77777777" w:rsidTr="003F68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 w:type="pct"/>
            <w:tcBorders>
              <w:top w:val="single" w:sz="4" w:space="0" w:color="FFFFFF" w:themeColor="background1"/>
              <w:bottom w:val="single" w:sz="4" w:space="0" w:color="FFFFFF" w:themeColor="background1"/>
              <w:right w:val="single" w:sz="4" w:space="0" w:color="FFFFFF" w:themeColor="background1"/>
            </w:tcBorders>
            <w:shd w:val="clear" w:color="auto" w:fill="F2F2F2"/>
          </w:tcPr>
          <w:p w14:paraId="5B22CD06" w14:textId="76D09E5E" w:rsidR="00625A6E" w:rsidRPr="00323067" w:rsidRDefault="003F684D" w:rsidP="00323067">
            <w:pPr>
              <w:pStyle w:val="TableText"/>
              <w:rPr>
                <w:b w:val="0"/>
              </w:rPr>
            </w:pPr>
            <w:r>
              <w:rPr>
                <w:b w:val="0"/>
              </w:rPr>
              <w:t>CHC</w:t>
            </w:r>
          </w:p>
        </w:tc>
        <w:tc>
          <w:tcPr>
            <w:tcW w:w="148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61203532" w14:textId="0CE986A0" w:rsidR="00625A6E" w:rsidRPr="00323067" w:rsidRDefault="006B52C8" w:rsidP="00323067">
            <w:pPr>
              <w:pStyle w:val="TableText"/>
              <w:jc w:val="right"/>
              <w:cnfStyle w:val="000000010000" w:firstRow="0" w:lastRow="0" w:firstColumn="0" w:lastColumn="0" w:oddVBand="0" w:evenVBand="0" w:oddHBand="0" w:evenHBand="1" w:firstRowFirstColumn="0" w:firstRowLastColumn="0" w:lastRowFirstColumn="0" w:lastRowLastColumn="0"/>
            </w:pPr>
            <w:r w:rsidRPr="00323067">
              <w:t>12.7</w:t>
            </w:r>
            <w:r w:rsidR="00625A6E" w:rsidRPr="00323067">
              <w:t>%</w:t>
            </w:r>
          </w:p>
        </w:tc>
        <w:tc>
          <w:tcPr>
            <w:tcW w:w="12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2BA5AD16" w14:textId="4136BDE7" w:rsidR="00625A6E" w:rsidRPr="00323067" w:rsidRDefault="006B52C8" w:rsidP="00323067">
            <w:pPr>
              <w:pStyle w:val="TableText"/>
              <w:jc w:val="right"/>
              <w:cnfStyle w:val="000000010000" w:firstRow="0" w:lastRow="0" w:firstColumn="0" w:lastColumn="0" w:oddVBand="0" w:evenVBand="0" w:oddHBand="0" w:evenHBand="1" w:firstRowFirstColumn="0" w:firstRowLastColumn="0" w:lastRowFirstColumn="0" w:lastRowLastColumn="0"/>
            </w:pPr>
            <w:r w:rsidRPr="00323067">
              <w:t>81.1</w:t>
            </w:r>
            <w:r w:rsidR="00625A6E" w:rsidRPr="00323067">
              <w:t>%</w:t>
            </w:r>
          </w:p>
        </w:tc>
        <w:tc>
          <w:tcPr>
            <w:tcW w:w="64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0DEDEA61" w14:textId="3B6480AE" w:rsidR="00625A6E" w:rsidRPr="00323067" w:rsidRDefault="006B52C8" w:rsidP="00323067">
            <w:pPr>
              <w:pStyle w:val="TableText"/>
              <w:jc w:val="right"/>
              <w:cnfStyle w:val="000000010000" w:firstRow="0" w:lastRow="0" w:firstColumn="0" w:lastColumn="0" w:oddVBand="0" w:evenVBand="0" w:oddHBand="0" w:evenHBand="1" w:firstRowFirstColumn="0" w:firstRowLastColumn="0" w:lastRowFirstColumn="0" w:lastRowLastColumn="0"/>
            </w:pPr>
            <w:r w:rsidRPr="00323067">
              <w:t>3.1</w:t>
            </w:r>
            <w:r w:rsidR="00625A6E" w:rsidRPr="00323067">
              <w:t>%</w:t>
            </w:r>
          </w:p>
        </w:tc>
        <w:tc>
          <w:tcPr>
            <w:tcW w:w="788" w:type="pct"/>
            <w:tcBorders>
              <w:top w:val="single" w:sz="4" w:space="0" w:color="FFFFFF" w:themeColor="background1"/>
              <w:left w:val="single" w:sz="4" w:space="0" w:color="FFFFFF" w:themeColor="background1"/>
              <w:bottom w:val="single" w:sz="4" w:space="0" w:color="FFFFFF" w:themeColor="background1"/>
            </w:tcBorders>
            <w:shd w:val="clear" w:color="auto" w:fill="F2F2F2"/>
          </w:tcPr>
          <w:p w14:paraId="7B45465A" w14:textId="45F61553" w:rsidR="00625A6E" w:rsidRPr="00323067" w:rsidRDefault="00CC1CC9" w:rsidP="00323067">
            <w:pPr>
              <w:pStyle w:val="TableText"/>
              <w:jc w:val="right"/>
              <w:cnfStyle w:val="000000010000" w:firstRow="0" w:lastRow="0" w:firstColumn="0" w:lastColumn="0" w:oddVBand="0" w:evenVBand="0" w:oddHBand="0" w:evenHBand="1" w:firstRowFirstColumn="0" w:firstRowLastColumn="0" w:lastRowFirstColumn="0" w:lastRowLastColumn="0"/>
            </w:pPr>
            <w:r w:rsidRPr="00323067">
              <w:t>3.0</w:t>
            </w:r>
            <w:r w:rsidR="00625A6E" w:rsidRPr="00323067">
              <w:t>%</w:t>
            </w:r>
          </w:p>
        </w:tc>
      </w:tr>
      <w:tr w:rsidR="00323067" w:rsidRPr="00323067" w14:paraId="55FE1B77" w14:textId="77777777" w:rsidTr="003F684D">
        <w:tc>
          <w:tcPr>
            <w:cnfStyle w:val="001000000000" w:firstRow="0" w:lastRow="0" w:firstColumn="1" w:lastColumn="0" w:oddVBand="0" w:evenVBand="0" w:oddHBand="0" w:evenHBand="0" w:firstRowFirstColumn="0" w:firstRowLastColumn="0" w:lastRowFirstColumn="0" w:lastRowLastColumn="0"/>
            <w:tcW w:w="793" w:type="pct"/>
            <w:tcBorders>
              <w:top w:val="single" w:sz="4" w:space="0" w:color="FFFFFF" w:themeColor="background1"/>
              <w:bottom w:val="single" w:sz="4" w:space="0" w:color="FFFFFF" w:themeColor="background1"/>
              <w:right w:val="single" w:sz="4" w:space="0" w:color="FFFFFF" w:themeColor="background1"/>
            </w:tcBorders>
            <w:shd w:val="clear" w:color="auto" w:fill="F2F2F2"/>
          </w:tcPr>
          <w:p w14:paraId="0C171669" w14:textId="4DAA86B5" w:rsidR="00625A6E" w:rsidRPr="00323067" w:rsidRDefault="00F30250" w:rsidP="00323067">
            <w:pPr>
              <w:pStyle w:val="TableText"/>
              <w:rPr>
                <w:b w:val="0"/>
              </w:rPr>
            </w:pPr>
            <w:r w:rsidRPr="00323067">
              <w:rPr>
                <w:b w:val="0"/>
              </w:rPr>
              <w:t>LTC</w:t>
            </w:r>
          </w:p>
        </w:tc>
        <w:tc>
          <w:tcPr>
            <w:tcW w:w="148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6CC361DB" w14:textId="59242E37" w:rsidR="00625A6E" w:rsidRPr="00323067" w:rsidRDefault="00CC1CC9" w:rsidP="00323067">
            <w:pPr>
              <w:pStyle w:val="TableText"/>
              <w:jc w:val="right"/>
              <w:cnfStyle w:val="000000000000" w:firstRow="0" w:lastRow="0" w:firstColumn="0" w:lastColumn="0" w:oddVBand="0" w:evenVBand="0" w:oddHBand="0" w:evenHBand="0" w:firstRowFirstColumn="0" w:firstRowLastColumn="0" w:lastRowFirstColumn="0" w:lastRowLastColumn="0"/>
            </w:pPr>
            <w:r w:rsidRPr="00323067">
              <w:t>17.4</w:t>
            </w:r>
            <w:r w:rsidR="00625A6E" w:rsidRPr="00323067">
              <w:t>%</w:t>
            </w:r>
          </w:p>
        </w:tc>
        <w:tc>
          <w:tcPr>
            <w:tcW w:w="12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1E8DF2BD" w14:textId="31CA7BE7" w:rsidR="00625A6E" w:rsidRPr="00323067" w:rsidRDefault="00CC1CC9" w:rsidP="00323067">
            <w:pPr>
              <w:pStyle w:val="TableText"/>
              <w:jc w:val="right"/>
              <w:cnfStyle w:val="000000000000" w:firstRow="0" w:lastRow="0" w:firstColumn="0" w:lastColumn="0" w:oddVBand="0" w:evenVBand="0" w:oddHBand="0" w:evenHBand="0" w:firstRowFirstColumn="0" w:firstRowLastColumn="0" w:lastRowFirstColumn="0" w:lastRowLastColumn="0"/>
            </w:pPr>
            <w:r w:rsidRPr="00323067">
              <w:t>73.9</w:t>
            </w:r>
            <w:r w:rsidR="00625A6E" w:rsidRPr="00323067">
              <w:t>%</w:t>
            </w:r>
          </w:p>
        </w:tc>
        <w:tc>
          <w:tcPr>
            <w:tcW w:w="64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46A610F4" w14:textId="46349D9C" w:rsidR="00625A6E" w:rsidRPr="00323067" w:rsidRDefault="00CC1CC9" w:rsidP="00323067">
            <w:pPr>
              <w:pStyle w:val="TableText"/>
              <w:jc w:val="right"/>
              <w:cnfStyle w:val="000000000000" w:firstRow="0" w:lastRow="0" w:firstColumn="0" w:lastColumn="0" w:oddVBand="0" w:evenVBand="0" w:oddHBand="0" w:evenHBand="0" w:firstRowFirstColumn="0" w:firstRowLastColumn="0" w:lastRowFirstColumn="0" w:lastRowLastColumn="0"/>
            </w:pPr>
            <w:r w:rsidRPr="00323067">
              <w:t>6.8</w:t>
            </w:r>
            <w:r w:rsidR="00625A6E" w:rsidRPr="00323067">
              <w:t>%</w:t>
            </w:r>
          </w:p>
        </w:tc>
        <w:tc>
          <w:tcPr>
            <w:tcW w:w="788" w:type="pct"/>
            <w:tcBorders>
              <w:top w:val="single" w:sz="4" w:space="0" w:color="FFFFFF" w:themeColor="background1"/>
              <w:left w:val="single" w:sz="4" w:space="0" w:color="FFFFFF" w:themeColor="background1"/>
              <w:bottom w:val="single" w:sz="4" w:space="0" w:color="FFFFFF" w:themeColor="background1"/>
            </w:tcBorders>
            <w:shd w:val="clear" w:color="auto" w:fill="F2F2F2"/>
          </w:tcPr>
          <w:p w14:paraId="6BE547BD" w14:textId="0DD502FD" w:rsidR="00625A6E" w:rsidRPr="00323067" w:rsidRDefault="00CC1CC9" w:rsidP="00323067">
            <w:pPr>
              <w:pStyle w:val="TableText"/>
              <w:jc w:val="right"/>
              <w:cnfStyle w:val="000000000000" w:firstRow="0" w:lastRow="0" w:firstColumn="0" w:lastColumn="0" w:oddVBand="0" w:evenVBand="0" w:oddHBand="0" w:evenHBand="0" w:firstRowFirstColumn="0" w:firstRowLastColumn="0" w:lastRowFirstColumn="0" w:lastRowLastColumn="0"/>
            </w:pPr>
            <w:r w:rsidRPr="00323067">
              <w:t>1.9</w:t>
            </w:r>
            <w:r w:rsidR="00625A6E" w:rsidRPr="00323067">
              <w:t>%</w:t>
            </w:r>
          </w:p>
        </w:tc>
      </w:tr>
      <w:tr w:rsidR="00323067" w:rsidRPr="00323067" w14:paraId="3CCF4A4D" w14:textId="77777777" w:rsidTr="003F68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 w:type="pct"/>
            <w:tcBorders>
              <w:top w:val="single" w:sz="4" w:space="0" w:color="FFFFFF" w:themeColor="background1"/>
              <w:bottom w:val="single" w:sz="4" w:space="0" w:color="FFFFFF" w:themeColor="background1"/>
              <w:right w:val="single" w:sz="4" w:space="0" w:color="FFFFFF" w:themeColor="background1"/>
            </w:tcBorders>
            <w:shd w:val="clear" w:color="auto" w:fill="F2F2F2"/>
          </w:tcPr>
          <w:p w14:paraId="434F6401" w14:textId="7ACF4995" w:rsidR="00CC1CC9" w:rsidRPr="00323067" w:rsidRDefault="00CC1CC9" w:rsidP="00323067">
            <w:pPr>
              <w:pStyle w:val="TableText"/>
              <w:rPr>
                <w:b w:val="0"/>
              </w:rPr>
            </w:pPr>
            <w:r w:rsidRPr="00323067">
              <w:rPr>
                <w:b w:val="0"/>
              </w:rPr>
              <w:t>Retail Chain</w:t>
            </w:r>
          </w:p>
        </w:tc>
        <w:tc>
          <w:tcPr>
            <w:tcW w:w="148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57BC41FE" w14:textId="3A87EB19" w:rsidR="00CC1CC9" w:rsidRPr="00323067" w:rsidRDefault="00CC1CC9" w:rsidP="00323067">
            <w:pPr>
              <w:pStyle w:val="TableText"/>
              <w:jc w:val="right"/>
              <w:cnfStyle w:val="000000010000" w:firstRow="0" w:lastRow="0" w:firstColumn="0" w:lastColumn="0" w:oddVBand="0" w:evenVBand="0" w:oddHBand="0" w:evenHBand="1" w:firstRowFirstColumn="0" w:firstRowLastColumn="0" w:lastRowFirstColumn="0" w:lastRowLastColumn="0"/>
            </w:pPr>
            <w:r w:rsidRPr="00323067">
              <w:t>4.7%</w:t>
            </w:r>
          </w:p>
        </w:tc>
        <w:tc>
          <w:tcPr>
            <w:tcW w:w="12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6C3C9FFC" w14:textId="3B93CEB2" w:rsidR="00CC1CC9" w:rsidRPr="00323067" w:rsidRDefault="00CC1CC9" w:rsidP="00323067">
            <w:pPr>
              <w:pStyle w:val="TableText"/>
              <w:jc w:val="right"/>
              <w:cnfStyle w:val="000000010000" w:firstRow="0" w:lastRow="0" w:firstColumn="0" w:lastColumn="0" w:oddVBand="0" w:evenVBand="0" w:oddHBand="0" w:evenHBand="1" w:firstRowFirstColumn="0" w:firstRowLastColumn="0" w:lastRowFirstColumn="0" w:lastRowLastColumn="0"/>
            </w:pPr>
            <w:r w:rsidRPr="00323067">
              <w:t>80.0%</w:t>
            </w:r>
          </w:p>
        </w:tc>
        <w:tc>
          <w:tcPr>
            <w:tcW w:w="64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6CD28A45" w14:textId="38EA44E5" w:rsidR="00CC1CC9" w:rsidRPr="00323067" w:rsidRDefault="00CC1CC9" w:rsidP="00323067">
            <w:pPr>
              <w:pStyle w:val="TableText"/>
              <w:jc w:val="right"/>
              <w:cnfStyle w:val="000000010000" w:firstRow="0" w:lastRow="0" w:firstColumn="0" w:lastColumn="0" w:oddVBand="0" w:evenVBand="0" w:oddHBand="0" w:evenHBand="1" w:firstRowFirstColumn="0" w:firstRowLastColumn="0" w:lastRowFirstColumn="0" w:lastRowLastColumn="0"/>
            </w:pPr>
            <w:r w:rsidRPr="00323067">
              <w:t>11.1%</w:t>
            </w:r>
          </w:p>
        </w:tc>
        <w:tc>
          <w:tcPr>
            <w:tcW w:w="788" w:type="pct"/>
            <w:tcBorders>
              <w:top w:val="single" w:sz="4" w:space="0" w:color="FFFFFF" w:themeColor="background1"/>
              <w:left w:val="single" w:sz="4" w:space="0" w:color="FFFFFF" w:themeColor="background1"/>
              <w:bottom w:val="single" w:sz="4" w:space="0" w:color="FFFFFF" w:themeColor="background1"/>
            </w:tcBorders>
            <w:shd w:val="clear" w:color="auto" w:fill="F2F2F2"/>
          </w:tcPr>
          <w:p w14:paraId="640F5F7E" w14:textId="3C273E6D" w:rsidR="00CC1CC9" w:rsidRPr="00323067" w:rsidRDefault="00CC1CC9" w:rsidP="00323067">
            <w:pPr>
              <w:pStyle w:val="TableText"/>
              <w:jc w:val="right"/>
              <w:cnfStyle w:val="000000010000" w:firstRow="0" w:lastRow="0" w:firstColumn="0" w:lastColumn="0" w:oddVBand="0" w:evenVBand="0" w:oddHBand="0" w:evenHBand="1" w:firstRowFirstColumn="0" w:firstRowLastColumn="0" w:lastRowFirstColumn="0" w:lastRowLastColumn="0"/>
            </w:pPr>
            <w:r w:rsidRPr="00323067">
              <w:t>4.2%</w:t>
            </w:r>
          </w:p>
        </w:tc>
      </w:tr>
      <w:tr w:rsidR="00323067" w:rsidRPr="00323067" w14:paraId="0128A2A3" w14:textId="77777777" w:rsidTr="003F684D">
        <w:tc>
          <w:tcPr>
            <w:cnfStyle w:val="001000000000" w:firstRow="0" w:lastRow="0" w:firstColumn="1" w:lastColumn="0" w:oddVBand="0" w:evenVBand="0" w:oddHBand="0" w:evenHBand="0" w:firstRowFirstColumn="0" w:firstRowLastColumn="0" w:lastRowFirstColumn="0" w:lastRowLastColumn="0"/>
            <w:tcW w:w="793" w:type="pct"/>
            <w:tcBorders>
              <w:top w:val="single" w:sz="4" w:space="0" w:color="FFFFFF" w:themeColor="background1"/>
              <w:right w:val="single" w:sz="4" w:space="0" w:color="FFFFFF" w:themeColor="background1"/>
            </w:tcBorders>
            <w:shd w:val="clear" w:color="auto" w:fill="F2F2F2"/>
          </w:tcPr>
          <w:p w14:paraId="26721DE1" w14:textId="7A9E84E3" w:rsidR="00CC1CC9" w:rsidRPr="00323067" w:rsidRDefault="00CC1CC9" w:rsidP="00323067">
            <w:pPr>
              <w:pStyle w:val="TableText"/>
              <w:rPr>
                <w:b w:val="0"/>
              </w:rPr>
            </w:pPr>
            <w:r w:rsidRPr="00323067">
              <w:rPr>
                <w:b w:val="0"/>
              </w:rPr>
              <w:t>Independent</w:t>
            </w:r>
            <w:r w:rsidR="003E0BFC" w:rsidRPr="00323067">
              <w:rPr>
                <w:b w:val="0"/>
              </w:rPr>
              <w:t xml:space="preserve"> </w:t>
            </w:r>
          </w:p>
        </w:tc>
        <w:tc>
          <w:tcPr>
            <w:tcW w:w="1488" w:type="pct"/>
            <w:tcBorders>
              <w:top w:val="single" w:sz="4" w:space="0" w:color="FFFFFF" w:themeColor="background1"/>
              <w:left w:val="single" w:sz="4" w:space="0" w:color="FFFFFF" w:themeColor="background1"/>
              <w:right w:val="single" w:sz="4" w:space="0" w:color="FFFFFF" w:themeColor="background1"/>
            </w:tcBorders>
            <w:shd w:val="clear" w:color="auto" w:fill="F2F2F2"/>
          </w:tcPr>
          <w:p w14:paraId="02F0FAA9" w14:textId="240310B8" w:rsidR="00CC1CC9" w:rsidRPr="00323067" w:rsidRDefault="00CC1CC9" w:rsidP="00323067">
            <w:pPr>
              <w:pStyle w:val="TableText"/>
              <w:jc w:val="right"/>
              <w:cnfStyle w:val="000000000000" w:firstRow="0" w:lastRow="0" w:firstColumn="0" w:lastColumn="0" w:oddVBand="0" w:evenVBand="0" w:oddHBand="0" w:evenHBand="0" w:firstRowFirstColumn="0" w:firstRowLastColumn="0" w:lastRowFirstColumn="0" w:lastRowLastColumn="0"/>
            </w:pPr>
            <w:r w:rsidRPr="00323067">
              <w:t>12.8%</w:t>
            </w:r>
          </w:p>
        </w:tc>
        <w:tc>
          <w:tcPr>
            <w:tcW w:w="1290" w:type="pct"/>
            <w:tcBorders>
              <w:top w:val="single" w:sz="4" w:space="0" w:color="FFFFFF" w:themeColor="background1"/>
              <w:left w:val="single" w:sz="4" w:space="0" w:color="FFFFFF" w:themeColor="background1"/>
              <w:right w:val="single" w:sz="4" w:space="0" w:color="FFFFFF" w:themeColor="background1"/>
            </w:tcBorders>
            <w:shd w:val="clear" w:color="auto" w:fill="F2F2F2"/>
          </w:tcPr>
          <w:p w14:paraId="71CCE887" w14:textId="52BFA6DD" w:rsidR="00CC1CC9" w:rsidRPr="00323067" w:rsidRDefault="00CC1CC9" w:rsidP="00323067">
            <w:pPr>
              <w:pStyle w:val="TableText"/>
              <w:jc w:val="right"/>
              <w:cnfStyle w:val="000000000000" w:firstRow="0" w:lastRow="0" w:firstColumn="0" w:lastColumn="0" w:oddVBand="0" w:evenVBand="0" w:oddHBand="0" w:evenHBand="0" w:firstRowFirstColumn="0" w:firstRowLastColumn="0" w:lastRowFirstColumn="0" w:lastRowLastColumn="0"/>
            </w:pPr>
            <w:r w:rsidRPr="00323067">
              <w:t>72.5%</w:t>
            </w:r>
          </w:p>
        </w:tc>
        <w:tc>
          <w:tcPr>
            <w:tcW w:w="640" w:type="pct"/>
            <w:tcBorders>
              <w:top w:val="single" w:sz="4" w:space="0" w:color="FFFFFF" w:themeColor="background1"/>
              <w:left w:val="single" w:sz="4" w:space="0" w:color="FFFFFF" w:themeColor="background1"/>
              <w:right w:val="single" w:sz="4" w:space="0" w:color="FFFFFF" w:themeColor="background1"/>
            </w:tcBorders>
            <w:shd w:val="clear" w:color="auto" w:fill="F2F2F2"/>
          </w:tcPr>
          <w:p w14:paraId="5D0179A8" w14:textId="7EFC2668" w:rsidR="00CC1CC9" w:rsidRPr="00323067" w:rsidRDefault="00CC1CC9" w:rsidP="00323067">
            <w:pPr>
              <w:pStyle w:val="TableText"/>
              <w:jc w:val="right"/>
              <w:cnfStyle w:val="000000000000" w:firstRow="0" w:lastRow="0" w:firstColumn="0" w:lastColumn="0" w:oddVBand="0" w:evenVBand="0" w:oddHBand="0" w:evenHBand="0" w:firstRowFirstColumn="0" w:firstRowLastColumn="0" w:lastRowFirstColumn="0" w:lastRowLastColumn="0"/>
            </w:pPr>
            <w:r w:rsidRPr="00323067">
              <w:t>6.1%</w:t>
            </w:r>
          </w:p>
        </w:tc>
        <w:tc>
          <w:tcPr>
            <w:tcW w:w="788" w:type="pct"/>
            <w:tcBorders>
              <w:top w:val="single" w:sz="4" w:space="0" w:color="FFFFFF" w:themeColor="background1"/>
              <w:left w:val="single" w:sz="4" w:space="0" w:color="FFFFFF" w:themeColor="background1"/>
            </w:tcBorders>
            <w:shd w:val="clear" w:color="auto" w:fill="F2F2F2"/>
          </w:tcPr>
          <w:p w14:paraId="1CA5011E" w14:textId="06EE8621" w:rsidR="00CC1CC9" w:rsidRPr="00323067" w:rsidRDefault="00CC1CC9" w:rsidP="00323067">
            <w:pPr>
              <w:pStyle w:val="TableText"/>
              <w:jc w:val="right"/>
              <w:cnfStyle w:val="000000000000" w:firstRow="0" w:lastRow="0" w:firstColumn="0" w:lastColumn="0" w:oddVBand="0" w:evenVBand="0" w:oddHBand="0" w:evenHBand="0" w:firstRowFirstColumn="0" w:firstRowLastColumn="0" w:lastRowFirstColumn="0" w:lastRowLastColumn="0"/>
            </w:pPr>
            <w:r w:rsidRPr="00323067">
              <w:t>8.6%</w:t>
            </w:r>
          </w:p>
        </w:tc>
      </w:tr>
    </w:tbl>
    <w:p w14:paraId="2727D152" w14:textId="77777777" w:rsidR="00FB493A" w:rsidRDefault="00FB493A" w:rsidP="006562E5"/>
    <w:p w14:paraId="3D95FD99" w14:textId="77777777" w:rsidR="00FB493A" w:rsidRDefault="00FB493A" w:rsidP="006562E5"/>
    <w:p w14:paraId="3E2EA302" w14:textId="77777777" w:rsidR="00FB493A" w:rsidRPr="003027CC" w:rsidRDefault="00FB493A" w:rsidP="006562E5">
      <w:pPr>
        <w:pageBreakBefore/>
        <w:rPr>
          <w:bCs/>
        </w:rPr>
      </w:pPr>
      <w:r w:rsidRPr="006562E5">
        <w:rPr>
          <w:b/>
          <w:bCs/>
        </w:rPr>
        <w:lastRenderedPageBreak/>
        <w:t>Figure 1</w:t>
      </w:r>
    </w:p>
    <w:p w14:paraId="1E30680F" w14:textId="110A4720" w:rsidR="00FB493A" w:rsidRDefault="00CC1CC9" w:rsidP="00FB493A">
      <w:pPr>
        <w:pStyle w:val="TableHeadingText"/>
        <w:rPr>
          <w:color w:val="404040"/>
        </w:rPr>
      </w:pPr>
      <w:r>
        <w:rPr>
          <w:noProof/>
          <w:color w:val="404040"/>
        </w:rPr>
        <w:drawing>
          <wp:inline distT="0" distB="0" distL="0" distR="0" wp14:anchorId="525747A1" wp14:editId="74CAB9D8">
            <wp:extent cx="6118698" cy="4023008"/>
            <wp:effectExtent l="0" t="0" r="0" b="0"/>
            <wp:docPr id="1139604273" name="Picture 1" descr="This is bar graph image that shows Average Cost per Prescription Filled by different pharmacy types (340B, Chain, CHC, Independent, and LTC). The bar graph also breaks out expenses in four different categories: Prescription Department Non Payroll, Prescription Department Payroll, Facility Costs, and Overhead Cos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604273" name="Picture 1" descr="This is bar graph image that shows Average Cost per Prescription Filled by different pharmacy types (340B, Chain, CHC, Independent, and LTC). The bar graph also breaks out expenses in four different categories: Prescription Department Non Payroll, Prescription Department Payroll, Facility Costs, and Overhead Costs. "/>
                    <pic:cNvPicPr/>
                  </pic:nvPicPr>
                  <pic:blipFill rotWithShape="1">
                    <a:blip r:embed="rId14" cstate="print">
                      <a:extLst>
                        <a:ext uri="{28A0092B-C50C-407E-A947-70E740481C1C}">
                          <a14:useLocalDpi xmlns:a14="http://schemas.microsoft.com/office/drawing/2010/main" val="0"/>
                        </a:ext>
                      </a:extLst>
                    </a:blip>
                    <a:srcRect l="13848" r="13187" b="36033"/>
                    <a:stretch/>
                  </pic:blipFill>
                  <pic:spPr bwMode="auto">
                    <a:xfrm>
                      <a:off x="0" y="0"/>
                      <a:ext cx="6186283" cy="4067445"/>
                    </a:xfrm>
                    <a:prstGeom prst="rect">
                      <a:avLst/>
                    </a:prstGeom>
                    <a:ln>
                      <a:noFill/>
                    </a:ln>
                    <a:extLst>
                      <a:ext uri="{53640926-AAD7-44D8-BBD7-CCE9431645EC}">
                        <a14:shadowObscured xmlns:a14="http://schemas.microsoft.com/office/drawing/2010/main"/>
                      </a:ext>
                    </a:extLst>
                  </pic:spPr>
                </pic:pic>
              </a:graphicData>
            </a:graphic>
          </wp:inline>
        </w:drawing>
      </w:r>
    </w:p>
    <w:p w14:paraId="6E7733D1" w14:textId="77777777" w:rsidR="00FB493A" w:rsidRPr="000F69D7" w:rsidRDefault="00FB493A" w:rsidP="00FB493A">
      <w:pPr>
        <w:pStyle w:val="Heading3"/>
        <w:rPr>
          <w:color w:val="002C77" w:themeColor="text1"/>
          <w:sz w:val="32"/>
          <w:szCs w:val="28"/>
        </w:rPr>
      </w:pPr>
      <w:bookmarkStart w:id="69" w:name="_Toc22640786"/>
      <w:r w:rsidRPr="000F69D7">
        <w:rPr>
          <w:color w:val="002C77" w:themeColor="text1"/>
          <w:sz w:val="32"/>
          <w:szCs w:val="28"/>
        </w:rPr>
        <w:t>Inflation Adjustments</w:t>
      </w:r>
      <w:bookmarkEnd w:id="69"/>
    </w:p>
    <w:p w14:paraId="6E0BD0BC" w14:textId="470E490B" w:rsidR="00FB493A" w:rsidRDefault="00FB493A" w:rsidP="00323067">
      <w:r>
        <w:t xml:space="preserve">The Consumer Price Index (CPI) published by </w:t>
      </w:r>
      <w:r w:rsidR="003F684D">
        <w:t xml:space="preserve">the </w:t>
      </w:r>
      <w:r>
        <w:t xml:space="preserve">Bureau of Labor Statistics was used to standardize total pharmacy operational expenses, including overhead and labor costs, to the same </w:t>
      </w:r>
      <w:proofErr w:type="gramStart"/>
      <w:r>
        <w:t>time period</w:t>
      </w:r>
      <w:proofErr w:type="gramEnd"/>
      <w:r>
        <w:t xml:space="preserve"> ending on </w:t>
      </w:r>
      <w:r w:rsidR="00CC1CC9">
        <w:t>December</w:t>
      </w:r>
      <w:r w:rsidR="00A57F35">
        <w:t> </w:t>
      </w:r>
      <w:r>
        <w:t>31, 2023</w:t>
      </w:r>
      <w:r w:rsidR="003F684D">
        <w:t>,</w:t>
      </w:r>
      <w:r>
        <w:t xml:space="preserve"> for all urban consumers. Fiscal period end dates reported by pharmacies ranged </w:t>
      </w:r>
      <w:r w:rsidRPr="001536BD">
        <w:t xml:space="preserve">from </w:t>
      </w:r>
      <w:r>
        <w:t>December</w:t>
      </w:r>
      <w:r w:rsidR="00A57F35">
        <w:t> </w:t>
      </w:r>
      <w:r>
        <w:t>31, </w:t>
      </w:r>
      <w:proofErr w:type="gramStart"/>
      <w:r w:rsidR="00CC1CC9">
        <w:t>2020</w:t>
      </w:r>
      <w:proofErr w:type="gramEnd"/>
      <w:r w:rsidR="00CC1CC9" w:rsidRPr="001536BD">
        <w:t xml:space="preserve"> </w:t>
      </w:r>
      <w:r w:rsidRPr="001536BD">
        <w:t xml:space="preserve">to </w:t>
      </w:r>
      <w:r w:rsidR="00CC1CC9">
        <w:t>December 3</w:t>
      </w:r>
      <w:r>
        <w:t>1, </w:t>
      </w:r>
      <w:r w:rsidRPr="001536BD">
        <w:t>20</w:t>
      </w:r>
      <w:r>
        <w:t>23</w:t>
      </w:r>
      <w:r w:rsidRPr="001536BD">
        <w:t>.</w:t>
      </w:r>
      <w:r>
        <w:t xml:space="preserve"> Table</w:t>
      </w:r>
      <w:r w:rsidR="00F30250">
        <w:t> </w:t>
      </w:r>
      <w:r>
        <w:t>3 shows the fiscal period begin and end dates, mid</w:t>
      </w:r>
      <w:r>
        <w:noBreakHyphen/>
        <w:t>point CPI index (average of beginning and ending month CPIs), terminal month CPI index, inflation factor, and number of pharmacies, with the corresponding year end date included in the analysis.</w:t>
      </w:r>
    </w:p>
    <w:p w14:paraId="5653A738" w14:textId="60E8FD44" w:rsidR="00FB493A" w:rsidRPr="00323067" w:rsidRDefault="00FB493A" w:rsidP="00323067">
      <w:pPr>
        <w:pStyle w:val="TableHeadingText"/>
        <w:rPr>
          <w:color w:val="002C77" w:themeColor="text1"/>
        </w:rPr>
      </w:pPr>
      <w:r w:rsidRPr="00323067">
        <w:rPr>
          <w:color w:val="002C77" w:themeColor="text1"/>
        </w:rPr>
        <w:t xml:space="preserve">Table 3: Inflation </w:t>
      </w:r>
      <w:r w:rsidR="00FE43DF" w:rsidRPr="00323067">
        <w:rPr>
          <w:color w:val="002C77" w:themeColor="text1"/>
        </w:rPr>
        <w:t xml:space="preserve">Factors Used </w:t>
      </w:r>
      <w:r w:rsidRPr="00323067">
        <w:rPr>
          <w:color w:val="002C77" w:themeColor="text1"/>
        </w:rPr>
        <w:t xml:space="preserve">to </w:t>
      </w:r>
      <w:r w:rsidR="00FE43DF" w:rsidRPr="00323067">
        <w:rPr>
          <w:color w:val="002C77" w:themeColor="text1"/>
        </w:rPr>
        <w:t xml:space="preserve">Standardize Costs </w:t>
      </w:r>
      <w:r w:rsidRPr="00323067">
        <w:rPr>
          <w:color w:val="002C77" w:themeColor="text1"/>
        </w:rPr>
        <w:t xml:space="preserve">to </w:t>
      </w:r>
      <w:r w:rsidR="004B5360" w:rsidRPr="00323067">
        <w:rPr>
          <w:color w:val="002C77" w:themeColor="text1"/>
        </w:rPr>
        <w:t>December</w:t>
      </w:r>
      <w:r w:rsidRPr="00323067">
        <w:rPr>
          <w:color w:val="002C77" w:themeColor="text1"/>
        </w:rPr>
        <w:t xml:space="preserve"> 2023</w:t>
      </w:r>
    </w:p>
    <w:tbl>
      <w:tblPr>
        <w:tblStyle w:val="MMCTable"/>
        <w:tblW w:w="5000" w:type="pct"/>
        <w:tblLayout w:type="fixed"/>
        <w:tblLook w:val="04A0" w:firstRow="1" w:lastRow="0" w:firstColumn="1" w:lastColumn="0" w:noHBand="0" w:noVBand="1"/>
      </w:tblPr>
      <w:tblGrid>
        <w:gridCol w:w="1512"/>
        <w:gridCol w:w="1511"/>
        <w:gridCol w:w="1116"/>
        <w:gridCol w:w="2250"/>
        <w:gridCol w:w="1261"/>
        <w:gridCol w:w="1421"/>
      </w:tblGrid>
      <w:tr w:rsidR="0053546B" w:rsidRPr="00323067" w14:paraId="5D2581B0" w14:textId="77777777" w:rsidTr="0032306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33" w:type="pct"/>
            <w:tcBorders>
              <w:bottom w:val="single" w:sz="4" w:space="0" w:color="FFFFFF" w:themeColor="background1"/>
            </w:tcBorders>
            <w:vAlign w:val="top"/>
          </w:tcPr>
          <w:p w14:paraId="242B2BB2" w14:textId="77777777" w:rsidR="0053546B" w:rsidRPr="00323067" w:rsidRDefault="0053546B" w:rsidP="00323067">
            <w:pPr>
              <w:pStyle w:val="TableHeadingText"/>
              <w:rPr>
                <w:b/>
              </w:rPr>
            </w:pPr>
            <w:r w:rsidRPr="00323067">
              <w:rPr>
                <w:b/>
              </w:rPr>
              <w:t>Fiscal Period Begin Date</w:t>
            </w:r>
          </w:p>
        </w:tc>
        <w:tc>
          <w:tcPr>
            <w:tcW w:w="833" w:type="pct"/>
            <w:tcBorders>
              <w:bottom w:val="single" w:sz="4" w:space="0" w:color="FFFFFF" w:themeColor="background1"/>
            </w:tcBorders>
          </w:tcPr>
          <w:p w14:paraId="27380BBB" w14:textId="77777777" w:rsidR="0053546B" w:rsidRPr="00323067" w:rsidRDefault="0053546B" w:rsidP="00323067">
            <w:pPr>
              <w:pStyle w:val="TableHeadingText"/>
              <w:cnfStyle w:val="100000000000" w:firstRow="1" w:lastRow="0" w:firstColumn="0" w:lastColumn="0" w:oddVBand="0" w:evenVBand="0" w:oddHBand="0" w:evenHBand="0" w:firstRowFirstColumn="0" w:firstRowLastColumn="0" w:lastRowFirstColumn="0" w:lastRowLastColumn="0"/>
              <w:rPr>
                <w:b/>
              </w:rPr>
            </w:pPr>
            <w:r w:rsidRPr="00323067">
              <w:rPr>
                <w:b/>
              </w:rPr>
              <w:t>Fiscal Period End Date</w:t>
            </w:r>
          </w:p>
        </w:tc>
        <w:tc>
          <w:tcPr>
            <w:tcW w:w="615" w:type="pct"/>
            <w:tcBorders>
              <w:bottom w:val="single" w:sz="4" w:space="0" w:color="FFFFFF" w:themeColor="background1"/>
            </w:tcBorders>
          </w:tcPr>
          <w:p w14:paraId="2C26C406" w14:textId="77777777" w:rsidR="0053546B" w:rsidRPr="00323067" w:rsidRDefault="0053546B" w:rsidP="00C1122B">
            <w:pPr>
              <w:pStyle w:val="TableHeadingText"/>
              <w:jc w:val="right"/>
              <w:cnfStyle w:val="100000000000" w:firstRow="1" w:lastRow="0" w:firstColumn="0" w:lastColumn="0" w:oddVBand="0" w:evenVBand="0" w:oddHBand="0" w:evenHBand="0" w:firstRowFirstColumn="0" w:firstRowLastColumn="0" w:lastRowFirstColumn="0" w:lastRowLastColumn="0"/>
              <w:rPr>
                <w:b/>
              </w:rPr>
            </w:pPr>
            <w:r w:rsidRPr="00323067">
              <w:rPr>
                <w:b/>
              </w:rPr>
              <w:t>Mid-Point CPI</w:t>
            </w:r>
          </w:p>
        </w:tc>
        <w:tc>
          <w:tcPr>
            <w:tcW w:w="1240" w:type="pct"/>
            <w:tcBorders>
              <w:bottom w:val="single" w:sz="4" w:space="0" w:color="FFFFFF" w:themeColor="background1"/>
            </w:tcBorders>
          </w:tcPr>
          <w:p w14:paraId="663AF1C5" w14:textId="3C0E41D9" w:rsidR="0053546B" w:rsidRPr="00323067" w:rsidRDefault="0053546B" w:rsidP="00C1122B">
            <w:pPr>
              <w:pStyle w:val="TableHeadingText"/>
              <w:jc w:val="right"/>
              <w:cnfStyle w:val="100000000000" w:firstRow="1" w:lastRow="0" w:firstColumn="0" w:lastColumn="0" w:oddVBand="0" w:evenVBand="0" w:oddHBand="0" w:evenHBand="0" w:firstRowFirstColumn="0" w:firstRowLastColumn="0" w:lastRowFirstColumn="0" w:lastRowLastColumn="0"/>
              <w:rPr>
                <w:b/>
              </w:rPr>
            </w:pPr>
            <w:r w:rsidRPr="00323067">
              <w:rPr>
                <w:b/>
              </w:rPr>
              <w:t>Terminal Month CPI (December</w:t>
            </w:r>
            <w:r w:rsidR="00A57F35" w:rsidRPr="00323067">
              <w:rPr>
                <w:b/>
              </w:rPr>
              <w:t> </w:t>
            </w:r>
            <w:r w:rsidRPr="00323067">
              <w:rPr>
                <w:b/>
              </w:rPr>
              <w:t>2023)</w:t>
            </w:r>
          </w:p>
        </w:tc>
        <w:tc>
          <w:tcPr>
            <w:tcW w:w="695" w:type="pct"/>
            <w:tcBorders>
              <w:bottom w:val="single" w:sz="4" w:space="0" w:color="FFFFFF" w:themeColor="background1"/>
            </w:tcBorders>
          </w:tcPr>
          <w:p w14:paraId="7E59F95D" w14:textId="77777777" w:rsidR="0053546B" w:rsidRPr="00323067" w:rsidRDefault="0053546B" w:rsidP="00C1122B">
            <w:pPr>
              <w:pStyle w:val="TableHeadingText"/>
              <w:jc w:val="right"/>
              <w:cnfStyle w:val="100000000000" w:firstRow="1" w:lastRow="0" w:firstColumn="0" w:lastColumn="0" w:oddVBand="0" w:evenVBand="0" w:oddHBand="0" w:evenHBand="0" w:firstRowFirstColumn="0" w:firstRowLastColumn="0" w:lastRowFirstColumn="0" w:lastRowLastColumn="0"/>
              <w:rPr>
                <w:b/>
              </w:rPr>
            </w:pPr>
            <w:r w:rsidRPr="00323067">
              <w:rPr>
                <w:b/>
              </w:rPr>
              <w:t>Inflation Factor</w:t>
            </w:r>
          </w:p>
        </w:tc>
        <w:tc>
          <w:tcPr>
            <w:tcW w:w="783" w:type="pct"/>
            <w:tcBorders>
              <w:bottom w:val="single" w:sz="4" w:space="0" w:color="FFFFFF" w:themeColor="background1"/>
            </w:tcBorders>
          </w:tcPr>
          <w:p w14:paraId="5CC06D14" w14:textId="77777777" w:rsidR="0053546B" w:rsidRPr="00323067" w:rsidRDefault="0053546B" w:rsidP="00C1122B">
            <w:pPr>
              <w:pStyle w:val="TableHeadingText"/>
              <w:jc w:val="right"/>
              <w:cnfStyle w:val="100000000000" w:firstRow="1" w:lastRow="0" w:firstColumn="0" w:lastColumn="0" w:oddVBand="0" w:evenVBand="0" w:oddHBand="0" w:evenHBand="0" w:firstRowFirstColumn="0" w:firstRowLastColumn="0" w:lastRowFirstColumn="0" w:lastRowLastColumn="0"/>
              <w:rPr>
                <w:b/>
              </w:rPr>
            </w:pPr>
            <w:r w:rsidRPr="00323067">
              <w:rPr>
                <w:b/>
              </w:rPr>
              <w:t xml:space="preserve">Number of </w:t>
            </w:r>
            <w:r w:rsidRPr="00323067">
              <w:rPr>
                <w:b/>
              </w:rPr>
              <w:br/>
              <w:t>Pharmacies</w:t>
            </w:r>
          </w:p>
        </w:tc>
      </w:tr>
      <w:tr w:rsidR="00323067" w:rsidRPr="00323067" w14:paraId="5DFC6CBF" w14:textId="77777777" w:rsidTr="00323067">
        <w:tc>
          <w:tcPr>
            <w:cnfStyle w:val="001000000000" w:firstRow="0" w:lastRow="0" w:firstColumn="1" w:lastColumn="0" w:oddVBand="0" w:evenVBand="0" w:oddHBand="0" w:evenHBand="0" w:firstRowFirstColumn="0" w:firstRowLastColumn="0" w:lastRowFirstColumn="0" w:lastRowLastColumn="0"/>
            <w:tcW w:w="833" w:type="pct"/>
            <w:tcBorders>
              <w:top w:val="single" w:sz="4" w:space="0" w:color="FFFFFF" w:themeColor="background1"/>
              <w:bottom w:val="single" w:sz="4" w:space="0" w:color="FFFFFF" w:themeColor="background1"/>
              <w:right w:val="single" w:sz="4" w:space="0" w:color="FFFFFF" w:themeColor="background1"/>
            </w:tcBorders>
            <w:shd w:val="clear" w:color="auto" w:fill="F2F2F2"/>
          </w:tcPr>
          <w:p w14:paraId="02ED2C96" w14:textId="09BA018E" w:rsidR="0053546B" w:rsidRPr="00323067" w:rsidRDefault="0053546B" w:rsidP="00323067">
            <w:pPr>
              <w:pStyle w:val="TableText"/>
              <w:rPr>
                <w:b w:val="0"/>
                <w:bCs/>
              </w:rPr>
            </w:pPr>
            <w:r w:rsidRPr="00323067">
              <w:rPr>
                <w:b w:val="0"/>
                <w:bCs/>
              </w:rPr>
              <w:t>01/01/2020</w:t>
            </w:r>
          </w:p>
        </w:tc>
        <w:tc>
          <w:tcPr>
            <w:tcW w:w="8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5FD41C54" w14:textId="37DE3F10" w:rsidR="0053546B" w:rsidRPr="00323067" w:rsidRDefault="0053546B" w:rsidP="00323067">
            <w:pPr>
              <w:pStyle w:val="TableText"/>
              <w:cnfStyle w:val="000000000000" w:firstRow="0" w:lastRow="0" w:firstColumn="0" w:lastColumn="0" w:oddVBand="0" w:evenVBand="0" w:oddHBand="0" w:evenHBand="0" w:firstRowFirstColumn="0" w:firstRowLastColumn="0" w:lastRowFirstColumn="0" w:lastRowLastColumn="0"/>
            </w:pPr>
            <w:r w:rsidRPr="00323067">
              <w:t>12/31/2020</w:t>
            </w:r>
          </w:p>
        </w:tc>
        <w:tc>
          <w:tcPr>
            <w:tcW w:w="6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674FB84E" w14:textId="22493DAB" w:rsidR="0053546B" w:rsidRPr="00323067" w:rsidRDefault="0053546B" w:rsidP="0053546B">
            <w:pPr>
              <w:pStyle w:val="TableText"/>
              <w:jc w:val="right"/>
              <w:cnfStyle w:val="000000000000" w:firstRow="0" w:lastRow="0" w:firstColumn="0" w:lastColumn="0" w:oddVBand="0" w:evenVBand="0" w:oddHBand="0" w:evenHBand="0" w:firstRowFirstColumn="0" w:firstRowLastColumn="0" w:lastRowFirstColumn="0" w:lastRowLastColumn="0"/>
            </w:pPr>
            <w:r w:rsidRPr="00323067">
              <w:t>259.101</w:t>
            </w:r>
          </w:p>
        </w:tc>
        <w:tc>
          <w:tcPr>
            <w:tcW w:w="124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785E677E" w14:textId="28C66CF0" w:rsidR="0053546B" w:rsidRPr="00323067" w:rsidRDefault="0053546B" w:rsidP="0053546B">
            <w:pPr>
              <w:pStyle w:val="TableText"/>
              <w:jc w:val="right"/>
              <w:cnfStyle w:val="000000000000" w:firstRow="0" w:lastRow="0" w:firstColumn="0" w:lastColumn="0" w:oddVBand="0" w:evenVBand="0" w:oddHBand="0" w:evenHBand="0" w:firstRowFirstColumn="0" w:firstRowLastColumn="0" w:lastRowFirstColumn="0" w:lastRowLastColumn="0"/>
            </w:pPr>
            <w:r w:rsidRPr="00323067">
              <w:t>306.746</w:t>
            </w:r>
          </w:p>
        </w:tc>
        <w:tc>
          <w:tcPr>
            <w:tcW w:w="6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58B540D6" w14:textId="4CCFFFD3" w:rsidR="0053546B" w:rsidRPr="00323067" w:rsidRDefault="0053546B" w:rsidP="0053546B">
            <w:pPr>
              <w:pStyle w:val="TableText"/>
              <w:jc w:val="right"/>
              <w:cnfStyle w:val="000000000000" w:firstRow="0" w:lastRow="0" w:firstColumn="0" w:lastColumn="0" w:oddVBand="0" w:evenVBand="0" w:oddHBand="0" w:evenHBand="0" w:firstRowFirstColumn="0" w:firstRowLastColumn="0" w:lastRowFirstColumn="0" w:lastRowLastColumn="0"/>
            </w:pPr>
            <w:r w:rsidRPr="00323067">
              <w:t>1.1838858</w:t>
            </w:r>
          </w:p>
        </w:tc>
        <w:tc>
          <w:tcPr>
            <w:tcW w:w="783" w:type="pct"/>
            <w:tcBorders>
              <w:top w:val="single" w:sz="4" w:space="0" w:color="FFFFFF" w:themeColor="background1"/>
              <w:left w:val="single" w:sz="4" w:space="0" w:color="FFFFFF" w:themeColor="background1"/>
              <w:bottom w:val="single" w:sz="4" w:space="0" w:color="FFFFFF" w:themeColor="background1"/>
            </w:tcBorders>
            <w:shd w:val="clear" w:color="auto" w:fill="F2F2F2"/>
          </w:tcPr>
          <w:p w14:paraId="3C853985" w14:textId="320B9512" w:rsidR="0053546B" w:rsidRPr="00323067" w:rsidRDefault="0053546B" w:rsidP="0053546B">
            <w:pPr>
              <w:pStyle w:val="TableText"/>
              <w:jc w:val="right"/>
              <w:cnfStyle w:val="000000000000" w:firstRow="0" w:lastRow="0" w:firstColumn="0" w:lastColumn="0" w:oddVBand="0" w:evenVBand="0" w:oddHBand="0" w:evenHBand="0" w:firstRowFirstColumn="0" w:firstRowLastColumn="0" w:lastRowFirstColumn="0" w:lastRowLastColumn="0"/>
            </w:pPr>
            <w:r w:rsidRPr="00323067">
              <w:t>1</w:t>
            </w:r>
          </w:p>
        </w:tc>
      </w:tr>
      <w:tr w:rsidR="00323067" w:rsidRPr="00323067" w14:paraId="3FDCDB87" w14:textId="77777777" w:rsidTr="003230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Borders>
              <w:top w:val="single" w:sz="4" w:space="0" w:color="FFFFFF" w:themeColor="background1"/>
              <w:bottom w:val="single" w:sz="4" w:space="0" w:color="FFFFFF" w:themeColor="background1"/>
              <w:right w:val="single" w:sz="4" w:space="0" w:color="FFFFFF" w:themeColor="background1"/>
            </w:tcBorders>
            <w:shd w:val="clear" w:color="auto" w:fill="F2F2F2"/>
          </w:tcPr>
          <w:p w14:paraId="37E4B587" w14:textId="3E8317DD" w:rsidR="0053546B" w:rsidRPr="00323067" w:rsidRDefault="0053546B" w:rsidP="00323067">
            <w:pPr>
              <w:pStyle w:val="TableText"/>
              <w:rPr>
                <w:b w:val="0"/>
                <w:bCs/>
              </w:rPr>
            </w:pPr>
            <w:r w:rsidRPr="00323067">
              <w:rPr>
                <w:b w:val="0"/>
                <w:bCs/>
              </w:rPr>
              <w:t>01/01/2021</w:t>
            </w:r>
          </w:p>
        </w:tc>
        <w:tc>
          <w:tcPr>
            <w:tcW w:w="8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5C14C339" w14:textId="52A25997" w:rsidR="0053546B" w:rsidRPr="00323067" w:rsidRDefault="0053546B" w:rsidP="00323067">
            <w:pPr>
              <w:pStyle w:val="TableText"/>
              <w:cnfStyle w:val="000000010000" w:firstRow="0" w:lastRow="0" w:firstColumn="0" w:lastColumn="0" w:oddVBand="0" w:evenVBand="0" w:oddHBand="0" w:evenHBand="1" w:firstRowFirstColumn="0" w:firstRowLastColumn="0" w:lastRowFirstColumn="0" w:lastRowLastColumn="0"/>
            </w:pPr>
            <w:r w:rsidRPr="00323067">
              <w:t>12/31/2021</w:t>
            </w:r>
          </w:p>
        </w:tc>
        <w:tc>
          <w:tcPr>
            <w:tcW w:w="6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239250FA" w14:textId="5F005516" w:rsidR="0053546B" w:rsidRPr="00323067" w:rsidRDefault="0053546B" w:rsidP="0053546B">
            <w:pPr>
              <w:pStyle w:val="TableText"/>
              <w:jc w:val="right"/>
              <w:cnfStyle w:val="000000010000" w:firstRow="0" w:lastRow="0" w:firstColumn="0" w:lastColumn="0" w:oddVBand="0" w:evenVBand="0" w:oddHBand="0" w:evenHBand="1" w:firstRowFirstColumn="0" w:firstRowLastColumn="0" w:lastRowFirstColumn="0" w:lastRowLastColumn="0"/>
            </w:pPr>
            <w:r w:rsidRPr="00323067">
              <w:t>273.003</w:t>
            </w:r>
          </w:p>
        </w:tc>
        <w:tc>
          <w:tcPr>
            <w:tcW w:w="124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3F39568B" w14:textId="17244433" w:rsidR="0053546B" w:rsidRPr="00323067" w:rsidRDefault="0053546B" w:rsidP="0053546B">
            <w:pPr>
              <w:pStyle w:val="TableText"/>
              <w:jc w:val="right"/>
              <w:cnfStyle w:val="000000010000" w:firstRow="0" w:lastRow="0" w:firstColumn="0" w:lastColumn="0" w:oddVBand="0" w:evenVBand="0" w:oddHBand="0" w:evenHBand="1" w:firstRowFirstColumn="0" w:firstRowLastColumn="0" w:lastRowFirstColumn="0" w:lastRowLastColumn="0"/>
            </w:pPr>
            <w:r w:rsidRPr="00323067">
              <w:t>306.746</w:t>
            </w:r>
          </w:p>
        </w:tc>
        <w:tc>
          <w:tcPr>
            <w:tcW w:w="6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15B9F687" w14:textId="25E06082" w:rsidR="0053546B" w:rsidRPr="00323067" w:rsidRDefault="0053546B" w:rsidP="0053546B">
            <w:pPr>
              <w:pStyle w:val="TableText"/>
              <w:jc w:val="right"/>
              <w:cnfStyle w:val="000000010000" w:firstRow="0" w:lastRow="0" w:firstColumn="0" w:lastColumn="0" w:oddVBand="0" w:evenVBand="0" w:oddHBand="0" w:evenHBand="1" w:firstRowFirstColumn="0" w:firstRowLastColumn="0" w:lastRowFirstColumn="0" w:lastRowLastColumn="0"/>
            </w:pPr>
            <w:r w:rsidRPr="00323067">
              <w:t>1.1235994</w:t>
            </w:r>
          </w:p>
        </w:tc>
        <w:tc>
          <w:tcPr>
            <w:tcW w:w="783" w:type="pct"/>
            <w:tcBorders>
              <w:top w:val="single" w:sz="4" w:space="0" w:color="FFFFFF" w:themeColor="background1"/>
              <w:left w:val="single" w:sz="4" w:space="0" w:color="FFFFFF" w:themeColor="background1"/>
              <w:bottom w:val="single" w:sz="4" w:space="0" w:color="FFFFFF" w:themeColor="background1"/>
            </w:tcBorders>
            <w:shd w:val="clear" w:color="auto" w:fill="F2F2F2"/>
          </w:tcPr>
          <w:p w14:paraId="1A335F54" w14:textId="45218E3D" w:rsidR="0053546B" w:rsidRPr="00323067" w:rsidRDefault="0053546B" w:rsidP="0053546B">
            <w:pPr>
              <w:pStyle w:val="TableText"/>
              <w:jc w:val="right"/>
              <w:cnfStyle w:val="000000010000" w:firstRow="0" w:lastRow="0" w:firstColumn="0" w:lastColumn="0" w:oddVBand="0" w:evenVBand="0" w:oddHBand="0" w:evenHBand="1" w:firstRowFirstColumn="0" w:firstRowLastColumn="0" w:lastRowFirstColumn="0" w:lastRowLastColumn="0"/>
            </w:pPr>
            <w:r w:rsidRPr="00323067">
              <w:t>1</w:t>
            </w:r>
          </w:p>
        </w:tc>
      </w:tr>
      <w:tr w:rsidR="00323067" w:rsidRPr="00323067" w14:paraId="3E0F759F" w14:textId="77777777" w:rsidTr="00323067">
        <w:tc>
          <w:tcPr>
            <w:cnfStyle w:val="001000000000" w:firstRow="0" w:lastRow="0" w:firstColumn="1" w:lastColumn="0" w:oddVBand="0" w:evenVBand="0" w:oddHBand="0" w:evenHBand="0" w:firstRowFirstColumn="0" w:firstRowLastColumn="0" w:lastRowFirstColumn="0" w:lastRowLastColumn="0"/>
            <w:tcW w:w="833" w:type="pct"/>
            <w:tcBorders>
              <w:top w:val="single" w:sz="4" w:space="0" w:color="FFFFFF" w:themeColor="background1"/>
              <w:bottom w:val="single" w:sz="4" w:space="0" w:color="FFFFFF" w:themeColor="background1"/>
              <w:right w:val="single" w:sz="4" w:space="0" w:color="FFFFFF" w:themeColor="background1"/>
            </w:tcBorders>
            <w:shd w:val="clear" w:color="auto" w:fill="F2F2F2"/>
          </w:tcPr>
          <w:p w14:paraId="16DEA4DC" w14:textId="34DF0A0D" w:rsidR="0053546B" w:rsidRPr="00323067" w:rsidRDefault="0053546B" w:rsidP="00323067">
            <w:pPr>
              <w:pStyle w:val="TableText"/>
              <w:rPr>
                <w:b w:val="0"/>
                <w:bCs/>
              </w:rPr>
            </w:pPr>
            <w:r w:rsidRPr="00323067">
              <w:rPr>
                <w:b w:val="0"/>
                <w:bCs/>
              </w:rPr>
              <w:t>07/01/2021</w:t>
            </w:r>
          </w:p>
        </w:tc>
        <w:tc>
          <w:tcPr>
            <w:tcW w:w="8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76674517" w14:textId="45345D05" w:rsidR="0053546B" w:rsidRPr="00323067" w:rsidRDefault="0053546B" w:rsidP="00323067">
            <w:pPr>
              <w:pStyle w:val="TableText"/>
              <w:cnfStyle w:val="000000000000" w:firstRow="0" w:lastRow="0" w:firstColumn="0" w:lastColumn="0" w:oddVBand="0" w:evenVBand="0" w:oddHBand="0" w:evenHBand="0" w:firstRowFirstColumn="0" w:firstRowLastColumn="0" w:lastRowFirstColumn="0" w:lastRowLastColumn="0"/>
            </w:pPr>
            <w:r w:rsidRPr="00323067">
              <w:t>06/30/2022</w:t>
            </w:r>
          </w:p>
        </w:tc>
        <w:tc>
          <w:tcPr>
            <w:tcW w:w="6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72D273E5" w14:textId="54B82288" w:rsidR="0053546B" w:rsidRPr="00323067" w:rsidRDefault="0053546B" w:rsidP="0053546B">
            <w:pPr>
              <w:pStyle w:val="TableText"/>
              <w:jc w:val="right"/>
              <w:cnfStyle w:val="000000000000" w:firstRow="0" w:lastRow="0" w:firstColumn="0" w:lastColumn="0" w:oddVBand="0" w:evenVBand="0" w:oddHBand="0" w:evenHBand="0" w:firstRowFirstColumn="0" w:firstRowLastColumn="0" w:lastRowFirstColumn="0" w:lastRowLastColumn="0"/>
            </w:pPr>
            <w:r w:rsidRPr="00323067">
              <w:t>281.148</w:t>
            </w:r>
          </w:p>
        </w:tc>
        <w:tc>
          <w:tcPr>
            <w:tcW w:w="124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0EB511CE" w14:textId="39779979" w:rsidR="0053546B" w:rsidRPr="00323067" w:rsidRDefault="0053546B" w:rsidP="0053546B">
            <w:pPr>
              <w:pStyle w:val="TableText"/>
              <w:jc w:val="right"/>
              <w:cnfStyle w:val="000000000000" w:firstRow="0" w:lastRow="0" w:firstColumn="0" w:lastColumn="0" w:oddVBand="0" w:evenVBand="0" w:oddHBand="0" w:evenHBand="0" w:firstRowFirstColumn="0" w:firstRowLastColumn="0" w:lastRowFirstColumn="0" w:lastRowLastColumn="0"/>
            </w:pPr>
            <w:r w:rsidRPr="00323067">
              <w:t>306.746</w:t>
            </w:r>
          </w:p>
        </w:tc>
        <w:tc>
          <w:tcPr>
            <w:tcW w:w="6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5378B7D1" w14:textId="1E4BCDA6" w:rsidR="0053546B" w:rsidRPr="00323067" w:rsidRDefault="0053546B" w:rsidP="0053546B">
            <w:pPr>
              <w:pStyle w:val="TableText"/>
              <w:jc w:val="right"/>
              <w:cnfStyle w:val="000000000000" w:firstRow="0" w:lastRow="0" w:firstColumn="0" w:lastColumn="0" w:oddVBand="0" w:evenVBand="0" w:oddHBand="0" w:evenHBand="0" w:firstRowFirstColumn="0" w:firstRowLastColumn="0" w:lastRowFirstColumn="0" w:lastRowLastColumn="0"/>
            </w:pPr>
            <w:r w:rsidRPr="00323067">
              <w:t>1.0910481</w:t>
            </w:r>
          </w:p>
        </w:tc>
        <w:tc>
          <w:tcPr>
            <w:tcW w:w="783" w:type="pct"/>
            <w:tcBorders>
              <w:top w:val="single" w:sz="4" w:space="0" w:color="FFFFFF" w:themeColor="background1"/>
              <w:left w:val="single" w:sz="4" w:space="0" w:color="FFFFFF" w:themeColor="background1"/>
              <w:bottom w:val="single" w:sz="4" w:space="0" w:color="FFFFFF" w:themeColor="background1"/>
            </w:tcBorders>
            <w:shd w:val="clear" w:color="auto" w:fill="F2F2F2"/>
          </w:tcPr>
          <w:p w14:paraId="5930BEAA" w14:textId="4137C708" w:rsidR="0053546B" w:rsidRPr="00323067" w:rsidRDefault="0053546B" w:rsidP="0053546B">
            <w:pPr>
              <w:pStyle w:val="TableText"/>
              <w:jc w:val="right"/>
              <w:cnfStyle w:val="000000000000" w:firstRow="0" w:lastRow="0" w:firstColumn="0" w:lastColumn="0" w:oddVBand="0" w:evenVBand="0" w:oddHBand="0" w:evenHBand="0" w:firstRowFirstColumn="0" w:firstRowLastColumn="0" w:lastRowFirstColumn="0" w:lastRowLastColumn="0"/>
            </w:pPr>
            <w:r w:rsidRPr="00323067">
              <w:t>2</w:t>
            </w:r>
          </w:p>
        </w:tc>
      </w:tr>
      <w:tr w:rsidR="00323067" w:rsidRPr="00323067" w14:paraId="2AE31670" w14:textId="77777777" w:rsidTr="003230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Borders>
              <w:top w:val="single" w:sz="4" w:space="0" w:color="FFFFFF" w:themeColor="background1"/>
              <w:bottom w:val="single" w:sz="4" w:space="0" w:color="FFFFFF" w:themeColor="background1"/>
              <w:right w:val="single" w:sz="4" w:space="0" w:color="FFFFFF" w:themeColor="background1"/>
            </w:tcBorders>
            <w:shd w:val="clear" w:color="auto" w:fill="F2F2F2"/>
          </w:tcPr>
          <w:p w14:paraId="722023E2" w14:textId="60B68C93" w:rsidR="0053546B" w:rsidRPr="00323067" w:rsidRDefault="0053546B" w:rsidP="00323067">
            <w:pPr>
              <w:pStyle w:val="TableText"/>
              <w:rPr>
                <w:b w:val="0"/>
                <w:bCs/>
              </w:rPr>
            </w:pPr>
            <w:r w:rsidRPr="00323067">
              <w:rPr>
                <w:b w:val="0"/>
                <w:bCs/>
              </w:rPr>
              <w:t>12/30/2021</w:t>
            </w:r>
          </w:p>
        </w:tc>
        <w:tc>
          <w:tcPr>
            <w:tcW w:w="8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560D8E1C" w14:textId="4F3EE985" w:rsidR="0053546B" w:rsidRPr="00323067" w:rsidRDefault="0053546B" w:rsidP="00323067">
            <w:pPr>
              <w:pStyle w:val="TableText"/>
              <w:cnfStyle w:val="000000010000" w:firstRow="0" w:lastRow="0" w:firstColumn="0" w:lastColumn="0" w:oddVBand="0" w:evenVBand="0" w:oddHBand="0" w:evenHBand="1" w:firstRowFirstColumn="0" w:firstRowLastColumn="0" w:lastRowFirstColumn="0" w:lastRowLastColumn="0"/>
            </w:pPr>
            <w:r w:rsidRPr="00323067">
              <w:t>12/28/2022</w:t>
            </w:r>
          </w:p>
        </w:tc>
        <w:tc>
          <w:tcPr>
            <w:tcW w:w="6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6111AF7F" w14:textId="55156934" w:rsidR="0053546B" w:rsidRPr="00323067" w:rsidRDefault="0053546B" w:rsidP="0053546B">
            <w:pPr>
              <w:pStyle w:val="TableText"/>
              <w:jc w:val="right"/>
              <w:cnfStyle w:val="000000010000" w:firstRow="0" w:lastRow="0" w:firstColumn="0" w:lastColumn="0" w:oddVBand="0" w:evenVBand="0" w:oddHBand="0" w:evenHBand="1" w:firstRowFirstColumn="0" w:firstRowLastColumn="0" w:lastRowFirstColumn="0" w:lastRowLastColumn="0"/>
            </w:pPr>
            <w:r w:rsidRPr="00323067">
              <w:t>296.276</w:t>
            </w:r>
          </w:p>
        </w:tc>
        <w:tc>
          <w:tcPr>
            <w:tcW w:w="124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7E86877B" w14:textId="75439D61" w:rsidR="0053546B" w:rsidRPr="00323067" w:rsidRDefault="0053546B" w:rsidP="0053546B">
            <w:pPr>
              <w:pStyle w:val="TableText"/>
              <w:jc w:val="right"/>
              <w:cnfStyle w:val="000000010000" w:firstRow="0" w:lastRow="0" w:firstColumn="0" w:lastColumn="0" w:oddVBand="0" w:evenVBand="0" w:oddHBand="0" w:evenHBand="1" w:firstRowFirstColumn="0" w:firstRowLastColumn="0" w:lastRowFirstColumn="0" w:lastRowLastColumn="0"/>
            </w:pPr>
            <w:r w:rsidRPr="00323067">
              <w:t>306.746</w:t>
            </w:r>
          </w:p>
        </w:tc>
        <w:tc>
          <w:tcPr>
            <w:tcW w:w="6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0A086C8D" w14:textId="2857631D" w:rsidR="0053546B" w:rsidRPr="00323067" w:rsidRDefault="0053546B" w:rsidP="0053546B">
            <w:pPr>
              <w:pStyle w:val="TableText"/>
              <w:jc w:val="right"/>
              <w:cnfStyle w:val="000000010000" w:firstRow="0" w:lastRow="0" w:firstColumn="0" w:lastColumn="0" w:oddVBand="0" w:evenVBand="0" w:oddHBand="0" w:evenHBand="1" w:firstRowFirstColumn="0" w:firstRowLastColumn="0" w:lastRowFirstColumn="0" w:lastRowLastColumn="0"/>
            </w:pPr>
            <w:r w:rsidRPr="00323067">
              <w:t>1.0353387</w:t>
            </w:r>
          </w:p>
        </w:tc>
        <w:tc>
          <w:tcPr>
            <w:tcW w:w="783" w:type="pct"/>
            <w:tcBorders>
              <w:top w:val="single" w:sz="4" w:space="0" w:color="FFFFFF" w:themeColor="background1"/>
              <w:left w:val="single" w:sz="4" w:space="0" w:color="FFFFFF" w:themeColor="background1"/>
              <w:bottom w:val="single" w:sz="4" w:space="0" w:color="FFFFFF" w:themeColor="background1"/>
            </w:tcBorders>
            <w:shd w:val="clear" w:color="auto" w:fill="F2F2F2"/>
          </w:tcPr>
          <w:p w14:paraId="0039223C" w14:textId="07D3E395" w:rsidR="0053546B" w:rsidRPr="00323067" w:rsidRDefault="0053546B" w:rsidP="0053546B">
            <w:pPr>
              <w:pStyle w:val="TableText"/>
              <w:jc w:val="right"/>
              <w:cnfStyle w:val="000000010000" w:firstRow="0" w:lastRow="0" w:firstColumn="0" w:lastColumn="0" w:oddVBand="0" w:evenVBand="0" w:oddHBand="0" w:evenHBand="1" w:firstRowFirstColumn="0" w:firstRowLastColumn="0" w:lastRowFirstColumn="0" w:lastRowLastColumn="0"/>
            </w:pPr>
            <w:r w:rsidRPr="00323067">
              <w:t>15</w:t>
            </w:r>
          </w:p>
        </w:tc>
      </w:tr>
      <w:tr w:rsidR="00323067" w:rsidRPr="00323067" w14:paraId="44DC87BA" w14:textId="77777777" w:rsidTr="00323067">
        <w:tc>
          <w:tcPr>
            <w:cnfStyle w:val="001000000000" w:firstRow="0" w:lastRow="0" w:firstColumn="1" w:lastColumn="0" w:oddVBand="0" w:evenVBand="0" w:oddHBand="0" w:evenHBand="0" w:firstRowFirstColumn="0" w:firstRowLastColumn="0" w:lastRowFirstColumn="0" w:lastRowLastColumn="0"/>
            <w:tcW w:w="833" w:type="pct"/>
            <w:tcBorders>
              <w:top w:val="single" w:sz="4" w:space="0" w:color="FFFFFF" w:themeColor="background1"/>
              <w:bottom w:val="single" w:sz="4" w:space="0" w:color="FFFFFF" w:themeColor="background1"/>
              <w:right w:val="single" w:sz="4" w:space="0" w:color="FFFFFF" w:themeColor="background1"/>
            </w:tcBorders>
            <w:shd w:val="clear" w:color="auto" w:fill="F2F2F2"/>
          </w:tcPr>
          <w:p w14:paraId="64E09AD5" w14:textId="10F05356" w:rsidR="0053546B" w:rsidRPr="00323067" w:rsidRDefault="0053546B" w:rsidP="00323067">
            <w:pPr>
              <w:pStyle w:val="TableText"/>
              <w:rPr>
                <w:b w:val="0"/>
                <w:bCs/>
              </w:rPr>
            </w:pPr>
            <w:r w:rsidRPr="00323067">
              <w:rPr>
                <w:b w:val="0"/>
                <w:bCs/>
              </w:rPr>
              <w:t>01/01/2022</w:t>
            </w:r>
          </w:p>
        </w:tc>
        <w:tc>
          <w:tcPr>
            <w:tcW w:w="8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17A0C4EF" w14:textId="694AEF83" w:rsidR="0053546B" w:rsidRPr="00323067" w:rsidRDefault="0053546B" w:rsidP="00323067">
            <w:pPr>
              <w:pStyle w:val="TableText"/>
              <w:cnfStyle w:val="000000000000" w:firstRow="0" w:lastRow="0" w:firstColumn="0" w:lastColumn="0" w:oddVBand="0" w:evenVBand="0" w:oddHBand="0" w:evenHBand="0" w:firstRowFirstColumn="0" w:firstRowLastColumn="0" w:lastRowFirstColumn="0" w:lastRowLastColumn="0"/>
            </w:pPr>
            <w:r w:rsidRPr="00323067">
              <w:t>12/30/2022</w:t>
            </w:r>
          </w:p>
        </w:tc>
        <w:tc>
          <w:tcPr>
            <w:tcW w:w="6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0DAFB95A" w14:textId="17DC1EFB" w:rsidR="0053546B" w:rsidRPr="00323067" w:rsidRDefault="0053546B" w:rsidP="0053546B">
            <w:pPr>
              <w:pStyle w:val="TableText"/>
              <w:jc w:val="right"/>
              <w:cnfStyle w:val="000000000000" w:firstRow="0" w:lastRow="0" w:firstColumn="0" w:lastColumn="0" w:oddVBand="0" w:evenVBand="0" w:oddHBand="0" w:evenHBand="0" w:firstRowFirstColumn="0" w:firstRowLastColumn="0" w:lastRowFirstColumn="0" w:lastRowLastColumn="0"/>
            </w:pPr>
            <w:r w:rsidRPr="00323067">
              <w:t>296.276</w:t>
            </w:r>
          </w:p>
        </w:tc>
        <w:tc>
          <w:tcPr>
            <w:tcW w:w="124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296671D6" w14:textId="14FEBACB" w:rsidR="0053546B" w:rsidRPr="00323067" w:rsidRDefault="0053546B" w:rsidP="0053546B">
            <w:pPr>
              <w:pStyle w:val="TableText"/>
              <w:jc w:val="right"/>
              <w:cnfStyle w:val="000000000000" w:firstRow="0" w:lastRow="0" w:firstColumn="0" w:lastColumn="0" w:oddVBand="0" w:evenVBand="0" w:oddHBand="0" w:evenHBand="0" w:firstRowFirstColumn="0" w:firstRowLastColumn="0" w:lastRowFirstColumn="0" w:lastRowLastColumn="0"/>
            </w:pPr>
            <w:r w:rsidRPr="00323067">
              <w:t>306.746</w:t>
            </w:r>
          </w:p>
        </w:tc>
        <w:tc>
          <w:tcPr>
            <w:tcW w:w="6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5A29E4CD" w14:textId="3258219F" w:rsidR="0053546B" w:rsidRPr="00323067" w:rsidRDefault="0053546B" w:rsidP="0053546B">
            <w:pPr>
              <w:pStyle w:val="TableText"/>
              <w:jc w:val="right"/>
              <w:cnfStyle w:val="000000000000" w:firstRow="0" w:lastRow="0" w:firstColumn="0" w:lastColumn="0" w:oddVBand="0" w:evenVBand="0" w:oddHBand="0" w:evenHBand="0" w:firstRowFirstColumn="0" w:firstRowLastColumn="0" w:lastRowFirstColumn="0" w:lastRowLastColumn="0"/>
            </w:pPr>
            <w:r w:rsidRPr="00323067">
              <w:t>1.0353387</w:t>
            </w:r>
          </w:p>
        </w:tc>
        <w:tc>
          <w:tcPr>
            <w:tcW w:w="783" w:type="pct"/>
            <w:tcBorders>
              <w:top w:val="single" w:sz="4" w:space="0" w:color="FFFFFF" w:themeColor="background1"/>
              <w:left w:val="single" w:sz="4" w:space="0" w:color="FFFFFF" w:themeColor="background1"/>
              <w:bottom w:val="single" w:sz="4" w:space="0" w:color="FFFFFF" w:themeColor="background1"/>
            </w:tcBorders>
            <w:shd w:val="clear" w:color="auto" w:fill="F2F2F2"/>
          </w:tcPr>
          <w:p w14:paraId="143B5FF2" w14:textId="1D1305E2" w:rsidR="0053546B" w:rsidRPr="00323067" w:rsidRDefault="0053546B" w:rsidP="0053546B">
            <w:pPr>
              <w:pStyle w:val="TableText"/>
              <w:jc w:val="right"/>
              <w:cnfStyle w:val="000000000000" w:firstRow="0" w:lastRow="0" w:firstColumn="0" w:lastColumn="0" w:oddVBand="0" w:evenVBand="0" w:oddHBand="0" w:evenHBand="0" w:firstRowFirstColumn="0" w:firstRowLastColumn="0" w:lastRowFirstColumn="0" w:lastRowLastColumn="0"/>
            </w:pPr>
            <w:r w:rsidRPr="00323067">
              <w:t>2</w:t>
            </w:r>
          </w:p>
        </w:tc>
      </w:tr>
      <w:tr w:rsidR="00323067" w:rsidRPr="00323067" w14:paraId="70B14FFE" w14:textId="77777777" w:rsidTr="003230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Borders>
              <w:top w:val="single" w:sz="4" w:space="0" w:color="FFFFFF" w:themeColor="background1"/>
              <w:bottom w:val="single" w:sz="4" w:space="0" w:color="FFFFFF" w:themeColor="background1"/>
              <w:right w:val="single" w:sz="4" w:space="0" w:color="FFFFFF" w:themeColor="background1"/>
            </w:tcBorders>
            <w:shd w:val="clear" w:color="auto" w:fill="F2F2F2"/>
          </w:tcPr>
          <w:p w14:paraId="5B4FC8FB" w14:textId="7EEB9128" w:rsidR="0053546B" w:rsidRPr="00323067" w:rsidRDefault="0053546B" w:rsidP="00323067">
            <w:pPr>
              <w:pStyle w:val="TableText"/>
              <w:rPr>
                <w:b w:val="0"/>
                <w:bCs/>
              </w:rPr>
            </w:pPr>
            <w:r w:rsidRPr="00323067">
              <w:rPr>
                <w:b w:val="0"/>
                <w:bCs/>
              </w:rPr>
              <w:lastRenderedPageBreak/>
              <w:t>01/01/2022</w:t>
            </w:r>
          </w:p>
        </w:tc>
        <w:tc>
          <w:tcPr>
            <w:tcW w:w="8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1EDE19EE" w14:textId="0371954A" w:rsidR="0053546B" w:rsidRPr="00323067" w:rsidRDefault="0053546B" w:rsidP="00323067">
            <w:pPr>
              <w:pStyle w:val="TableText"/>
              <w:cnfStyle w:val="000000010000" w:firstRow="0" w:lastRow="0" w:firstColumn="0" w:lastColumn="0" w:oddVBand="0" w:evenVBand="0" w:oddHBand="0" w:evenHBand="1" w:firstRowFirstColumn="0" w:firstRowLastColumn="0" w:lastRowFirstColumn="0" w:lastRowLastColumn="0"/>
            </w:pPr>
            <w:r w:rsidRPr="00323067">
              <w:t>12/31/2022</w:t>
            </w:r>
          </w:p>
        </w:tc>
        <w:tc>
          <w:tcPr>
            <w:tcW w:w="6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499583A5" w14:textId="3354AC54" w:rsidR="0053546B" w:rsidRPr="00323067" w:rsidRDefault="0053546B" w:rsidP="0053546B">
            <w:pPr>
              <w:pStyle w:val="TableText"/>
              <w:jc w:val="right"/>
              <w:cnfStyle w:val="000000010000" w:firstRow="0" w:lastRow="0" w:firstColumn="0" w:lastColumn="0" w:oddVBand="0" w:evenVBand="0" w:oddHBand="0" w:evenHBand="1" w:firstRowFirstColumn="0" w:firstRowLastColumn="0" w:lastRowFirstColumn="0" w:lastRowLastColumn="0"/>
            </w:pPr>
            <w:r w:rsidRPr="00323067">
              <w:t>296.276</w:t>
            </w:r>
          </w:p>
        </w:tc>
        <w:tc>
          <w:tcPr>
            <w:tcW w:w="124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07E83606" w14:textId="5F3587CE" w:rsidR="0053546B" w:rsidRPr="00323067" w:rsidRDefault="0053546B" w:rsidP="0053546B">
            <w:pPr>
              <w:pStyle w:val="TableText"/>
              <w:jc w:val="right"/>
              <w:cnfStyle w:val="000000010000" w:firstRow="0" w:lastRow="0" w:firstColumn="0" w:lastColumn="0" w:oddVBand="0" w:evenVBand="0" w:oddHBand="0" w:evenHBand="1" w:firstRowFirstColumn="0" w:firstRowLastColumn="0" w:lastRowFirstColumn="0" w:lastRowLastColumn="0"/>
            </w:pPr>
            <w:r w:rsidRPr="00323067">
              <w:t>306.746</w:t>
            </w:r>
          </w:p>
        </w:tc>
        <w:tc>
          <w:tcPr>
            <w:tcW w:w="6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726D38ED" w14:textId="795A8F5D" w:rsidR="0053546B" w:rsidRPr="00323067" w:rsidRDefault="0053546B" w:rsidP="0053546B">
            <w:pPr>
              <w:pStyle w:val="TableText"/>
              <w:jc w:val="right"/>
              <w:cnfStyle w:val="000000010000" w:firstRow="0" w:lastRow="0" w:firstColumn="0" w:lastColumn="0" w:oddVBand="0" w:evenVBand="0" w:oddHBand="0" w:evenHBand="1" w:firstRowFirstColumn="0" w:firstRowLastColumn="0" w:lastRowFirstColumn="0" w:lastRowLastColumn="0"/>
            </w:pPr>
            <w:r w:rsidRPr="00323067">
              <w:t>1.0353387</w:t>
            </w:r>
          </w:p>
        </w:tc>
        <w:tc>
          <w:tcPr>
            <w:tcW w:w="783" w:type="pct"/>
            <w:tcBorders>
              <w:top w:val="single" w:sz="4" w:space="0" w:color="FFFFFF" w:themeColor="background1"/>
              <w:left w:val="single" w:sz="4" w:space="0" w:color="FFFFFF" w:themeColor="background1"/>
              <w:bottom w:val="single" w:sz="4" w:space="0" w:color="FFFFFF" w:themeColor="background1"/>
            </w:tcBorders>
            <w:shd w:val="clear" w:color="auto" w:fill="F2F2F2"/>
          </w:tcPr>
          <w:p w14:paraId="632DD781" w14:textId="49DAA1CB" w:rsidR="0053546B" w:rsidRPr="00323067" w:rsidRDefault="0053546B" w:rsidP="0053546B">
            <w:pPr>
              <w:pStyle w:val="TableText"/>
              <w:jc w:val="right"/>
              <w:cnfStyle w:val="000000010000" w:firstRow="0" w:lastRow="0" w:firstColumn="0" w:lastColumn="0" w:oddVBand="0" w:evenVBand="0" w:oddHBand="0" w:evenHBand="1" w:firstRowFirstColumn="0" w:firstRowLastColumn="0" w:lastRowFirstColumn="0" w:lastRowLastColumn="0"/>
            </w:pPr>
            <w:r w:rsidRPr="00323067">
              <w:t>442</w:t>
            </w:r>
          </w:p>
        </w:tc>
      </w:tr>
      <w:tr w:rsidR="00323067" w:rsidRPr="00323067" w14:paraId="2E2B089A" w14:textId="77777777" w:rsidTr="00323067">
        <w:tc>
          <w:tcPr>
            <w:cnfStyle w:val="001000000000" w:firstRow="0" w:lastRow="0" w:firstColumn="1" w:lastColumn="0" w:oddVBand="0" w:evenVBand="0" w:oddHBand="0" w:evenHBand="0" w:firstRowFirstColumn="0" w:firstRowLastColumn="0" w:lastRowFirstColumn="0" w:lastRowLastColumn="0"/>
            <w:tcW w:w="833" w:type="pct"/>
            <w:tcBorders>
              <w:top w:val="single" w:sz="4" w:space="0" w:color="FFFFFF" w:themeColor="background1"/>
              <w:bottom w:val="single" w:sz="4" w:space="0" w:color="FFFFFF" w:themeColor="background1"/>
              <w:right w:val="single" w:sz="4" w:space="0" w:color="FFFFFF" w:themeColor="background1"/>
            </w:tcBorders>
            <w:shd w:val="clear" w:color="auto" w:fill="F2F2F2"/>
          </w:tcPr>
          <w:p w14:paraId="5D56C533" w14:textId="6DCC4190" w:rsidR="0053546B" w:rsidRPr="00323067" w:rsidRDefault="0053546B" w:rsidP="00323067">
            <w:pPr>
              <w:pStyle w:val="TableText"/>
              <w:rPr>
                <w:b w:val="0"/>
                <w:bCs/>
              </w:rPr>
            </w:pPr>
            <w:r w:rsidRPr="00323067">
              <w:rPr>
                <w:b w:val="0"/>
                <w:bCs/>
              </w:rPr>
              <w:t>01/01/2022</w:t>
            </w:r>
          </w:p>
        </w:tc>
        <w:tc>
          <w:tcPr>
            <w:tcW w:w="8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64D80E2A" w14:textId="16A5E1EA" w:rsidR="0053546B" w:rsidRPr="00323067" w:rsidRDefault="0053546B" w:rsidP="00323067">
            <w:pPr>
              <w:pStyle w:val="TableText"/>
              <w:cnfStyle w:val="000000000000" w:firstRow="0" w:lastRow="0" w:firstColumn="0" w:lastColumn="0" w:oddVBand="0" w:evenVBand="0" w:oddHBand="0" w:evenHBand="0" w:firstRowFirstColumn="0" w:firstRowLastColumn="0" w:lastRowFirstColumn="0" w:lastRowLastColumn="0"/>
            </w:pPr>
            <w:r w:rsidRPr="00323067">
              <w:t>01/01/2023</w:t>
            </w:r>
          </w:p>
        </w:tc>
        <w:tc>
          <w:tcPr>
            <w:tcW w:w="6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4FA45CE4" w14:textId="34AF3865" w:rsidR="0053546B" w:rsidRPr="00323067" w:rsidRDefault="0053546B" w:rsidP="0053546B">
            <w:pPr>
              <w:pStyle w:val="TableText"/>
              <w:jc w:val="right"/>
              <w:cnfStyle w:val="000000000000" w:firstRow="0" w:lastRow="0" w:firstColumn="0" w:lastColumn="0" w:oddVBand="0" w:evenVBand="0" w:oddHBand="0" w:evenHBand="0" w:firstRowFirstColumn="0" w:firstRowLastColumn="0" w:lastRowFirstColumn="0" w:lastRowLastColumn="0"/>
            </w:pPr>
            <w:r w:rsidRPr="00323067">
              <w:t>296.276</w:t>
            </w:r>
          </w:p>
        </w:tc>
        <w:tc>
          <w:tcPr>
            <w:tcW w:w="124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6F8C656D" w14:textId="1DA476D2" w:rsidR="0053546B" w:rsidRPr="00323067" w:rsidRDefault="0053546B" w:rsidP="0053546B">
            <w:pPr>
              <w:pStyle w:val="TableText"/>
              <w:jc w:val="right"/>
              <w:cnfStyle w:val="000000000000" w:firstRow="0" w:lastRow="0" w:firstColumn="0" w:lastColumn="0" w:oddVBand="0" w:evenVBand="0" w:oddHBand="0" w:evenHBand="0" w:firstRowFirstColumn="0" w:firstRowLastColumn="0" w:lastRowFirstColumn="0" w:lastRowLastColumn="0"/>
            </w:pPr>
            <w:r w:rsidRPr="00323067">
              <w:t>306.746</w:t>
            </w:r>
          </w:p>
        </w:tc>
        <w:tc>
          <w:tcPr>
            <w:tcW w:w="6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781BF530" w14:textId="4848C2A9" w:rsidR="0053546B" w:rsidRPr="00323067" w:rsidRDefault="0053546B" w:rsidP="0053546B">
            <w:pPr>
              <w:pStyle w:val="TableText"/>
              <w:jc w:val="right"/>
              <w:cnfStyle w:val="000000000000" w:firstRow="0" w:lastRow="0" w:firstColumn="0" w:lastColumn="0" w:oddVBand="0" w:evenVBand="0" w:oddHBand="0" w:evenHBand="0" w:firstRowFirstColumn="0" w:firstRowLastColumn="0" w:lastRowFirstColumn="0" w:lastRowLastColumn="0"/>
            </w:pPr>
            <w:r w:rsidRPr="00323067">
              <w:t>1.0353387</w:t>
            </w:r>
          </w:p>
        </w:tc>
        <w:tc>
          <w:tcPr>
            <w:tcW w:w="783" w:type="pct"/>
            <w:tcBorders>
              <w:top w:val="single" w:sz="4" w:space="0" w:color="FFFFFF" w:themeColor="background1"/>
              <w:left w:val="single" w:sz="4" w:space="0" w:color="FFFFFF" w:themeColor="background1"/>
              <w:bottom w:val="single" w:sz="4" w:space="0" w:color="FFFFFF" w:themeColor="background1"/>
            </w:tcBorders>
            <w:shd w:val="clear" w:color="auto" w:fill="F2F2F2"/>
          </w:tcPr>
          <w:p w14:paraId="639A3689" w14:textId="5B919CB9" w:rsidR="0053546B" w:rsidRPr="00323067" w:rsidRDefault="0053546B" w:rsidP="0053546B">
            <w:pPr>
              <w:pStyle w:val="TableText"/>
              <w:jc w:val="right"/>
              <w:cnfStyle w:val="000000000000" w:firstRow="0" w:lastRow="0" w:firstColumn="0" w:lastColumn="0" w:oddVBand="0" w:evenVBand="0" w:oddHBand="0" w:evenHBand="0" w:firstRowFirstColumn="0" w:firstRowLastColumn="0" w:lastRowFirstColumn="0" w:lastRowLastColumn="0"/>
            </w:pPr>
            <w:r w:rsidRPr="00323067">
              <w:t>1</w:t>
            </w:r>
          </w:p>
        </w:tc>
      </w:tr>
      <w:tr w:rsidR="00323067" w:rsidRPr="00323067" w14:paraId="61B1580C" w14:textId="77777777" w:rsidTr="003230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Borders>
              <w:top w:val="single" w:sz="4" w:space="0" w:color="FFFFFF" w:themeColor="background1"/>
              <w:bottom w:val="single" w:sz="4" w:space="0" w:color="FFFFFF" w:themeColor="background1"/>
              <w:right w:val="single" w:sz="4" w:space="0" w:color="FFFFFF" w:themeColor="background1"/>
            </w:tcBorders>
            <w:shd w:val="clear" w:color="auto" w:fill="F2F2F2"/>
          </w:tcPr>
          <w:p w14:paraId="43F5C5D3" w14:textId="49BB6E68" w:rsidR="0053546B" w:rsidRPr="00323067" w:rsidRDefault="0053546B" w:rsidP="00323067">
            <w:pPr>
              <w:pStyle w:val="TableText"/>
              <w:rPr>
                <w:b w:val="0"/>
                <w:bCs/>
              </w:rPr>
            </w:pPr>
            <w:r w:rsidRPr="00323067">
              <w:rPr>
                <w:b w:val="0"/>
                <w:bCs/>
              </w:rPr>
              <w:t>01/02/2022</w:t>
            </w:r>
          </w:p>
        </w:tc>
        <w:tc>
          <w:tcPr>
            <w:tcW w:w="8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46B30D3D" w14:textId="0654B3C7" w:rsidR="0053546B" w:rsidRPr="00323067" w:rsidRDefault="0053546B" w:rsidP="00323067">
            <w:pPr>
              <w:pStyle w:val="TableText"/>
              <w:cnfStyle w:val="000000010000" w:firstRow="0" w:lastRow="0" w:firstColumn="0" w:lastColumn="0" w:oddVBand="0" w:evenVBand="0" w:oddHBand="0" w:evenHBand="1" w:firstRowFirstColumn="0" w:firstRowLastColumn="0" w:lastRowFirstColumn="0" w:lastRowLastColumn="0"/>
            </w:pPr>
            <w:r w:rsidRPr="00323067">
              <w:t>12/31/2022</w:t>
            </w:r>
          </w:p>
        </w:tc>
        <w:tc>
          <w:tcPr>
            <w:tcW w:w="6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5E0FB1FA" w14:textId="5827660C" w:rsidR="0053546B" w:rsidRPr="00323067" w:rsidRDefault="0053546B" w:rsidP="0053546B">
            <w:pPr>
              <w:pStyle w:val="TableText"/>
              <w:jc w:val="right"/>
              <w:cnfStyle w:val="000000010000" w:firstRow="0" w:lastRow="0" w:firstColumn="0" w:lastColumn="0" w:oddVBand="0" w:evenVBand="0" w:oddHBand="0" w:evenHBand="1" w:firstRowFirstColumn="0" w:firstRowLastColumn="0" w:lastRowFirstColumn="0" w:lastRowLastColumn="0"/>
            </w:pPr>
            <w:r w:rsidRPr="00323067">
              <w:t>296.276</w:t>
            </w:r>
          </w:p>
        </w:tc>
        <w:tc>
          <w:tcPr>
            <w:tcW w:w="124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1B2BB557" w14:textId="0375D822" w:rsidR="0053546B" w:rsidRPr="00323067" w:rsidRDefault="0053546B" w:rsidP="0053546B">
            <w:pPr>
              <w:pStyle w:val="TableText"/>
              <w:jc w:val="right"/>
              <w:cnfStyle w:val="000000010000" w:firstRow="0" w:lastRow="0" w:firstColumn="0" w:lastColumn="0" w:oddVBand="0" w:evenVBand="0" w:oddHBand="0" w:evenHBand="1" w:firstRowFirstColumn="0" w:firstRowLastColumn="0" w:lastRowFirstColumn="0" w:lastRowLastColumn="0"/>
            </w:pPr>
            <w:r w:rsidRPr="00323067">
              <w:t>306.746</w:t>
            </w:r>
          </w:p>
        </w:tc>
        <w:tc>
          <w:tcPr>
            <w:tcW w:w="6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76D88532" w14:textId="76565B94" w:rsidR="0053546B" w:rsidRPr="00323067" w:rsidRDefault="0053546B" w:rsidP="0053546B">
            <w:pPr>
              <w:pStyle w:val="TableText"/>
              <w:jc w:val="right"/>
              <w:cnfStyle w:val="000000010000" w:firstRow="0" w:lastRow="0" w:firstColumn="0" w:lastColumn="0" w:oddVBand="0" w:evenVBand="0" w:oddHBand="0" w:evenHBand="1" w:firstRowFirstColumn="0" w:firstRowLastColumn="0" w:lastRowFirstColumn="0" w:lastRowLastColumn="0"/>
            </w:pPr>
            <w:r w:rsidRPr="00323067">
              <w:t>1.0353387</w:t>
            </w:r>
          </w:p>
        </w:tc>
        <w:tc>
          <w:tcPr>
            <w:tcW w:w="783" w:type="pct"/>
            <w:tcBorders>
              <w:top w:val="single" w:sz="4" w:space="0" w:color="FFFFFF" w:themeColor="background1"/>
              <w:left w:val="single" w:sz="4" w:space="0" w:color="FFFFFF" w:themeColor="background1"/>
              <w:bottom w:val="single" w:sz="4" w:space="0" w:color="FFFFFF" w:themeColor="background1"/>
            </w:tcBorders>
            <w:shd w:val="clear" w:color="auto" w:fill="F2F2F2"/>
          </w:tcPr>
          <w:p w14:paraId="6B7AD103" w14:textId="3F590B34" w:rsidR="0053546B" w:rsidRPr="00323067" w:rsidRDefault="0053546B" w:rsidP="0053546B">
            <w:pPr>
              <w:pStyle w:val="TableText"/>
              <w:jc w:val="right"/>
              <w:cnfStyle w:val="000000010000" w:firstRow="0" w:lastRow="0" w:firstColumn="0" w:lastColumn="0" w:oddVBand="0" w:evenVBand="0" w:oddHBand="0" w:evenHBand="1" w:firstRowFirstColumn="0" w:firstRowLastColumn="0" w:lastRowFirstColumn="0" w:lastRowLastColumn="0"/>
            </w:pPr>
            <w:r w:rsidRPr="00323067">
              <w:t>73</w:t>
            </w:r>
          </w:p>
        </w:tc>
      </w:tr>
      <w:tr w:rsidR="00323067" w:rsidRPr="00323067" w14:paraId="0058FB74" w14:textId="77777777" w:rsidTr="00323067">
        <w:tc>
          <w:tcPr>
            <w:cnfStyle w:val="001000000000" w:firstRow="0" w:lastRow="0" w:firstColumn="1" w:lastColumn="0" w:oddVBand="0" w:evenVBand="0" w:oddHBand="0" w:evenHBand="0" w:firstRowFirstColumn="0" w:firstRowLastColumn="0" w:lastRowFirstColumn="0" w:lastRowLastColumn="0"/>
            <w:tcW w:w="833" w:type="pct"/>
            <w:tcBorders>
              <w:top w:val="single" w:sz="4" w:space="0" w:color="FFFFFF" w:themeColor="background1"/>
              <w:bottom w:val="single" w:sz="4" w:space="0" w:color="FFFFFF" w:themeColor="background1"/>
              <w:right w:val="single" w:sz="4" w:space="0" w:color="FFFFFF" w:themeColor="background1"/>
            </w:tcBorders>
            <w:shd w:val="clear" w:color="auto" w:fill="F2F2F2"/>
          </w:tcPr>
          <w:p w14:paraId="6B8BBD37" w14:textId="30D27110" w:rsidR="0053546B" w:rsidRPr="00323067" w:rsidRDefault="0053546B" w:rsidP="00323067">
            <w:pPr>
              <w:pStyle w:val="TableText"/>
              <w:rPr>
                <w:b w:val="0"/>
                <w:bCs/>
              </w:rPr>
            </w:pPr>
            <w:r w:rsidRPr="00323067">
              <w:rPr>
                <w:b w:val="0"/>
                <w:bCs/>
              </w:rPr>
              <w:t>01/20/2022</w:t>
            </w:r>
          </w:p>
        </w:tc>
        <w:tc>
          <w:tcPr>
            <w:tcW w:w="8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6AE6E6A8" w14:textId="34DC9267" w:rsidR="0053546B" w:rsidRPr="00323067" w:rsidRDefault="0053546B" w:rsidP="00323067">
            <w:pPr>
              <w:pStyle w:val="TableText"/>
              <w:cnfStyle w:val="000000000000" w:firstRow="0" w:lastRow="0" w:firstColumn="0" w:lastColumn="0" w:oddVBand="0" w:evenVBand="0" w:oddHBand="0" w:evenHBand="0" w:firstRowFirstColumn="0" w:firstRowLastColumn="0" w:lastRowFirstColumn="0" w:lastRowLastColumn="0"/>
            </w:pPr>
            <w:r w:rsidRPr="00323067">
              <w:t>01/20/2023</w:t>
            </w:r>
          </w:p>
        </w:tc>
        <w:tc>
          <w:tcPr>
            <w:tcW w:w="6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372BA8A7" w14:textId="6A96E5E7" w:rsidR="0053546B" w:rsidRPr="00323067" w:rsidRDefault="0053546B" w:rsidP="0053546B">
            <w:pPr>
              <w:pStyle w:val="TableText"/>
              <w:jc w:val="right"/>
              <w:cnfStyle w:val="000000000000" w:firstRow="0" w:lastRow="0" w:firstColumn="0" w:lastColumn="0" w:oddVBand="0" w:evenVBand="0" w:oddHBand="0" w:evenHBand="0" w:firstRowFirstColumn="0" w:firstRowLastColumn="0" w:lastRowFirstColumn="0" w:lastRowLastColumn="0"/>
            </w:pPr>
            <w:r w:rsidRPr="00323067">
              <w:t>296.171</w:t>
            </w:r>
          </w:p>
        </w:tc>
        <w:tc>
          <w:tcPr>
            <w:tcW w:w="124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20F1DE9E" w14:textId="7B157B34" w:rsidR="0053546B" w:rsidRPr="00323067" w:rsidRDefault="0053546B" w:rsidP="0053546B">
            <w:pPr>
              <w:pStyle w:val="TableText"/>
              <w:jc w:val="right"/>
              <w:cnfStyle w:val="000000000000" w:firstRow="0" w:lastRow="0" w:firstColumn="0" w:lastColumn="0" w:oddVBand="0" w:evenVBand="0" w:oddHBand="0" w:evenHBand="0" w:firstRowFirstColumn="0" w:firstRowLastColumn="0" w:lastRowFirstColumn="0" w:lastRowLastColumn="0"/>
            </w:pPr>
            <w:r w:rsidRPr="00323067">
              <w:t>306.746</w:t>
            </w:r>
          </w:p>
        </w:tc>
        <w:tc>
          <w:tcPr>
            <w:tcW w:w="6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79F625F7" w14:textId="4BF121F4" w:rsidR="0053546B" w:rsidRPr="00323067" w:rsidRDefault="0053546B" w:rsidP="0053546B">
            <w:pPr>
              <w:pStyle w:val="TableText"/>
              <w:jc w:val="right"/>
              <w:cnfStyle w:val="000000000000" w:firstRow="0" w:lastRow="0" w:firstColumn="0" w:lastColumn="0" w:oddVBand="0" w:evenVBand="0" w:oddHBand="0" w:evenHBand="0" w:firstRowFirstColumn="0" w:firstRowLastColumn="0" w:lastRowFirstColumn="0" w:lastRowLastColumn="0"/>
            </w:pPr>
            <w:r w:rsidRPr="00323067">
              <w:t>1.0357057</w:t>
            </w:r>
          </w:p>
        </w:tc>
        <w:tc>
          <w:tcPr>
            <w:tcW w:w="783" w:type="pct"/>
            <w:tcBorders>
              <w:top w:val="single" w:sz="4" w:space="0" w:color="FFFFFF" w:themeColor="background1"/>
              <w:left w:val="single" w:sz="4" w:space="0" w:color="FFFFFF" w:themeColor="background1"/>
              <w:bottom w:val="single" w:sz="4" w:space="0" w:color="FFFFFF" w:themeColor="background1"/>
            </w:tcBorders>
            <w:shd w:val="clear" w:color="auto" w:fill="F2F2F2"/>
          </w:tcPr>
          <w:p w14:paraId="731B7B60" w14:textId="143CFC5B" w:rsidR="0053546B" w:rsidRPr="00323067" w:rsidRDefault="0053546B" w:rsidP="0053546B">
            <w:pPr>
              <w:pStyle w:val="TableText"/>
              <w:jc w:val="right"/>
              <w:cnfStyle w:val="000000000000" w:firstRow="0" w:lastRow="0" w:firstColumn="0" w:lastColumn="0" w:oddVBand="0" w:evenVBand="0" w:oddHBand="0" w:evenHBand="0" w:firstRowFirstColumn="0" w:firstRowLastColumn="0" w:lastRowFirstColumn="0" w:lastRowLastColumn="0"/>
            </w:pPr>
            <w:r w:rsidRPr="00323067">
              <w:t>1</w:t>
            </w:r>
          </w:p>
        </w:tc>
      </w:tr>
      <w:tr w:rsidR="00323067" w:rsidRPr="00323067" w14:paraId="030B1D46" w14:textId="77777777" w:rsidTr="003230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Borders>
              <w:top w:val="single" w:sz="4" w:space="0" w:color="FFFFFF" w:themeColor="background1"/>
              <w:bottom w:val="single" w:sz="4" w:space="0" w:color="FFFFFF" w:themeColor="background1"/>
              <w:right w:val="single" w:sz="4" w:space="0" w:color="FFFFFF" w:themeColor="background1"/>
            </w:tcBorders>
            <w:shd w:val="clear" w:color="auto" w:fill="F2F2F2"/>
          </w:tcPr>
          <w:p w14:paraId="70B34211" w14:textId="4C5E5CAE" w:rsidR="0053546B" w:rsidRPr="00323067" w:rsidRDefault="0053546B" w:rsidP="00323067">
            <w:pPr>
              <w:pStyle w:val="TableText"/>
              <w:rPr>
                <w:b w:val="0"/>
                <w:bCs/>
              </w:rPr>
            </w:pPr>
            <w:r w:rsidRPr="00323067">
              <w:rPr>
                <w:b w:val="0"/>
                <w:bCs/>
              </w:rPr>
              <w:t>02/01/2022</w:t>
            </w:r>
          </w:p>
        </w:tc>
        <w:tc>
          <w:tcPr>
            <w:tcW w:w="8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27FA7778" w14:textId="03DBEAF8" w:rsidR="0053546B" w:rsidRPr="00323067" w:rsidRDefault="0053546B" w:rsidP="00323067">
            <w:pPr>
              <w:pStyle w:val="TableText"/>
              <w:cnfStyle w:val="000000010000" w:firstRow="0" w:lastRow="0" w:firstColumn="0" w:lastColumn="0" w:oddVBand="0" w:evenVBand="0" w:oddHBand="0" w:evenHBand="1" w:firstRowFirstColumn="0" w:firstRowLastColumn="0" w:lastRowFirstColumn="0" w:lastRowLastColumn="0"/>
            </w:pPr>
            <w:r w:rsidRPr="00323067">
              <w:t>01/31/2023</w:t>
            </w:r>
          </w:p>
        </w:tc>
        <w:tc>
          <w:tcPr>
            <w:tcW w:w="6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4EC61108" w14:textId="5DDC45CD" w:rsidR="0053546B" w:rsidRPr="00323067" w:rsidRDefault="0053546B" w:rsidP="0053546B">
            <w:pPr>
              <w:pStyle w:val="TableText"/>
              <w:jc w:val="right"/>
              <w:cnfStyle w:val="000000010000" w:firstRow="0" w:lastRow="0" w:firstColumn="0" w:lastColumn="0" w:oddVBand="0" w:evenVBand="0" w:oddHBand="0" w:evenHBand="1" w:firstRowFirstColumn="0" w:firstRowLastColumn="0" w:lastRowFirstColumn="0" w:lastRowLastColumn="0"/>
            </w:pPr>
            <w:r w:rsidRPr="00323067">
              <w:t>296.171</w:t>
            </w:r>
          </w:p>
        </w:tc>
        <w:tc>
          <w:tcPr>
            <w:tcW w:w="124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1F8842F7" w14:textId="41F13264" w:rsidR="0053546B" w:rsidRPr="00323067" w:rsidRDefault="0053546B" w:rsidP="0053546B">
            <w:pPr>
              <w:pStyle w:val="TableText"/>
              <w:jc w:val="right"/>
              <w:cnfStyle w:val="000000010000" w:firstRow="0" w:lastRow="0" w:firstColumn="0" w:lastColumn="0" w:oddVBand="0" w:evenVBand="0" w:oddHBand="0" w:evenHBand="1" w:firstRowFirstColumn="0" w:firstRowLastColumn="0" w:lastRowFirstColumn="0" w:lastRowLastColumn="0"/>
            </w:pPr>
            <w:r w:rsidRPr="00323067">
              <w:t>306.746</w:t>
            </w:r>
          </w:p>
        </w:tc>
        <w:tc>
          <w:tcPr>
            <w:tcW w:w="6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497DB627" w14:textId="3E354CA9" w:rsidR="0053546B" w:rsidRPr="00323067" w:rsidRDefault="0053546B" w:rsidP="0053546B">
            <w:pPr>
              <w:pStyle w:val="TableText"/>
              <w:jc w:val="right"/>
              <w:cnfStyle w:val="000000010000" w:firstRow="0" w:lastRow="0" w:firstColumn="0" w:lastColumn="0" w:oddVBand="0" w:evenVBand="0" w:oddHBand="0" w:evenHBand="1" w:firstRowFirstColumn="0" w:firstRowLastColumn="0" w:lastRowFirstColumn="0" w:lastRowLastColumn="0"/>
            </w:pPr>
            <w:r w:rsidRPr="00323067">
              <w:t>1.0357057</w:t>
            </w:r>
          </w:p>
        </w:tc>
        <w:tc>
          <w:tcPr>
            <w:tcW w:w="783" w:type="pct"/>
            <w:tcBorders>
              <w:top w:val="single" w:sz="4" w:space="0" w:color="FFFFFF" w:themeColor="background1"/>
              <w:left w:val="single" w:sz="4" w:space="0" w:color="FFFFFF" w:themeColor="background1"/>
              <w:bottom w:val="single" w:sz="4" w:space="0" w:color="FFFFFF" w:themeColor="background1"/>
            </w:tcBorders>
            <w:shd w:val="clear" w:color="auto" w:fill="F2F2F2"/>
          </w:tcPr>
          <w:p w14:paraId="76C1C763" w14:textId="08ADA7EE" w:rsidR="0053546B" w:rsidRPr="00323067" w:rsidRDefault="0053546B" w:rsidP="0053546B">
            <w:pPr>
              <w:pStyle w:val="TableText"/>
              <w:jc w:val="right"/>
              <w:cnfStyle w:val="000000010000" w:firstRow="0" w:lastRow="0" w:firstColumn="0" w:lastColumn="0" w:oddVBand="0" w:evenVBand="0" w:oddHBand="0" w:evenHBand="1" w:firstRowFirstColumn="0" w:firstRowLastColumn="0" w:lastRowFirstColumn="0" w:lastRowLastColumn="0"/>
            </w:pPr>
            <w:r w:rsidRPr="00323067">
              <w:t>54</w:t>
            </w:r>
          </w:p>
        </w:tc>
      </w:tr>
      <w:tr w:rsidR="00323067" w:rsidRPr="00323067" w14:paraId="305E115F" w14:textId="77777777" w:rsidTr="00323067">
        <w:tc>
          <w:tcPr>
            <w:cnfStyle w:val="001000000000" w:firstRow="0" w:lastRow="0" w:firstColumn="1" w:lastColumn="0" w:oddVBand="0" w:evenVBand="0" w:oddHBand="0" w:evenHBand="0" w:firstRowFirstColumn="0" w:firstRowLastColumn="0" w:lastRowFirstColumn="0" w:lastRowLastColumn="0"/>
            <w:tcW w:w="833" w:type="pct"/>
            <w:tcBorders>
              <w:top w:val="single" w:sz="4" w:space="0" w:color="FFFFFF" w:themeColor="background1"/>
              <w:bottom w:val="single" w:sz="4" w:space="0" w:color="FFFFFF" w:themeColor="background1"/>
              <w:right w:val="single" w:sz="4" w:space="0" w:color="FFFFFF" w:themeColor="background1"/>
            </w:tcBorders>
            <w:shd w:val="clear" w:color="auto" w:fill="F2F2F2"/>
          </w:tcPr>
          <w:p w14:paraId="5C6EC717" w14:textId="44B86D71" w:rsidR="0053546B" w:rsidRPr="00323067" w:rsidRDefault="0053546B" w:rsidP="00323067">
            <w:pPr>
              <w:pStyle w:val="TableText"/>
              <w:rPr>
                <w:b w:val="0"/>
                <w:bCs/>
              </w:rPr>
            </w:pPr>
            <w:r w:rsidRPr="00323067">
              <w:rPr>
                <w:b w:val="0"/>
                <w:bCs/>
              </w:rPr>
              <w:t>06/13/2022</w:t>
            </w:r>
          </w:p>
        </w:tc>
        <w:tc>
          <w:tcPr>
            <w:tcW w:w="8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20D8B432" w14:textId="4F67AB7A" w:rsidR="0053546B" w:rsidRPr="00323067" w:rsidRDefault="0053546B" w:rsidP="00323067">
            <w:pPr>
              <w:pStyle w:val="TableText"/>
              <w:cnfStyle w:val="000000000000" w:firstRow="0" w:lastRow="0" w:firstColumn="0" w:lastColumn="0" w:oddVBand="0" w:evenVBand="0" w:oddHBand="0" w:evenHBand="0" w:firstRowFirstColumn="0" w:firstRowLastColumn="0" w:lastRowFirstColumn="0" w:lastRowLastColumn="0"/>
            </w:pPr>
            <w:r w:rsidRPr="00323067">
              <w:t>06/13/2023</w:t>
            </w:r>
          </w:p>
        </w:tc>
        <w:tc>
          <w:tcPr>
            <w:tcW w:w="6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3485AFCA" w14:textId="0A9F98BE" w:rsidR="0053546B" w:rsidRPr="00323067" w:rsidRDefault="0053546B" w:rsidP="0053546B">
            <w:pPr>
              <w:pStyle w:val="TableText"/>
              <w:jc w:val="right"/>
              <w:cnfStyle w:val="000000000000" w:firstRow="0" w:lastRow="0" w:firstColumn="0" w:lastColumn="0" w:oddVBand="0" w:evenVBand="0" w:oddHBand="0" w:evenHBand="0" w:firstRowFirstColumn="0" w:firstRowLastColumn="0" w:lastRowFirstColumn="0" w:lastRowLastColumn="0"/>
            </w:pPr>
            <w:r w:rsidRPr="00323067">
              <w:t>296.797</w:t>
            </w:r>
          </w:p>
        </w:tc>
        <w:tc>
          <w:tcPr>
            <w:tcW w:w="124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07B5B91E" w14:textId="29C7014B" w:rsidR="0053546B" w:rsidRPr="00323067" w:rsidRDefault="0053546B" w:rsidP="0053546B">
            <w:pPr>
              <w:pStyle w:val="TableText"/>
              <w:jc w:val="right"/>
              <w:cnfStyle w:val="000000000000" w:firstRow="0" w:lastRow="0" w:firstColumn="0" w:lastColumn="0" w:oddVBand="0" w:evenVBand="0" w:oddHBand="0" w:evenHBand="0" w:firstRowFirstColumn="0" w:firstRowLastColumn="0" w:lastRowFirstColumn="0" w:lastRowLastColumn="0"/>
            </w:pPr>
            <w:r w:rsidRPr="00323067">
              <w:t>306.746</w:t>
            </w:r>
          </w:p>
        </w:tc>
        <w:tc>
          <w:tcPr>
            <w:tcW w:w="6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618B7A7B" w14:textId="7A37EFB3" w:rsidR="0053546B" w:rsidRPr="00323067" w:rsidRDefault="0053546B" w:rsidP="0053546B">
            <w:pPr>
              <w:pStyle w:val="TableText"/>
              <w:jc w:val="right"/>
              <w:cnfStyle w:val="000000000000" w:firstRow="0" w:lastRow="0" w:firstColumn="0" w:lastColumn="0" w:oddVBand="0" w:evenVBand="0" w:oddHBand="0" w:evenHBand="0" w:firstRowFirstColumn="0" w:firstRowLastColumn="0" w:lastRowFirstColumn="0" w:lastRowLastColumn="0"/>
            </w:pPr>
            <w:r w:rsidRPr="00323067">
              <w:t>1.0335212</w:t>
            </w:r>
          </w:p>
        </w:tc>
        <w:tc>
          <w:tcPr>
            <w:tcW w:w="783" w:type="pct"/>
            <w:tcBorders>
              <w:top w:val="single" w:sz="4" w:space="0" w:color="FFFFFF" w:themeColor="background1"/>
              <w:left w:val="single" w:sz="4" w:space="0" w:color="FFFFFF" w:themeColor="background1"/>
              <w:bottom w:val="single" w:sz="4" w:space="0" w:color="FFFFFF" w:themeColor="background1"/>
            </w:tcBorders>
            <w:shd w:val="clear" w:color="auto" w:fill="F2F2F2"/>
          </w:tcPr>
          <w:p w14:paraId="3EE69E92" w14:textId="759027EB" w:rsidR="0053546B" w:rsidRPr="00323067" w:rsidRDefault="0053546B" w:rsidP="0053546B">
            <w:pPr>
              <w:pStyle w:val="TableText"/>
              <w:jc w:val="right"/>
              <w:cnfStyle w:val="000000000000" w:firstRow="0" w:lastRow="0" w:firstColumn="0" w:lastColumn="0" w:oddVBand="0" w:evenVBand="0" w:oddHBand="0" w:evenHBand="0" w:firstRowFirstColumn="0" w:firstRowLastColumn="0" w:lastRowFirstColumn="0" w:lastRowLastColumn="0"/>
            </w:pPr>
            <w:r w:rsidRPr="00323067">
              <w:t>1</w:t>
            </w:r>
          </w:p>
        </w:tc>
      </w:tr>
      <w:tr w:rsidR="00323067" w:rsidRPr="00323067" w14:paraId="25A17BC8" w14:textId="77777777" w:rsidTr="003230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Borders>
              <w:top w:val="single" w:sz="4" w:space="0" w:color="FFFFFF" w:themeColor="background1"/>
              <w:bottom w:val="single" w:sz="4" w:space="0" w:color="FFFFFF" w:themeColor="background1"/>
              <w:right w:val="single" w:sz="4" w:space="0" w:color="FFFFFF" w:themeColor="background1"/>
            </w:tcBorders>
            <w:shd w:val="clear" w:color="auto" w:fill="F2F2F2"/>
          </w:tcPr>
          <w:p w14:paraId="23CD242F" w14:textId="74E1F491" w:rsidR="0053546B" w:rsidRPr="00323067" w:rsidRDefault="0053546B" w:rsidP="00323067">
            <w:pPr>
              <w:pStyle w:val="TableText"/>
              <w:rPr>
                <w:b w:val="0"/>
                <w:bCs/>
              </w:rPr>
            </w:pPr>
            <w:r w:rsidRPr="00323067">
              <w:rPr>
                <w:b w:val="0"/>
                <w:bCs/>
              </w:rPr>
              <w:t>07/01/2022</w:t>
            </w:r>
          </w:p>
        </w:tc>
        <w:tc>
          <w:tcPr>
            <w:tcW w:w="8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0FF1DB2C" w14:textId="3FDDDC1B" w:rsidR="0053546B" w:rsidRPr="00323067" w:rsidRDefault="0053546B" w:rsidP="00323067">
            <w:pPr>
              <w:pStyle w:val="TableText"/>
              <w:cnfStyle w:val="000000010000" w:firstRow="0" w:lastRow="0" w:firstColumn="0" w:lastColumn="0" w:oddVBand="0" w:evenVBand="0" w:oddHBand="0" w:evenHBand="1" w:firstRowFirstColumn="0" w:firstRowLastColumn="0" w:lastRowFirstColumn="0" w:lastRowLastColumn="0"/>
            </w:pPr>
            <w:r w:rsidRPr="00323067">
              <w:t>06/30/2023</w:t>
            </w:r>
          </w:p>
        </w:tc>
        <w:tc>
          <w:tcPr>
            <w:tcW w:w="6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4C71CE06" w14:textId="05944E1D" w:rsidR="0053546B" w:rsidRPr="00323067" w:rsidRDefault="0053546B" w:rsidP="0053546B">
            <w:pPr>
              <w:pStyle w:val="TableText"/>
              <w:jc w:val="right"/>
              <w:cnfStyle w:val="000000010000" w:firstRow="0" w:lastRow="0" w:firstColumn="0" w:lastColumn="0" w:oddVBand="0" w:evenVBand="0" w:oddHBand="0" w:evenHBand="1" w:firstRowFirstColumn="0" w:firstRowLastColumn="0" w:lastRowFirstColumn="0" w:lastRowLastColumn="0"/>
            </w:pPr>
            <w:r w:rsidRPr="00323067">
              <w:t>299.17</w:t>
            </w:r>
          </w:p>
        </w:tc>
        <w:tc>
          <w:tcPr>
            <w:tcW w:w="124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44F98802" w14:textId="06815C1F" w:rsidR="0053546B" w:rsidRPr="00323067" w:rsidRDefault="0053546B" w:rsidP="0053546B">
            <w:pPr>
              <w:pStyle w:val="TableText"/>
              <w:jc w:val="right"/>
              <w:cnfStyle w:val="000000010000" w:firstRow="0" w:lastRow="0" w:firstColumn="0" w:lastColumn="0" w:oddVBand="0" w:evenVBand="0" w:oddHBand="0" w:evenHBand="1" w:firstRowFirstColumn="0" w:firstRowLastColumn="0" w:lastRowFirstColumn="0" w:lastRowLastColumn="0"/>
            </w:pPr>
            <w:r w:rsidRPr="00323067">
              <w:t>306.746</w:t>
            </w:r>
          </w:p>
        </w:tc>
        <w:tc>
          <w:tcPr>
            <w:tcW w:w="6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33E387AC" w14:textId="46285FA1" w:rsidR="0053546B" w:rsidRPr="00323067" w:rsidRDefault="0053546B" w:rsidP="0053546B">
            <w:pPr>
              <w:pStyle w:val="TableText"/>
              <w:jc w:val="right"/>
              <w:cnfStyle w:val="000000010000" w:firstRow="0" w:lastRow="0" w:firstColumn="0" w:lastColumn="0" w:oddVBand="0" w:evenVBand="0" w:oddHBand="0" w:evenHBand="1" w:firstRowFirstColumn="0" w:firstRowLastColumn="0" w:lastRowFirstColumn="0" w:lastRowLastColumn="0"/>
            </w:pPr>
            <w:r w:rsidRPr="00323067">
              <w:t>1.0253234</w:t>
            </w:r>
          </w:p>
        </w:tc>
        <w:tc>
          <w:tcPr>
            <w:tcW w:w="783" w:type="pct"/>
            <w:tcBorders>
              <w:top w:val="single" w:sz="4" w:space="0" w:color="FFFFFF" w:themeColor="background1"/>
              <w:left w:val="single" w:sz="4" w:space="0" w:color="FFFFFF" w:themeColor="background1"/>
              <w:bottom w:val="single" w:sz="4" w:space="0" w:color="FFFFFF" w:themeColor="background1"/>
            </w:tcBorders>
            <w:shd w:val="clear" w:color="auto" w:fill="F2F2F2"/>
          </w:tcPr>
          <w:p w14:paraId="3AD8AE3F" w14:textId="3C2E9205" w:rsidR="0053546B" w:rsidRPr="00323067" w:rsidRDefault="0053546B" w:rsidP="0053546B">
            <w:pPr>
              <w:pStyle w:val="TableText"/>
              <w:jc w:val="right"/>
              <w:cnfStyle w:val="000000010000" w:firstRow="0" w:lastRow="0" w:firstColumn="0" w:lastColumn="0" w:oddVBand="0" w:evenVBand="0" w:oddHBand="0" w:evenHBand="1" w:firstRowFirstColumn="0" w:firstRowLastColumn="0" w:lastRowFirstColumn="0" w:lastRowLastColumn="0"/>
            </w:pPr>
            <w:r w:rsidRPr="00323067">
              <w:t>16</w:t>
            </w:r>
          </w:p>
        </w:tc>
      </w:tr>
      <w:tr w:rsidR="00323067" w:rsidRPr="00323067" w14:paraId="13DEA4BF" w14:textId="77777777" w:rsidTr="00323067">
        <w:tc>
          <w:tcPr>
            <w:cnfStyle w:val="001000000000" w:firstRow="0" w:lastRow="0" w:firstColumn="1" w:lastColumn="0" w:oddVBand="0" w:evenVBand="0" w:oddHBand="0" w:evenHBand="0" w:firstRowFirstColumn="0" w:firstRowLastColumn="0" w:lastRowFirstColumn="0" w:lastRowLastColumn="0"/>
            <w:tcW w:w="833" w:type="pct"/>
            <w:tcBorders>
              <w:top w:val="single" w:sz="4" w:space="0" w:color="FFFFFF" w:themeColor="background1"/>
              <w:bottom w:val="single" w:sz="4" w:space="0" w:color="FFFFFF" w:themeColor="background1"/>
              <w:right w:val="single" w:sz="4" w:space="0" w:color="FFFFFF" w:themeColor="background1"/>
            </w:tcBorders>
            <w:shd w:val="clear" w:color="auto" w:fill="F2F2F2"/>
          </w:tcPr>
          <w:p w14:paraId="3F1679C7" w14:textId="04B9CF1D" w:rsidR="0053546B" w:rsidRPr="00323067" w:rsidRDefault="0053546B" w:rsidP="00323067">
            <w:pPr>
              <w:pStyle w:val="TableText"/>
              <w:rPr>
                <w:b w:val="0"/>
                <w:bCs/>
              </w:rPr>
            </w:pPr>
            <w:r w:rsidRPr="00323067">
              <w:rPr>
                <w:b w:val="0"/>
                <w:bCs/>
              </w:rPr>
              <w:t>08/01/2022</w:t>
            </w:r>
          </w:p>
        </w:tc>
        <w:tc>
          <w:tcPr>
            <w:tcW w:w="8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5C4AA421" w14:textId="49EBA839" w:rsidR="0053546B" w:rsidRPr="00323067" w:rsidRDefault="0053546B" w:rsidP="00323067">
            <w:pPr>
              <w:pStyle w:val="TableText"/>
              <w:cnfStyle w:val="000000000000" w:firstRow="0" w:lastRow="0" w:firstColumn="0" w:lastColumn="0" w:oddVBand="0" w:evenVBand="0" w:oddHBand="0" w:evenHBand="0" w:firstRowFirstColumn="0" w:firstRowLastColumn="0" w:lastRowFirstColumn="0" w:lastRowLastColumn="0"/>
            </w:pPr>
            <w:r w:rsidRPr="00323067">
              <w:t>07/31/2023</w:t>
            </w:r>
          </w:p>
        </w:tc>
        <w:tc>
          <w:tcPr>
            <w:tcW w:w="6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368761DA" w14:textId="7B862BC3" w:rsidR="0053546B" w:rsidRPr="00323067" w:rsidRDefault="0053546B" w:rsidP="0053546B">
            <w:pPr>
              <w:pStyle w:val="TableText"/>
              <w:jc w:val="right"/>
              <w:cnfStyle w:val="000000000000" w:firstRow="0" w:lastRow="0" w:firstColumn="0" w:lastColumn="0" w:oddVBand="0" w:evenVBand="0" w:oddHBand="0" w:evenHBand="0" w:firstRowFirstColumn="0" w:firstRowLastColumn="0" w:lastRowFirstColumn="0" w:lastRowLastColumn="0"/>
            </w:pPr>
            <w:r w:rsidRPr="00323067">
              <w:t>300.84</w:t>
            </w:r>
          </w:p>
        </w:tc>
        <w:tc>
          <w:tcPr>
            <w:tcW w:w="124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02C1B633" w14:textId="5B14C536" w:rsidR="0053546B" w:rsidRPr="00323067" w:rsidRDefault="0053546B" w:rsidP="0053546B">
            <w:pPr>
              <w:pStyle w:val="TableText"/>
              <w:jc w:val="right"/>
              <w:cnfStyle w:val="000000000000" w:firstRow="0" w:lastRow="0" w:firstColumn="0" w:lastColumn="0" w:oddVBand="0" w:evenVBand="0" w:oddHBand="0" w:evenHBand="0" w:firstRowFirstColumn="0" w:firstRowLastColumn="0" w:lastRowFirstColumn="0" w:lastRowLastColumn="0"/>
            </w:pPr>
            <w:r w:rsidRPr="00323067">
              <w:t>306.746</w:t>
            </w:r>
          </w:p>
        </w:tc>
        <w:tc>
          <w:tcPr>
            <w:tcW w:w="6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5C777960" w14:textId="6142740B" w:rsidR="0053546B" w:rsidRPr="00323067" w:rsidRDefault="0053546B" w:rsidP="0053546B">
            <w:pPr>
              <w:pStyle w:val="TableText"/>
              <w:jc w:val="right"/>
              <w:cnfStyle w:val="000000000000" w:firstRow="0" w:lastRow="0" w:firstColumn="0" w:lastColumn="0" w:oddVBand="0" w:evenVBand="0" w:oddHBand="0" w:evenHBand="0" w:firstRowFirstColumn="0" w:firstRowLastColumn="0" w:lastRowFirstColumn="0" w:lastRowLastColumn="0"/>
            </w:pPr>
            <w:r w:rsidRPr="00323067">
              <w:t>1.0196317</w:t>
            </w:r>
          </w:p>
        </w:tc>
        <w:tc>
          <w:tcPr>
            <w:tcW w:w="783" w:type="pct"/>
            <w:tcBorders>
              <w:top w:val="single" w:sz="4" w:space="0" w:color="FFFFFF" w:themeColor="background1"/>
              <w:left w:val="single" w:sz="4" w:space="0" w:color="FFFFFF" w:themeColor="background1"/>
              <w:bottom w:val="single" w:sz="4" w:space="0" w:color="FFFFFF" w:themeColor="background1"/>
            </w:tcBorders>
            <w:shd w:val="clear" w:color="auto" w:fill="F2F2F2"/>
          </w:tcPr>
          <w:p w14:paraId="6E783037" w14:textId="142C8017" w:rsidR="0053546B" w:rsidRPr="00323067" w:rsidRDefault="0053546B" w:rsidP="0053546B">
            <w:pPr>
              <w:pStyle w:val="TableText"/>
              <w:jc w:val="right"/>
              <w:cnfStyle w:val="000000000000" w:firstRow="0" w:lastRow="0" w:firstColumn="0" w:lastColumn="0" w:oddVBand="0" w:evenVBand="0" w:oddHBand="0" w:evenHBand="0" w:firstRowFirstColumn="0" w:firstRowLastColumn="0" w:lastRowFirstColumn="0" w:lastRowLastColumn="0"/>
            </w:pPr>
            <w:r w:rsidRPr="00323067">
              <w:t>1</w:t>
            </w:r>
          </w:p>
        </w:tc>
      </w:tr>
      <w:tr w:rsidR="00323067" w:rsidRPr="00323067" w14:paraId="5E24AC0D" w14:textId="77777777" w:rsidTr="003230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Borders>
              <w:top w:val="single" w:sz="4" w:space="0" w:color="FFFFFF" w:themeColor="background1"/>
              <w:bottom w:val="single" w:sz="4" w:space="0" w:color="FFFFFF" w:themeColor="background1"/>
              <w:right w:val="single" w:sz="4" w:space="0" w:color="FFFFFF" w:themeColor="background1"/>
            </w:tcBorders>
            <w:shd w:val="clear" w:color="auto" w:fill="F2F2F2"/>
          </w:tcPr>
          <w:p w14:paraId="5F62E31D" w14:textId="0A14EA3B" w:rsidR="0053546B" w:rsidRPr="00323067" w:rsidRDefault="0053546B" w:rsidP="00323067">
            <w:pPr>
              <w:pStyle w:val="TableText"/>
              <w:rPr>
                <w:b w:val="0"/>
                <w:bCs/>
              </w:rPr>
            </w:pPr>
            <w:r w:rsidRPr="00323067">
              <w:rPr>
                <w:b w:val="0"/>
                <w:bCs/>
              </w:rPr>
              <w:t>08/01/2022</w:t>
            </w:r>
          </w:p>
        </w:tc>
        <w:tc>
          <w:tcPr>
            <w:tcW w:w="8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6FAFC46C" w14:textId="1702A8EE" w:rsidR="0053546B" w:rsidRPr="00323067" w:rsidRDefault="0053546B" w:rsidP="00323067">
            <w:pPr>
              <w:pStyle w:val="TableText"/>
              <w:cnfStyle w:val="000000010000" w:firstRow="0" w:lastRow="0" w:firstColumn="0" w:lastColumn="0" w:oddVBand="0" w:evenVBand="0" w:oddHBand="0" w:evenHBand="1" w:firstRowFirstColumn="0" w:firstRowLastColumn="0" w:lastRowFirstColumn="0" w:lastRowLastColumn="0"/>
            </w:pPr>
            <w:r w:rsidRPr="00323067">
              <w:t>08/01/2023</w:t>
            </w:r>
          </w:p>
        </w:tc>
        <w:tc>
          <w:tcPr>
            <w:tcW w:w="6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450F4ADC" w14:textId="09DC4C49" w:rsidR="0053546B" w:rsidRPr="00323067" w:rsidRDefault="0053546B" w:rsidP="0053546B">
            <w:pPr>
              <w:pStyle w:val="TableText"/>
              <w:jc w:val="right"/>
              <w:cnfStyle w:val="000000010000" w:firstRow="0" w:lastRow="0" w:firstColumn="0" w:lastColumn="0" w:oddVBand="0" w:evenVBand="0" w:oddHBand="0" w:evenHBand="1" w:firstRowFirstColumn="0" w:firstRowLastColumn="0" w:lastRowFirstColumn="0" w:lastRowLastColumn="0"/>
            </w:pPr>
            <w:r w:rsidRPr="00323067">
              <w:t>300.84</w:t>
            </w:r>
          </w:p>
        </w:tc>
        <w:tc>
          <w:tcPr>
            <w:tcW w:w="124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76B7BBDA" w14:textId="09629E95" w:rsidR="0053546B" w:rsidRPr="00323067" w:rsidRDefault="0053546B" w:rsidP="0053546B">
            <w:pPr>
              <w:pStyle w:val="TableText"/>
              <w:jc w:val="right"/>
              <w:cnfStyle w:val="000000010000" w:firstRow="0" w:lastRow="0" w:firstColumn="0" w:lastColumn="0" w:oddVBand="0" w:evenVBand="0" w:oddHBand="0" w:evenHBand="1" w:firstRowFirstColumn="0" w:firstRowLastColumn="0" w:lastRowFirstColumn="0" w:lastRowLastColumn="0"/>
            </w:pPr>
            <w:r w:rsidRPr="00323067">
              <w:t>306.746</w:t>
            </w:r>
          </w:p>
        </w:tc>
        <w:tc>
          <w:tcPr>
            <w:tcW w:w="6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01AE838C" w14:textId="38F3055F" w:rsidR="0053546B" w:rsidRPr="00323067" w:rsidRDefault="0053546B" w:rsidP="0053546B">
            <w:pPr>
              <w:pStyle w:val="TableText"/>
              <w:jc w:val="right"/>
              <w:cnfStyle w:val="000000010000" w:firstRow="0" w:lastRow="0" w:firstColumn="0" w:lastColumn="0" w:oddVBand="0" w:evenVBand="0" w:oddHBand="0" w:evenHBand="1" w:firstRowFirstColumn="0" w:firstRowLastColumn="0" w:lastRowFirstColumn="0" w:lastRowLastColumn="0"/>
            </w:pPr>
            <w:r w:rsidRPr="00323067">
              <w:t>1.0196317</w:t>
            </w:r>
          </w:p>
        </w:tc>
        <w:tc>
          <w:tcPr>
            <w:tcW w:w="783" w:type="pct"/>
            <w:tcBorders>
              <w:top w:val="single" w:sz="4" w:space="0" w:color="FFFFFF" w:themeColor="background1"/>
              <w:left w:val="single" w:sz="4" w:space="0" w:color="FFFFFF" w:themeColor="background1"/>
              <w:bottom w:val="single" w:sz="4" w:space="0" w:color="FFFFFF" w:themeColor="background1"/>
            </w:tcBorders>
            <w:shd w:val="clear" w:color="auto" w:fill="F2F2F2"/>
          </w:tcPr>
          <w:p w14:paraId="1EF95453" w14:textId="51BE8705" w:rsidR="0053546B" w:rsidRPr="00323067" w:rsidRDefault="0053546B" w:rsidP="0053546B">
            <w:pPr>
              <w:pStyle w:val="TableText"/>
              <w:jc w:val="right"/>
              <w:cnfStyle w:val="000000010000" w:firstRow="0" w:lastRow="0" w:firstColumn="0" w:lastColumn="0" w:oddVBand="0" w:evenVBand="0" w:oddHBand="0" w:evenHBand="1" w:firstRowFirstColumn="0" w:firstRowLastColumn="0" w:lastRowFirstColumn="0" w:lastRowLastColumn="0"/>
            </w:pPr>
            <w:r w:rsidRPr="00323067">
              <w:t>1</w:t>
            </w:r>
          </w:p>
        </w:tc>
      </w:tr>
      <w:tr w:rsidR="00323067" w:rsidRPr="00323067" w14:paraId="694486E6" w14:textId="77777777" w:rsidTr="00323067">
        <w:tc>
          <w:tcPr>
            <w:cnfStyle w:val="001000000000" w:firstRow="0" w:lastRow="0" w:firstColumn="1" w:lastColumn="0" w:oddVBand="0" w:evenVBand="0" w:oddHBand="0" w:evenHBand="0" w:firstRowFirstColumn="0" w:firstRowLastColumn="0" w:lastRowFirstColumn="0" w:lastRowLastColumn="0"/>
            <w:tcW w:w="833" w:type="pct"/>
            <w:tcBorders>
              <w:top w:val="single" w:sz="4" w:space="0" w:color="FFFFFF" w:themeColor="background1"/>
              <w:bottom w:val="single" w:sz="4" w:space="0" w:color="FFFFFF" w:themeColor="background1"/>
              <w:right w:val="single" w:sz="4" w:space="0" w:color="FFFFFF" w:themeColor="background1"/>
            </w:tcBorders>
            <w:shd w:val="clear" w:color="auto" w:fill="F2F2F2"/>
          </w:tcPr>
          <w:p w14:paraId="3FE94C89" w14:textId="048878C9" w:rsidR="0053546B" w:rsidRPr="00323067" w:rsidRDefault="0053546B" w:rsidP="00323067">
            <w:pPr>
              <w:pStyle w:val="TableText"/>
              <w:rPr>
                <w:b w:val="0"/>
                <w:bCs/>
              </w:rPr>
            </w:pPr>
            <w:r w:rsidRPr="00323067">
              <w:rPr>
                <w:b w:val="0"/>
                <w:bCs/>
              </w:rPr>
              <w:t>08/29/2022</w:t>
            </w:r>
          </w:p>
        </w:tc>
        <w:tc>
          <w:tcPr>
            <w:tcW w:w="8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7429E721" w14:textId="2CCEF95A" w:rsidR="0053546B" w:rsidRPr="00323067" w:rsidRDefault="0053546B" w:rsidP="00323067">
            <w:pPr>
              <w:pStyle w:val="TableText"/>
              <w:cnfStyle w:val="000000000000" w:firstRow="0" w:lastRow="0" w:firstColumn="0" w:lastColumn="0" w:oddVBand="0" w:evenVBand="0" w:oddHBand="0" w:evenHBand="0" w:firstRowFirstColumn="0" w:firstRowLastColumn="0" w:lastRowFirstColumn="0" w:lastRowLastColumn="0"/>
            </w:pPr>
            <w:r w:rsidRPr="00323067">
              <w:t>09/03/2023</w:t>
            </w:r>
          </w:p>
        </w:tc>
        <w:tc>
          <w:tcPr>
            <w:tcW w:w="6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0694C225" w14:textId="1F7F92F0" w:rsidR="0053546B" w:rsidRPr="00323067" w:rsidRDefault="0053546B" w:rsidP="0053546B">
            <w:pPr>
              <w:pStyle w:val="TableText"/>
              <w:jc w:val="right"/>
              <w:cnfStyle w:val="000000000000" w:firstRow="0" w:lastRow="0" w:firstColumn="0" w:lastColumn="0" w:oddVBand="0" w:evenVBand="0" w:oddHBand="0" w:evenHBand="0" w:firstRowFirstColumn="0" w:firstRowLastColumn="0" w:lastRowFirstColumn="0" w:lastRowLastColumn="0"/>
            </w:pPr>
            <w:r w:rsidRPr="00323067">
              <w:t>301.836</w:t>
            </w:r>
          </w:p>
        </w:tc>
        <w:tc>
          <w:tcPr>
            <w:tcW w:w="124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13E8C150" w14:textId="10C3C43D" w:rsidR="0053546B" w:rsidRPr="00323067" w:rsidRDefault="0053546B" w:rsidP="0053546B">
            <w:pPr>
              <w:pStyle w:val="TableText"/>
              <w:jc w:val="right"/>
              <w:cnfStyle w:val="000000000000" w:firstRow="0" w:lastRow="0" w:firstColumn="0" w:lastColumn="0" w:oddVBand="0" w:evenVBand="0" w:oddHBand="0" w:evenHBand="0" w:firstRowFirstColumn="0" w:firstRowLastColumn="0" w:lastRowFirstColumn="0" w:lastRowLastColumn="0"/>
            </w:pPr>
            <w:r w:rsidRPr="00323067">
              <w:t>306.746</w:t>
            </w:r>
          </w:p>
        </w:tc>
        <w:tc>
          <w:tcPr>
            <w:tcW w:w="6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634CD28E" w14:textId="1E0836A6" w:rsidR="0053546B" w:rsidRPr="00323067" w:rsidRDefault="0053546B" w:rsidP="0053546B">
            <w:pPr>
              <w:pStyle w:val="TableText"/>
              <w:jc w:val="right"/>
              <w:cnfStyle w:val="000000000000" w:firstRow="0" w:lastRow="0" w:firstColumn="0" w:lastColumn="0" w:oddVBand="0" w:evenVBand="0" w:oddHBand="0" w:evenHBand="0" w:firstRowFirstColumn="0" w:firstRowLastColumn="0" w:lastRowFirstColumn="0" w:lastRowLastColumn="0"/>
            </w:pPr>
            <w:r w:rsidRPr="00323067">
              <w:t>1.0162671</w:t>
            </w:r>
          </w:p>
        </w:tc>
        <w:tc>
          <w:tcPr>
            <w:tcW w:w="783" w:type="pct"/>
            <w:tcBorders>
              <w:top w:val="single" w:sz="4" w:space="0" w:color="FFFFFF" w:themeColor="background1"/>
              <w:left w:val="single" w:sz="4" w:space="0" w:color="FFFFFF" w:themeColor="background1"/>
              <w:bottom w:val="single" w:sz="4" w:space="0" w:color="FFFFFF" w:themeColor="background1"/>
            </w:tcBorders>
            <w:shd w:val="clear" w:color="auto" w:fill="F2F2F2"/>
          </w:tcPr>
          <w:p w14:paraId="15369025" w14:textId="79CB5923" w:rsidR="0053546B" w:rsidRPr="00323067" w:rsidRDefault="0053546B" w:rsidP="0053546B">
            <w:pPr>
              <w:pStyle w:val="TableText"/>
              <w:jc w:val="right"/>
              <w:cnfStyle w:val="000000000000" w:firstRow="0" w:lastRow="0" w:firstColumn="0" w:lastColumn="0" w:oddVBand="0" w:evenVBand="0" w:oddHBand="0" w:evenHBand="0" w:firstRowFirstColumn="0" w:firstRowLastColumn="0" w:lastRowFirstColumn="0" w:lastRowLastColumn="0"/>
            </w:pPr>
            <w:r w:rsidRPr="00323067">
              <w:t>6</w:t>
            </w:r>
          </w:p>
        </w:tc>
      </w:tr>
      <w:tr w:rsidR="00323067" w:rsidRPr="00323067" w14:paraId="5D9D24E9" w14:textId="77777777" w:rsidTr="003230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Borders>
              <w:top w:val="single" w:sz="4" w:space="0" w:color="FFFFFF" w:themeColor="background1"/>
              <w:bottom w:val="single" w:sz="4" w:space="0" w:color="FFFFFF" w:themeColor="background1"/>
              <w:right w:val="single" w:sz="4" w:space="0" w:color="FFFFFF" w:themeColor="background1"/>
            </w:tcBorders>
            <w:shd w:val="clear" w:color="auto" w:fill="F2F2F2"/>
          </w:tcPr>
          <w:p w14:paraId="04F80CE2" w14:textId="4B7711BE" w:rsidR="0053546B" w:rsidRPr="00323067" w:rsidRDefault="0053546B" w:rsidP="00323067">
            <w:pPr>
              <w:pStyle w:val="TableText"/>
              <w:rPr>
                <w:b w:val="0"/>
                <w:bCs/>
              </w:rPr>
            </w:pPr>
            <w:r w:rsidRPr="00323067">
              <w:rPr>
                <w:b w:val="0"/>
                <w:bCs/>
              </w:rPr>
              <w:t>09/01/2022</w:t>
            </w:r>
          </w:p>
        </w:tc>
        <w:tc>
          <w:tcPr>
            <w:tcW w:w="8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3B130016" w14:textId="72F8AC5C" w:rsidR="0053546B" w:rsidRPr="00323067" w:rsidRDefault="0053546B" w:rsidP="00323067">
            <w:pPr>
              <w:pStyle w:val="TableText"/>
              <w:cnfStyle w:val="000000010000" w:firstRow="0" w:lastRow="0" w:firstColumn="0" w:lastColumn="0" w:oddVBand="0" w:evenVBand="0" w:oddHBand="0" w:evenHBand="1" w:firstRowFirstColumn="0" w:firstRowLastColumn="0" w:lastRowFirstColumn="0" w:lastRowLastColumn="0"/>
            </w:pPr>
            <w:r w:rsidRPr="00323067">
              <w:t>08/31/2023</w:t>
            </w:r>
          </w:p>
        </w:tc>
        <w:tc>
          <w:tcPr>
            <w:tcW w:w="6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62F7187E" w14:textId="1B1F5D43" w:rsidR="0053546B" w:rsidRPr="00323067" w:rsidRDefault="0053546B" w:rsidP="0053546B">
            <w:pPr>
              <w:pStyle w:val="TableText"/>
              <w:jc w:val="right"/>
              <w:cnfStyle w:val="000000010000" w:firstRow="0" w:lastRow="0" w:firstColumn="0" w:lastColumn="0" w:oddVBand="0" w:evenVBand="0" w:oddHBand="0" w:evenHBand="1" w:firstRowFirstColumn="0" w:firstRowLastColumn="0" w:lastRowFirstColumn="0" w:lastRowLastColumn="0"/>
            </w:pPr>
            <w:r w:rsidRPr="00323067">
              <w:t>301.836</w:t>
            </w:r>
          </w:p>
        </w:tc>
        <w:tc>
          <w:tcPr>
            <w:tcW w:w="124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3C738512" w14:textId="287DF4D5" w:rsidR="0053546B" w:rsidRPr="00323067" w:rsidRDefault="0053546B" w:rsidP="0053546B">
            <w:pPr>
              <w:pStyle w:val="TableText"/>
              <w:jc w:val="right"/>
              <w:cnfStyle w:val="000000010000" w:firstRow="0" w:lastRow="0" w:firstColumn="0" w:lastColumn="0" w:oddVBand="0" w:evenVBand="0" w:oddHBand="0" w:evenHBand="1" w:firstRowFirstColumn="0" w:firstRowLastColumn="0" w:lastRowFirstColumn="0" w:lastRowLastColumn="0"/>
            </w:pPr>
            <w:r w:rsidRPr="00323067">
              <w:t>306.746</w:t>
            </w:r>
          </w:p>
        </w:tc>
        <w:tc>
          <w:tcPr>
            <w:tcW w:w="6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36C4E193" w14:textId="71BF509C" w:rsidR="0053546B" w:rsidRPr="00323067" w:rsidRDefault="0053546B" w:rsidP="0053546B">
            <w:pPr>
              <w:pStyle w:val="TableText"/>
              <w:jc w:val="right"/>
              <w:cnfStyle w:val="000000010000" w:firstRow="0" w:lastRow="0" w:firstColumn="0" w:lastColumn="0" w:oddVBand="0" w:evenVBand="0" w:oddHBand="0" w:evenHBand="1" w:firstRowFirstColumn="0" w:firstRowLastColumn="0" w:lastRowFirstColumn="0" w:lastRowLastColumn="0"/>
            </w:pPr>
            <w:r w:rsidRPr="00323067">
              <w:t>1.0162671</w:t>
            </w:r>
          </w:p>
        </w:tc>
        <w:tc>
          <w:tcPr>
            <w:tcW w:w="783" w:type="pct"/>
            <w:tcBorders>
              <w:top w:val="single" w:sz="4" w:space="0" w:color="FFFFFF" w:themeColor="background1"/>
              <w:left w:val="single" w:sz="4" w:space="0" w:color="FFFFFF" w:themeColor="background1"/>
              <w:bottom w:val="single" w:sz="4" w:space="0" w:color="FFFFFF" w:themeColor="background1"/>
            </w:tcBorders>
            <w:shd w:val="clear" w:color="auto" w:fill="F2F2F2"/>
          </w:tcPr>
          <w:p w14:paraId="3A0E9CAB" w14:textId="1A80CEEA" w:rsidR="0053546B" w:rsidRPr="00323067" w:rsidRDefault="0053546B" w:rsidP="0053546B">
            <w:pPr>
              <w:pStyle w:val="TableText"/>
              <w:jc w:val="right"/>
              <w:cnfStyle w:val="000000010000" w:firstRow="0" w:lastRow="0" w:firstColumn="0" w:lastColumn="0" w:oddVBand="0" w:evenVBand="0" w:oddHBand="0" w:evenHBand="1" w:firstRowFirstColumn="0" w:firstRowLastColumn="0" w:lastRowFirstColumn="0" w:lastRowLastColumn="0"/>
            </w:pPr>
            <w:r w:rsidRPr="00323067">
              <w:t>219</w:t>
            </w:r>
          </w:p>
        </w:tc>
      </w:tr>
      <w:tr w:rsidR="00323067" w:rsidRPr="00323067" w14:paraId="569CE73C" w14:textId="77777777" w:rsidTr="00323067">
        <w:tc>
          <w:tcPr>
            <w:cnfStyle w:val="001000000000" w:firstRow="0" w:lastRow="0" w:firstColumn="1" w:lastColumn="0" w:oddVBand="0" w:evenVBand="0" w:oddHBand="0" w:evenHBand="0" w:firstRowFirstColumn="0" w:firstRowLastColumn="0" w:lastRowFirstColumn="0" w:lastRowLastColumn="0"/>
            <w:tcW w:w="833" w:type="pct"/>
            <w:tcBorders>
              <w:top w:val="single" w:sz="4" w:space="0" w:color="FFFFFF" w:themeColor="background1"/>
              <w:bottom w:val="single" w:sz="4" w:space="0" w:color="FFFFFF" w:themeColor="background1"/>
              <w:right w:val="single" w:sz="4" w:space="0" w:color="FFFFFF" w:themeColor="background1"/>
            </w:tcBorders>
            <w:shd w:val="clear" w:color="auto" w:fill="F2F2F2"/>
          </w:tcPr>
          <w:p w14:paraId="709DE1D9" w14:textId="2B423ECC" w:rsidR="0053546B" w:rsidRPr="00323067" w:rsidRDefault="0053546B" w:rsidP="00323067">
            <w:pPr>
              <w:pStyle w:val="TableText"/>
              <w:rPr>
                <w:b w:val="0"/>
                <w:bCs/>
              </w:rPr>
            </w:pPr>
            <w:r w:rsidRPr="00323067">
              <w:rPr>
                <w:b w:val="0"/>
                <w:bCs/>
              </w:rPr>
              <w:t>10/01/2022</w:t>
            </w:r>
          </w:p>
        </w:tc>
        <w:tc>
          <w:tcPr>
            <w:tcW w:w="8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73EE2E8D" w14:textId="0CD8667F" w:rsidR="0053546B" w:rsidRPr="00323067" w:rsidRDefault="0053546B" w:rsidP="00323067">
            <w:pPr>
              <w:pStyle w:val="TableText"/>
              <w:cnfStyle w:val="000000000000" w:firstRow="0" w:lastRow="0" w:firstColumn="0" w:lastColumn="0" w:oddVBand="0" w:evenVBand="0" w:oddHBand="0" w:evenHBand="0" w:firstRowFirstColumn="0" w:firstRowLastColumn="0" w:lastRowFirstColumn="0" w:lastRowLastColumn="0"/>
            </w:pPr>
            <w:r w:rsidRPr="00323067">
              <w:t>09/30/2023</w:t>
            </w:r>
          </w:p>
        </w:tc>
        <w:tc>
          <w:tcPr>
            <w:tcW w:w="6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137CC6A5" w14:textId="1E55C134" w:rsidR="0053546B" w:rsidRPr="00323067" w:rsidRDefault="0053546B" w:rsidP="0053546B">
            <w:pPr>
              <w:pStyle w:val="TableText"/>
              <w:jc w:val="right"/>
              <w:cnfStyle w:val="000000000000" w:firstRow="0" w:lastRow="0" w:firstColumn="0" w:lastColumn="0" w:oddVBand="0" w:evenVBand="0" w:oddHBand="0" w:evenHBand="0" w:firstRowFirstColumn="0" w:firstRowLastColumn="0" w:lastRowFirstColumn="0" w:lastRowLastColumn="0"/>
            </w:pPr>
            <w:r w:rsidRPr="00323067">
              <w:t>303.363</w:t>
            </w:r>
          </w:p>
        </w:tc>
        <w:tc>
          <w:tcPr>
            <w:tcW w:w="124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34DD5F50" w14:textId="1B6E5E32" w:rsidR="0053546B" w:rsidRPr="00323067" w:rsidRDefault="0053546B" w:rsidP="0053546B">
            <w:pPr>
              <w:pStyle w:val="TableText"/>
              <w:jc w:val="right"/>
              <w:cnfStyle w:val="000000000000" w:firstRow="0" w:lastRow="0" w:firstColumn="0" w:lastColumn="0" w:oddVBand="0" w:evenVBand="0" w:oddHBand="0" w:evenHBand="0" w:firstRowFirstColumn="0" w:firstRowLastColumn="0" w:lastRowFirstColumn="0" w:lastRowLastColumn="0"/>
            </w:pPr>
            <w:r w:rsidRPr="00323067">
              <w:t>306.746</w:t>
            </w:r>
          </w:p>
        </w:tc>
        <w:tc>
          <w:tcPr>
            <w:tcW w:w="6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2B9E62D2" w14:textId="1872D8E2" w:rsidR="0053546B" w:rsidRPr="00323067" w:rsidRDefault="0053546B" w:rsidP="0053546B">
            <w:pPr>
              <w:pStyle w:val="TableText"/>
              <w:jc w:val="right"/>
              <w:cnfStyle w:val="000000000000" w:firstRow="0" w:lastRow="0" w:firstColumn="0" w:lastColumn="0" w:oddVBand="0" w:evenVBand="0" w:oddHBand="0" w:evenHBand="0" w:firstRowFirstColumn="0" w:firstRowLastColumn="0" w:lastRowFirstColumn="0" w:lastRowLastColumn="0"/>
            </w:pPr>
            <w:r w:rsidRPr="00323067">
              <w:t>1.0111517</w:t>
            </w:r>
          </w:p>
        </w:tc>
        <w:tc>
          <w:tcPr>
            <w:tcW w:w="783" w:type="pct"/>
            <w:tcBorders>
              <w:top w:val="single" w:sz="4" w:space="0" w:color="FFFFFF" w:themeColor="background1"/>
              <w:left w:val="single" w:sz="4" w:space="0" w:color="FFFFFF" w:themeColor="background1"/>
              <w:bottom w:val="single" w:sz="4" w:space="0" w:color="FFFFFF" w:themeColor="background1"/>
            </w:tcBorders>
            <w:shd w:val="clear" w:color="auto" w:fill="F2F2F2"/>
          </w:tcPr>
          <w:p w14:paraId="7641D532" w14:textId="0773CD3C" w:rsidR="0053546B" w:rsidRPr="00323067" w:rsidRDefault="0053546B" w:rsidP="0053546B">
            <w:pPr>
              <w:pStyle w:val="TableText"/>
              <w:jc w:val="right"/>
              <w:cnfStyle w:val="000000000000" w:firstRow="0" w:lastRow="0" w:firstColumn="0" w:lastColumn="0" w:oddVBand="0" w:evenVBand="0" w:oddHBand="0" w:evenHBand="0" w:firstRowFirstColumn="0" w:firstRowLastColumn="0" w:lastRowFirstColumn="0" w:lastRowLastColumn="0"/>
            </w:pPr>
            <w:r w:rsidRPr="00323067">
              <w:t>11</w:t>
            </w:r>
          </w:p>
        </w:tc>
      </w:tr>
      <w:tr w:rsidR="00323067" w:rsidRPr="00323067" w14:paraId="642A6F0A" w14:textId="77777777" w:rsidTr="003230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Borders>
              <w:top w:val="single" w:sz="4" w:space="0" w:color="FFFFFF" w:themeColor="background1"/>
              <w:bottom w:val="single" w:sz="4" w:space="0" w:color="FFFFFF" w:themeColor="background1"/>
              <w:right w:val="single" w:sz="4" w:space="0" w:color="FFFFFF" w:themeColor="background1"/>
            </w:tcBorders>
            <w:shd w:val="clear" w:color="auto" w:fill="F2F2F2"/>
          </w:tcPr>
          <w:p w14:paraId="5C5FBD3D" w14:textId="7732BDB3" w:rsidR="0053546B" w:rsidRPr="00323067" w:rsidRDefault="0053546B" w:rsidP="00323067">
            <w:pPr>
              <w:pStyle w:val="TableText"/>
              <w:rPr>
                <w:b w:val="0"/>
                <w:bCs/>
              </w:rPr>
            </w:pPr>
            <w:r w:rsidRPr="00323067">
              <w:rPr>
                <w:b w:val="0"/>
                <w:bCs/>
              </w:rPr>
              <w:t>11/01/2022</w:t>
            </w:r>
          </w:p>
        </w:tc>
        <w:tc>
          <w:tcPr>
            <w:tcW w:w="8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5FEBC232" w14:textId="7086C8FE" w:rsidR="0053546B" w:rsidRPr="00323067" w:rsidRDefault="0053546B" w:rsidP="00323067">
            <w:pPr>
              <w:pStyle w:val="TableText"/>
              <w:cnfStyle w:val="000000010000" w:firstRow="0" w:lastRow="0" w:firstColumn="0" w:lastColumn="0" w:oddVBand="0" w:evenVBand="0" w:oddHBand="0" w:evenHBand="1" w:firstRowFirstColumn="0" w:firstRowLastColumn="0" w:lastRowFirstColumn="0" w:lastRowLastColumn="0"/>
            </w:pPr>
            <w:r w:rsidRPr="00323067">
              <w:t>10/31/2023</w:t>
            </w:r>
          </w:p>
        </w:tc>
        <w:tc>
          <w:tcPr>
            <w:tcW w:w="6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7285EDB9" w14:textId="24A3B0C7" w:rsidR="0053546B" w:rsidRPr="00323067" w:rsidRDefault="0053546B" w:rsidP="0053546B">
            <w:pPr>
              <w:pStyle w:val="TableText"/>
              <w:jc w:val="right"/>
              <w:cnfStyle w:val="000000010000" w:firstRow="0" w:lastRow="0" w:firstColumn="0" w:lastColumn="0" w:oddVBand="0" w:evenVBand="0" w:oddHBand="0" w:evenHBand="1" w:firstRowFirstColumn="0" w:firstRowLastColumn="0" w:lastRowFirstColumn="0" w:lastRowLastColumn="0"/>
            </w:pPr>
            <w:r w:rsidRPr="00323067">
              <w:t>304.127</w:t>
            </w:r>
          </w:p>
        </w:tc>
        <w:tc>
          <w:tcPr>
            <w:tcW w:w="124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16FDD230" w14:textId="375F91C6" w:rsidR="0053546B" w:rsidRPr="00323067" w:rsidRDefault="0053546B" w:rsidP="0053546B">
            <w:pPr>
              <w:pStyle w:val="TableText"/>
              <w:jc w:val="right"/>
              <w:cnfStyle w:val="000000010000" w:firstRow="0" w:lastRow="0" w:firstColumn="0" w:lastColumn="0" w:oddVBand="0" w:evenVBand="0" w:oddHBand="0" w:evenHBand="1" w:firstRowFirstColumn="0" w:firstRowLastColumn="0" w:lastRowFirstColumn="0" w:lastRowLastColumn="0"/>
            </w:pPr>
            <w:r w:rsidRPr="00323067">
              <w:t>306.746</w:t>
            </w:r>
          </w:p>
        </w:tc>
        <w:tc>
          <w:tcPr>
            <w:tcW w:w="6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22753835" w14:textId="7E3D1A95" w:rsidR="0053546B" w:rsidRPr="00323067" w:rsidRDefault="0053546B" w:rsidP="0053546B">
            <w:pPr>
              <w:pStyle w:val="TableText"/>
              <w:jc w:val="right"/>
              <w:cnfStyle w:val="000000010000" w:firstRow="0" w:lastRow="0" w:firstColumn="0" w:lastColumn="0" w:oddVBand="0" w:evenVBand="0" w:oddHBand="0" w:evenHBand="1" w:firstRowFirstColumn="0" w:firstRowLastColumn="0" w:lastRowFirstColumn="0" w:lastRowLastColumn="0"/>
            </w:pPr>
            <w:r w:rsidRPr="00323067">
              <w:t>1.0086115</w:t>
            </w:r>
          </w:p>
        </w:tc>
        <w:tc>
          <w:tcPr>
            <w:tcW w:w="783" w:type="pct"/>
            <w:tcBorders>
              <w:top w:val="single" w:sz="4" w:space="0" w:color="FFFFFF" w:themeColor="background1"/>
              <w:left w:val="single" w:sz="4" w:space="0" w:color="FFFFFF" w:themeColor="background1"/>
              <w:bottom w:val="single" w:sz="4" w:space="0" w:color="FFFFFF" w:themeColor="background1"/>
            </w:tcBorders>
            <w:shd w:val="clear" w:color="auto" w:fill="F2F2F2"/>
          </w:tcPr>
          <w:p w14:paraId="05FA08A6" w14:textId="55D1B9C8" w:rsidR="0053546B" w:rsidRPr="00323067" w:rsidRDefault="0053546B" w:rsidP="0053546B">
            <w:pPr>
              <w:pStyle w:val="TableText"/>
              <w:jc w:val="right"/>
              <w:cnfStyle w:val="000000010000" w:firstRow="0" w:lastRow="0" w:firstColumn="0" w:lastColumn="0" w:oddVBand="0" w:evenVBand="0" w:oddHBand="0" w:evenHBand="1" w:firstRowFirstColumn="0" w:firstRowLastColumn="0" w:lastRowFirstColumn="0" w:lastRowLastColumn="0"/>
            </w:pPr>
            <w:r w:rsidRPr="00323067">
              <w:t>1</w:t>
            </w:r>
          </w:p>
        </w:tc>
      </w:tr>
      <w:tr w:rsidR="00323067" w:rsidRPr="00323067" w14:paraId="413637E3" w14:textId="77777777" w:rsidTr="00323067">
        <w:tc>
          <w:tcPr>
            <w:cnfStyle w:val="001000000000" w:firstRow="0" w:lastRow="0" w:firstColumn="1" w:lastColumn="0" w:oddVBand="0" w:evenVBand="0" w:oddHBand="0" w:evenHBand="0" w:firstRowFirstColumn="0" w:firstRowLastColumn="0" w:lastRowFirstColumn="0" w:lastRowLastColumn="0"/>
            <w:tcW w:w="833" w:type="pct"/>
            <w:tcBorders>
              <w:top w:val="single" w:sz="4" w:space="0" w:color="FFFFFF" w:themeColor="background1"/>
              <w:bottom w:val="single" w:sz="4" w:space="0" w:color="FFFFFF" w:themeColor="background1"/>
              <w:right w:val="single" w:sz="4" w:space="0" w:color="FFFFFF" w:themeColor="background1"/>
            </w:tcBorders>
            <w:shd w:val="clear" w:color="auto" w:fill="F2F2F2"/>
          </w:tcPr>
          <w:p w14:paraId="4AF2CF50" w14:textId="11FCD19D" w:rsidR="0053546B" w:rsidRPr="00323067" w:rsidRDefault="0053546B" w:rsidP="00323067">
            <w:pPr>
              <w:pStyle w:val="TableText"/>
              <w:rPr>
                <w:b w:val="0"/>
                <w:bCs/>
              </w:rPr>
            </w:pPr>
            <w:r w:rsidRPr="00323067">
              <w:rPr>
                <w:b w:val="0"/>
                <w:bCs/>
              </w:rPr>
              <w:t>11/15/2022</w:t>
            </w:r>
          </w:p>
        </w:tc>
        <w:tc>
          <w:tcPr>
            <w:tcW w:w="8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6008137E" w14:textId="10479503" w:rsidR="0053546B" w:rsidRPr="00323067" w:rsidRDefault="0053546B" w:rsidP="00323067">
            <w:pPr>
              <w:pStyle w:val="TableText"/>
              <w:cnfStyle w:val="000000000000" w:firstRow="0" w:lastRow="0" w:firstColumn="0" w:lastColumn="0" w:oddVBand="0" w:evenVBand="0" w:oddHBand="0" w:evenHBand="0" w:firstRowFirstColumn="0" w:firstRowLastColumn="0" w:lastRowFirstColumn="0" w:lastRowLastColumn="0"/>
            </w:pPr>
            <w:r w:rsidRPr="00323067">
              <w:t>11/15/2023</w:t>
            </w:r>
          </w:p>
        </w:tc>
        <w:tc>
          <w:tcPr>
            <w:tcW w:w="6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30E0A40A" w14:textId="2D2749D8" w:rsidR="0053546B" w:rsidRPr="00323067" w:rsidRDefault="0053546B" w:rsidP="0053546B">
            <w:pPr>
              <w:pStyle w:val="TableText"/>
              <w:jc w:val="right"/>
              <w:cnfStyle w:val="000000000000" w:firstRow="0" w:lastRow="0" w:firstColumn="0" w:lastColumn="0" w:oddVBand="0" w:evenVBand="0" w:oddHBand="0" w:evenHBand="0" w:firstRowFirstColumn="0" w:firstRowLastColumn="0" w:lastRowFirstColumn="0" w:lastRowLastColumn="0"/>
            </w:pPr>
            <w:r w:rsidRPr="00323067">
              <w:t>304.127</w:t>
            </w:r>
          </w:p>
        </w:tc>
        <w:tc>
          <w:tcPr>
            <w:tcW w:w="124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3501D040" w14:textId="18D61C70" w:rsidR="0053546B" w:rsidRPr="00323067" w:rsidRDefault="0053546B" w:rsidP="0053546B">
            <w:pPr>
              <w:pStyle w:val="TableText"/>
              <w:jc w:val="right"/>
              <w:cnfStyle w:val="000000000000" w:firstRow="0" w:lastRow="0" w:firstColumn="0" w:lastColumn="0" w:oddVBand="0" w:evenVBand="0" w:oddHBand="0" w:evenHBand="0" w:firstRowFirstColumn="0" w:firstRowLastColumn="0" w:lastRowFirstColumn="0" w:lastRowLastColumn="0"/>
            </w:pPr>
            <w:r w:rsidRPr="00323067">
              <w:t>306.746</w:t>
            </w:r>
          </w:p>
        </w:tc>
        <w:tc>
          <w:tcPr>
            <w:tcW w:w="6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219EFF11" w14:textId="5057529F" w:rsidR="0053546B" w:rsidRPr="00323067" w:rsidRDefault="0053546B" w:rsidP="0053546B">
            <w:pPr>
              <w:pStyle w:val="TableText"/>
              <w:jc w:val="right"/>
              <w:cnfStyle w:val="000000000000" w:firstRow="0" w:lastRow="0" w:firstColumn="0" w:lastColumn="0" w:oddVBand="0" w:evenVBand="0" w:oddHBand="0" w:evenHBand="0" w:firstRowFirstColumn="0" w:firstRowLastColumn="0" w:lastRowFirstColumn="0" w:lastRowLastColumn="0"/>
            </w:pPr>
            <w:r w:rsidRPr="00323067">
              <w:t>1.0086115</w:t>
            </w:r>
          </w:p>
        </w:tc>
        <w:tc>
          <w:tcPr>
            <w:tcW w:w="783" w:type="pct"/>
            <w:tcBorders>
              <w:top w:val="single" w:sz="4" w:space="0" w:color="FFFFFF" w:themeColor="background1"/>
              <w:left w:val="single" w:sz="4" w:space="0" w:color="FFFFFF" w:themeColor="background1"/>
              <w:bottom w:val="single" w:sz="4" w:space="0" w:color="FFFFFF" w:themeColor="background1"/>
            </w:tcBorders>
            <w:shd w:val="clear" w:color="auto" w:fill="F2F2F2"/>
          </w:tcPr>
          <w:p w14:paraId="6BAC0484" w14:textId="2466334C" w:rsidR="0053546B" w:rsidRPr="00323067" w:rsidRDefault="0053546B" w:rsidP="0053546B">
            <w:pPr>
              <w:pStyle w:val="TableText"/>
              <w:jc w:val="right"/>
              <w:cnfStyle w:val="000000000000" w:firstRow="0" w:lastRow="0" w:firstColumn="0" w:lastColumn="0" w:oddVBand="0" w:evenVBand="0" w:oddHBand="0" w:evenHBand="0" w:firstRowFirstColumn="0" w:firstRowLastColumn="0" w:lastRowFirstColumn="0" w:lastRowLastColumn="0"/>
            </w:pPr>
            <w:r w:rsidRPr="00323067">
              <w:t>1</w:t>
            </w:r>
          </w:p>
        </w:tc>
      </w:tr>
      <w:tr w:rsidR="00323067" w:rsidRPr="00323067" w14:paraId="2B9F7461" w14:textId="77777777" w:rsidTr="003230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Borders>
              <w:top w:val="single" w:sz="4" w:space="0" w:color="FFFFFF" w:themeColor="background1"/>
              <w:bottom w:val="single" w:sz="4" w:space="0" w:color="FFFFFF" w:themeColor="background1"/>
              <w:right w:val="single" w:sz="4" w:space="0" w:color="FFFFFF" w:themeColor="background1"/>
            </w:tcBorders>
            <w:shd w:val="clear" w:color="auto" w:fill="F2F2F2"/>
          </w:tcPr>
          <w:p w14:paraId="580AC3B9" w14:textId="206F267F" w:rsidR="0053546B" w:rsidRPr="00323067" w:rsidRDefault="0053546B" w:rsidP="00323067">
            <w:pPr>
              <w:pStyle w:val="TableText"/>
              <w:rPr>
                <w:b w:val="0"/>
                <w:bCs/>
              </w:rPr>
            </w:pPr>
            <w:r w:rsidRPr="00323067">
              <w:rPr>
                <w:b w:val="0"/>
                <w:bCs/>
              </w:rPr>
              <w:t>11/22/2022</w:t>
            </w:r>
          </w:p>
        </w:tc>
        <w:tc>
          <w:tcPr>
            <w:tcW w:w="8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30037C41" w14:textId="0CC891D0" w:rsidR="0053546B" w:rsidRPr="00323067" w:rsidRDefault="0053546B" w:rsidP="00323067">
            <w:pPr>
              <w:pStyle w:val="TableText"/>
              <w:cnfStyle w:val="000000010000" w:firstRow="0" w:lastRow="0" w:firstColumn="0" w:lastColumn="0" w:oddVBand="0" w:evenVBand="0" w:oddHBand="0" w:evenHBand="1" w:firstRowFirstColumn="0" w:firstRowLastColumn="0" w:lastRowFirstColumn="0" w:lastRowLastColumn="0"/>
            </w:pPr>
            <w:r w:rsidRPr="00323067">
              <w:t>11/22/2023</w:t>
            </w:r>
          </w:p>
        </w:tc>
        <w:tc>
          <w:tcPr>
            <w:tcW w:w="6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10C2A09C" w14:textId="493A6652" w:rsidR="0053546B" w:rsidRPr="00323067" w:rsidRDefault="0053546B" w:rsidP="0053546B">
            <w:pPr>
              <w:pStyle w:val="TableText"/>
              <w:jc w:val="right"/>
              <w:cnfStyle w:val="000000010000" w:firstRow="0" w:lastRow="0" w:firstColumn="0" w:lastColumn="0" w:oddVBand="0" w:evenVBand="0" w:oddHBand="0" w:evenHBand="1" w:firstRowFirstColumn="0" w:firstRowLastColumn="0" w:lastRowFirstColumn="0" w:lastRowLastColumn="0"/>
            </w:pPr>
            <w:r w:rsidRPr="00323067">
              <w:t>305.109</w:t>
            </w:r>
          </w:p>
        </w:tc>
        <w:tc>
          <w:tcPr>
            <w:tcW w:w="124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15982FBB" w14:textId="65B4B2BE" w:rsidR="0053546B" w:rsidRPr="00323067" w:rsidRDefault="0053546B" w:rsidP="0053546B">
            <w:pPr>
              <w:pStyle w:val="TableText"/>
              <w:jc w:val="right"/>
              <w:cnfStyle w:val="000000010000" w:firstRow="0" w:lastRow="0" w:firstColumn="0" w:lastColumn="0" w:oddVBand="0" w:evenVBand="0" w:oddHBand="0" w:evenHBand="1" w:firstRowFirstColumn="0" w:firstRowLastColumn="0" w:lastRowFirstColumn="0" w:lastRowLastColumn="0"/>
            </w:pPr>
            <w:r w:rsidRPr="00323067">
              <w:t>306.746</w:t>
            </w:r>
          </w:p>
        </w:tc>
        <w:tc>
          <w:tcPr>
            <w:tcW w:w="6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0A6BCF1C" w14:textId="2F890F36" w:rsidR="0053546B" w:rsidRPr="00323067" w:rsidRDefault="0053546B" w:rsidP="0053546B">
            <w:pPr>
              <w:pStyle w:val="TableText"/>
              <w:jc w:val="right"/>
              <w:cnfStyle w:val="000000010000" w:firstRow="0" w:lastRow="0" w:firstColumn="0" w:lastColumn="0" w:oddVBand="0" w:evenVBand="0" w:oddHBand="0" w:evenHBand="1" w:firstRowFirstColumn="0" w:firstRowLastColumn="0" w:lastRowFirstColumn="0" w:lastRowLastColumn="0"/>
            </w:pPr>
            <w:r w:rsidRPr="00323067">
              <w:t>1.0053653</w:t>
            </w:r>
          </w:p>
        </w:tc>
        <w:tc>
          <w:tcPr>
            <w:tcW w:w="783" w:type="pct"/>
            <w:tcBorders>
              <w:top w:val="single" w:sz="4" w:space="0" w:color="FFFFFF" w:themeColor="background1"/>
              <w:left w:val="single" w:sz="4" w:space="0" w:color="FFFFFF" w:themeColor="background1"/>
              <w:bottom w:val="single" w:sz="4" w:space="0" w:color="FFFFFF" w:themeColor="background1"/>
            </w:tcBorders>
            <w:shd w:val="clear" w:color="auto" w:fill="F2F2F2"/>
          </w:tcPr>
          <w:p w14:paraId="64F52529" w14:textId="40273A13" w:rsidR="0053546B" w:rsidRPr="00323067" w:rsidRDefault="0053546B" w:rsidP="0053546B">
            <w:pPr>
              <w:pStyle w:val="TableText"/>
              <w:jc w:val="right"/>
              <w:cnfStyle w:val="000000010000" w:firstRow="0" w:lastRow="0" w:firstColumn="0" w:lastColumn="0" w:oddVBand="0" w:evenVBand="0" w:oddHBand="0" w:evenHBand="1" w:firstRowFirstColumn="0" w:firstRowLastColumn="0" w:lastRowFirstColumn="0" w:lastRowLastColumn="0"/>
            </w:pPr>
            <w:r w:rsidRPr="00323067">
              <w:t>1</w:t>
            </w:r>
          </w:p>
        </w:tc>
      </w:tr>
      <w:tr w:rsidR="00323067" w:rsidRPr="00323067" w14:paraId="379486D3" w14:textId="77777777" w:rsidTr="00323067">
        <w:tc>
          <w:tcPr>
            <w:cnfStyle w:val="001000000000" w:firstRow="0" w:lastRow="0" w:firstColumn="1" w:lastColumn="0" w:oddVBand="0" w:evenVBand="0" w:oddHBand="0" w:evenHBand="0" w:firstRowFirstColumn="0" w:firstRowLastColumn="0" w:lastRowFirstColumn="0" w:lastRowLastColumn="0"/>
            <w:tcW w:w="833" w:type="pct"/>
            <w:tcBorders>
              <w:top w:val="single" w:sz="4" w:space="0" w:color="FFFFFF" w:themeColor="background1"/>
              <w:bottom w:val="single" w:sz="4" w:space="0" w:color="FFFFFF" w:themeColor="background1"/>
              <w:right w:val="single" w:sz="4" w:space="0" w:color="FFFFFF" w:themeColor="background1"/>
            </w:tcBorders>
            <w:shd w:val="clear" w:color="auto" w:fill="F2F2F2"/>
          </w:tcPr>
          <w:p w14:paraId="1F4088F4" w14:textId="5E29C73B" w:rsidR="0053546B" w:rsidRPr="00323067" w:rsidRDefault="0053546B" w:rsidP="00323067">
            <w:pPr>
              <w:pStyle w:val="TableText"/>
              <w:rPr>
                <w:b w:val="0"/>
                <w:bCs/>
              </w:rPr>
            </w:pPr>
            <w:r w:rsidRPr="00323067">
              <w:rPr>
                <w:b w:val="0"/>
                <w:bCs/>
              </w:rPr>
              <w:t>11/29/2022</w:t>
            </w:r>
          </w:p>
        </w:tc>
        <w:tc>
          <w:tcPr>
            <w:tcW w:w="8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09D2B8B5" w14:textId="6A69D5ED" w:rsidR="0053546B" w:rsidRPr="00323067" w:rsidRDefault="0053546B" w:rsidP="00323067">
            <w:pPr>
              <w:pStyle w:val="TableText"/>
              <w:cnfStyle w:val="000000000000" w:firstRow="0" w:lastRow="0" w:firstColumn="0" w:lastColumn="0" w:oddVBand="0" w:evenVBand="0" w:oddHBand="0" w:evenHBand="0" w:firstRowFirstColumn="0" w:firstRowLastColumn="0" w:lastRowFirstColumn="0" w:lastRowLastColumn="0"/>
            </w:pPr>
            <w:r w:rsidRPr="00323067">
              <w:t>11/29/2023</w:t>
            </w:r>
          </w:p>
        </w:tc>
        <w:tc>
          <w:tcPr>
            <w:tcW w:w="6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7404B6D7" w14:textId="47E36114" w:rsidR="0053546B" w:rsidRPr="00323067" w:rsidRDefault="0053546B" w:rsidP="0053546B">
            <w:pPr>
              <w:pStyle w:val="TableText"/>
              <w:jc w:val="right"/>
              <w:cnfStyle w:val="000000000000" w:firstRow="0" w:lastRow="0" w:firstColumn="0" w:lastColumn="0" w:oddVBand="0" w:evenVBand="0" w:oddHBand="0" w:evenHBand="0" w:firstRowFirstColumn="0" w:firstRowLastColumn="0" w:lastRowFirstColumn="0" w:lastRowLastColumn="0"/>
            </w:pPr>
            <w:r w:rsidRPr="00323067">
              <w:t>305.109</w:t>
            </w:r>
          </w:p>
        </w:tc>
        <w:tc>
          <w:tcPr>
            <w:tcW w:w="124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73E7540F" w14:textId="78F35E10" w:rsidR="0053546B" w:rsidRPr="00323067" w:rsidRDefault="0053546B" w:rsidP="0053546B">
            <w:pPr>
              <w:pStyle w:val="TableText"/>
              <w:jc w:val="right"/>
              <w:cnfStyle w:val="000000000000" w:firstRow="0" w:lastRow="0" w:firstColumn="0" w:lastColumn="0" w:oddVBand="0" w:evenVBand="0" w:oddHBand="0" w:evenHBand="0" w:firstRowFirstColumn="0" w:firstRowLastColumn="0" w:lastRowFirstColumn="0" w:lastRowLastColumn="0"/>
            </w:pPr>
            <w:r w:rsidRPr="00323067">
              <w:t>306.746</w:t>
            </w:r>
          </w:p>
        </w:tc>
        <w:tc>
          <w:tcPr>
            <w:tcW w:w="6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0C90AA54" w14:textId="7F133DE3" w:rsidR="0053546B" w:rsidRPr="00323067" w:rsidRDefault="0053546B" w:rsidP="0053546B">
            <w:pPr>
              <w:pStyle w:val="TableText"/>
              <w:jc w:val="right"/>
              <w:cnfStyle w:val="000000000000" w:firstRow="0" w:lastRow="0" w:firstColumn="0" w:lastColumn="0" w:oddVBand="0" w:evenVBand="0" w:oddHBand="0" w:evenHBand="0" w:firstRowFirstColumn="0" w:firstRowLastColumn="0" w:lastRowFirstColumn="0" w:lastRowLastColumn="0"/>
            </w:pPr>
            <w:r w:rsidRPr="00323067">
              <w:t>1.0053653</w:t>
            </w:r>
          </w:p>
        </w:tc>
        <w:tc>
          <w:tcPr>
            <w:tcW w:w="783" w:type="pct"/>
            <w:tcBorders>
              <w:top w:val="single" w:sz="4" w:space="0" w:color="FFFFFF" w:themeColor="background1"/>
              <w:left w:val="single" w:sz="4" w:space="0" w:color="FFFFFF" w:themeColor="background1"/>
              <w:bottom w:val="single" w:sz="4" w:space="0" w:color="FFFFFF" w:themeColor="background1"/>
            </w:tcBorders>
            <w:shd w:val="clear" w:color="auto" w:fill="F2F2F2"/>
          </w:tcPr>
          <w:p w14:paraId="24E31B21" w14:textId="6FB81051" w:rsidR="0053546B" w:rsidRPr="00323067" w:rsidRDefault="0053546B" w:rsidP="0053546B">
            <w:pPr>
              <w:pStyle w:val="TableText"/>
              <w:jc w:val="right"/>
              <w:cnfStyle w:val="000000000000" w:firstRow="0" w:lastRow="0" w:firstColumn="0" w:lastColumn="0" w:oddVBand="0" w:evenVBand="0" w:oddHBand="0" w:evenHBand="0" w:firstRowFirstColumn="0" w:firstRowLastColumn="0" w:lastRowFirstColumn="0" w:lastRowLastColumn="0"/>
            </w:pPr>
            <w:r w:rsidRPr="00323067">
              <w:t>1</w:t>
            </w:r>
          </w:p>
        </w:tc>
      </w:tr>
      <w:tr w:rsidR="00323067" w:rsidRPr="00323067" w14:paraId="598EF254" w14:textId="77777777" w:rsidTr="003230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Borders>
              <w:top w:val="single" w:sz="4" w:space="0" w:color="FFFFFF" w:themeColor="background1"/>
              <w:right w:val="single" w:sz="4" w:space="0" w:color="FFFFFF" w:themeColor="background1"/>
            </w:tcBorders>
            <w:shd w:val="clear" w:color="auto" w:fill="F2F2F2"/>
          </w:tcPr>
          <w:p w14:paraId="58050B37" w14:textId="36550146" w:rsidR="0053546B" w:rsidRPr="00323067" w:rsidRDefault="0053546B" w:rsidP="00323067">
            <w:pPr>
              <w:pStyle w:val="TableText"/>
              <w:rPr>
                <w:b w:val="0"/>
                <w:bCs/>
              </w:rPr>
            </w:pPr>
            <w:r w:rsidRPr="00323067">
              <w:rPr>
                <w:b w:val="0"/>
                <w:bCs/>
              </w:rPr>
              <w:t>01/01/2023</w:t>
            </w:r>
          </w:p>
        </w:tc>
        <w:tc>
          <w:tcPr>
            <w:tcW w:w="833" w:type="pct"/>
            <w:tcBorders>
              <w:top w:val="single" w:sz="4" w:space="0" w:color="FFFFFF" w:themeColor="background1"/>
              <w:left w:val="single" w:sz="4" w:space="0" w:color="FFFFFF" w:themeColor="background1"/>
              <w:right w:val="single" w:sz="4" w:space="0" w:color="FFFFFF" w:themeColor="background1"/>
            </w:tcBorders>
            <w:shd w:val="clear" w:color="auto" w:fill="F2F2F2"/>
          </w:tcPr>
          <w:p w14:paraId="548C3085" w14:textId="1058CAE0" w:rsidR="0053546B" w:rsidRPr="00323067" w:rsidRDefault="0053546B" w:rsidP="00323067">
            <w:pPr>
              <w:pStyle w:val="TableText"/>
              <w:cnfStyle w:val="000000010000" w:firstRow="0" w:lastRow="0" w:firstColumn="0" w:lastColumn="0" w:oddVBand="0" w:evenVBand="0" w:oddHBand="0" w:evenHBand="1" w:firstRowFirstColumn="0" w:firstRowLastColumn="0" w:lastRowFirstColumn="0" w:lastRowLastColumn="0"/>
            </w:pPr>
            <w:r w:rsidRPr="00323067">
              <w:t>12/31/2023</w:t>
            </w:r>
          </w:p>
        </w:tc>
        <w:tc>
          <w:tcPr>
            <w:tcW w:w="615" w:type="pct"/>
            <w:tcBorders>
              <w:top w:val="single" w:sz="4" w:space="0" w:color="FFFFFF" w:themeColor="background1"/>
              <w:left w:val="single" w:sz="4" w:space="0" w:color="FFFFFF" w:themeColor="background1"/>
              <w:right w:val="single" w:sz="4" w:space="0" w:color="FFFFFF" w:themeColor="background1"/>
            </w:tcBorders>
            <w:shd w:val="clear" w:color="auto" w:fill="F2F2F2"/>
          </w:tcPr>
          <w:p w14:paraId="212E3B9B" w14:textId="72098992" w:rsidR="0053546B" w:rsidRPr="00323067" w:rsidRDefault="0053546B" w:rsidP="0053546B">
            <w:pPr>
              <w:pStyle w:val="TableText"/>
              <w:jc w:val="right"/>
              <w:cnfStyle w:val="000000010000" w:firstRow="0" w:lastRow="0" w:firstColumn="0" w:lastColumn="0" w:oddVBand="0" w:evenVBand="0" w:oddHBand="0" w:evenHBand="1" w:firstRowFirstColumn="0" w:firstRowLastColumn="0" w:lastRowFirstColumn="0" w:lastRowLastColumn="0"/>
            </w:pPr>
            <w:r w:rsidRPr="00323067">
              <w:t>305.691</w:t>
            </w:r>
          </w:p>
        </w:tc>
        <w:tc>
          <w:tcPr>
            <w:tcW w:w="1240" w:type="pct"/>
            <w:tcBorders>
              <w:top w:val="single" w:sz="4" w:space="0" w:color="FFFFFF" w:themeColor="background1"/>
              <w:left w:val="single" w:sz="4" w:space="0" w:color="FFFFFF" w:themeColor="background1"/>
              <w:right w:val="single" w:sz="4" w:space="0" w:color="FFFFFF" w:themeColor="background1"/>
            </w:tcBorders>
            <w:shd w:val="clear" w:color="auto" w:fill="F2F2F2"/>
          </w:tcPr>
          <w:p w14:paraId="05B16242" w14:textId="6E4AEFF5" w:rsidR="0053546B" w:rsidRPr="00323067" w:rsidRDefault="0053546B" w:rsidP="0053546B">
            <w:pPr>
              <w:pStyle w:val="TableText"/>
              <w:jc w:val="right"/>
              <w:cnfStyle w:val="000000010000" w:firstRow="0" w:lastRow="0" w:firstColumn="0" w:lastColumn="0" w:oddVBand="0" w:evenVBand="0" w:oddHBand="0" w:evenHBand="1" w:firstRowFirstColumn="0" w:firstRowLastColumn="0" w:lastRowFirstColumn="0" w:lastRowLastColumn="0"/>
            </w:pPr>
            <w:r w:rsidRPr="00323067">
              <w:t>306.746</w:t>
            </w:r>
          </w:p>
        </w:tc>
        <w:tc>
          <w:tcPr>
            <w:tcW w:w="695" w:type="pct"/>
            <w:tcBorders>
              <w:top w:val="single" w:sz="4" w:space="0" w:color="FFFFFF" w:themeColor="background1"/>
              <w:left w:val="single" w:sz="4" w:space="0" w:color="FFFFFF" w:themeColor="background1"/>
              <w:right w:val="single" w:sz="4" w:space="0" w:color="FFFFFF" w:themeColor="background1"/>
            </w:tcBorders>
            <w:shd w:val="clear" w:color="auto" w:fill="F2F2F2"/>
          </w:tcPr>
          <w:p w14:paraId="01133341" w14:textId="19016BBA" w:rsidR="0053546B" w:rsidRPr="00323067" w:rsidRDefault="0053546B" w:rsidP="0053546B">
            <w:pPr>
              <w:pStyle w:val="TableText"/>
              <w:jc w:val="right"/>
              <w:cnfStyle w:val="000000010000" w:firstRow="0" w:lastRow="0" w:firstColumn="0" w:lastColumn="0" w:oddVBand="0" w:evenVBand="0" w:oddHBand="0" w:evenHBand="1" w:firstRowFirstColumn="0" w:firstRowLastColumn="0" w:lastRowFirstColumn="0" w:lastRowLastColumn="0"/>
            </w:pPr>
            <w:r w:rsidRPr="00323067">
              <w:t>1.0034512</w:t>
            </w:r>
          </w:p>
        </w:tc>
        <w:tc>
          <w:tcPr>
            <w:tcW w:w="783" w:type="pct"/>
            <w:tcBorders>
              <w:top w:val="single" w:sz="4" w:space="0" w:color="FFFFFF" w:themeColor="background1"/>
              <w:left w:val="single" w:sz="4" w:space="0" w:color="FFFFFF" w:themeColor="background1"/>
            </w:tcBorders>
            <w:shd w:val="clear" w:color="auto" w:fill="F2F2F2"/>
          </w:tcPr>
          <w:p w14:paraId="58A1FDB5" w14:textId="061275FC" w:rsidR="0053546B" w:rsidRPr="00323067" w:rsidRDefault="0053546B" w:rsidP="0053546B">
            <w:pPr>
              <w:pStyle w:val="TableText"/>
              <w:jc w:val="right"/>
              <w:cnfStyle w:val="000000010000" w:firstRow="0" w:lastRow="0" w:firstColumn="0" w:lastColumn="0" w:oddVBand="0" w:evenVBand="0" w:oddHBand="0" w:evenHBand="1" w:firstRowFirstColumn="0" w:firstRowLastColumn="0" w:lastRowFirstColumn="0" w:lastRowLastColumn="0"/>
            </w:pPr>
            <w:r w:rsidRPr="00323067">
              <w:t>2</w:t>
            </w:r>
          </w:p>
        </w:tc>
      </w:tr>
    </w:tbl>
    <w:p w14:paraId="0C91C50B" w14:textId="77777777" w:rsidR="00FB493A" w:rsidRPr="000F69D7" w:rsidRDefault="00FB493A" w:rsidP="00FB493A">
      <w:pPr>
        <w:pStyle w:val="Heading3"/>
        <w:rPr>
          <w:color w:val="002C77" w:themeColor="text1"/>
          <w:sz w:val="32"/>
          <w:szCs w:val="28"/>
        </w:rPr>
      </w:pPr>
      <w:bookmarkStart w:id="70" w:name="_Toc22640787"/>
      <w:r w:rsidRPr="000F69D7">
        <w:rPr>
          <w:color w:val="002C77" w:themeColor="text1"/>
          <w:sz w:val="32"/>
          <w:szCs w:val="28"/>
        </w:rPr>
        <w:t>Analysis and Findings</w:t>
      </w:r>
      <w:bookmarkEnd w:id="70"/>
    </w:p>
    <w:p w14:paraId="4F40F077" w14:textId="50B09581" w:rsidR="00FB493A" w:rsidRDefault="00FB493A" w:rsidP="00323067">
      <w:r>
        <w:t>Mercer analyzed the survey data to calculate the pharmacy cost of dispensing. This section presents details on the various methods for calculating the cost of dispensing and the results of Mercer’s analysis.</w:t>
      </w:r>
      <w:r w:rsidRPr="008D4FA3">
        <w:t xml:space="preserve"> </w:t>
      </w:r>
    </w:p>
    <w:p w14:paraId="736D3719" w14:textId="77777777" w:rsidR="00FB493A" w:rsidRDefault="00FB493A" w:rsidP="00323067">
      <w:r>
        <w:t>Various calculation methods may be used to determine an average dispensing cost based on the usable survey data. Mercer conducted multiple calculation methods, including:</w:t>
      </w:r>
    </w:p>
    <w:p w14:paraId="3FE7A348" w14:textId="69BF98AE" w:rsidR="00FB493A" w:rsidRDefault="00FB493A" w:rsidP="00323067">
      <w:pPr>
        <w:pStyle w:val="ListBullet"/>
      </w:pPr>
      <w:r>
        <w:t>Medians</w:t>
      </w:r>
    </w:p>
    <w:p w14:paraId="346FDBE5" w14:textId="7651402C" w:rsidR="00FB493A" w:rsidRDefault="00FB493A" w:rsidP="00323067">
      <w:pPr>
        <w:pStyle w:val="ListBullet"/>
      </w:pPr>
      <w:r>
        <w:t>Unweighted means</w:t>
      </w:r>
    </w:p>
    <w:p w14:paraId="4253B8C2" w14:textId="2617C695" w:rsidR="00FB493A" w:rsidRDefault="00FB493A" w:rsidP="00323067">
      <w:pPr>
        <w:pStyle w:val="ListBullet"/>
      </w:pPr>
      <w:r>
        <w:t>Weighted means considering prescription volume (total and Medicaid) and response probability</w:t>
      </w:r>
    </w:p>
    <w:p w14:paraId="20E3B8C7" w14:textId="7929F97F" w:rsidR="00FB493A" w:rsidRDefault="00FB493A" w:rsidP="00323067">
      <w:pPr>
        <w:pStyle w:val="ListBullet"/>
      </w:pPr>
      <w:r>
        <w:t>Winsorized means</w:t>
      </w:r>
    </w:p>
    <w:p w14:paraId="5B347D03" w14:textId="395635E9" w:rsidR="00FB493A" w:rsidRDefault="00FB493A" w:rsidP="00323067">
      <w:r>
        <w:t xml:space="preserve">Means and medians are used to determine an average and midpoint cost of dispensing a prescription by </w:t>
      </w:r>
      <w:r w:rsidR="00720669">
        <w:t xml:space="preserve">MassHealth </w:t>
      </w:r>
      <w:r>
        <w:t xml:space="preserve">pharmacy providers. Unweighted means and medians represent </w:t>
      </w:r>
      <w:r>
        <w:lastRenderedPageBreak/>
        <w:t xml:space="preserve">an average and midpoint cost per prescription per pharmacy for pharmacies in the sample. By weighting means and medians by the response probability, the impact of </w:t>
      </w:r>
      <w:r w:rsidR="002F4C8A">
        <w:t>non</w:t>
      </w:r>
      <w:r w:rsidR="006D2887">
        <w:noBreakHyphen/>
      </w:r>
      <w:r>
        <w:t>response bias is reduced. Weighting by response probability assumes that within pharmacy type, non</w:t>
      </w:r>
      <w:r w:rsidR="006D2887">
        <w:noBreakHyphen/>
      </w:r>
      <w:r>
        <w:t xml:space="preserve">respondents are </w:t>
      </w:r>
      <w:proofErr w:type="gramStart"/>
      <w:r>
        <w:t>similar to</w:t>
      </w:r>
      <w:proofErr w:type="gramEnd"/>
      <w:r>
        <w:t xml:space="preserve"> respondents</w:t>
      </w:r>
      <w:r w:rsidR="003F684D">
        <w:t>;</w:t>
      </w:r>
      <w:r w:rsidR="00323067">
        <w:t> </w:t>
      </w:r>
      <w:r>
        <w:t>the data is then re</w:t>
      </w:r>
      <w:r w:rsidR="006D2887">
        <w:noBreakHyphen/>
      </w:r>
      <w:r>
        <w:t xml:space="preserve">weighted to match the distribution by pharmacy type of the study population. Means and medians weighted by the total number of prescriptions or number of Medicaid prescriptions are used to determine an average and midpoint cost for all prescriptions in the sample. This method of calculating the mean is equivalent to summing </w:t>
      </w:r>
      <w:proofErr w:type="gramStart"/>
      <w:r>
        <w:t>all of</w:t>
      </w:r>
      <w:proofErr w:type="gramEnd"/>
      <w:r>
        <w:t xml:space="preserve"> the total pharmacy operational costs in the sample divided by the total of all prescriptions in the sample. </w:t>
      </w:r>
    </w:p>
    <w:p w14:paraId="431A6340" w14:textId="000380B1" w:rsidR="00FB493A" w:rsidRDefault="00FB493A" w:rsidP="00323067">
      <w:r>
        <w:t xml:space="preserve">To minimize the impact of low or high outliers or highly skewed distributions in the calculation of average costs, a winsorized approach was used by setting the cost of dispensing that was below the fifth percentile to the fifth percentile and those that were higher than the </w:t>
      </w:r>
      <w:r w:rsidR="00A933CE">
        <w:t>ninety</w:t>
      </w:r>
      <w:r w:rsidR="006D2887">
        <w:noBreakHyphen/>
      </w:r>
      <w:r>
        <w:t xml:space="preserve">fifth percentile to the </w:t>
      </w:r>
      <w:r w:rsidR="00A933CE">
        <w:t>ninety</w:t>
      </w:r>
      <w:r w:rsidR="006D2887">
        <w:noBreakHyphen/>
      </w:r>
      <w:r>
        <w:t>fifth percentile prior to calculating the statewide average costs. In addition to calculating the cost of dispensing a prescription on a statewide basis, the study determined the average costs of dispensing for subgroups of pharmacies classified by various pharmacy characteristics (Appendix</w:t>
      </w:r>
      <w:r w:rsidR="003F684D">
        <w:t> </w:t>
      </w:r>
      <w:r w:rsidRPr="00007CE9">
        <w:t>A</w:t>
      </w:r>
      <w:r>
        <w:t>).</w:t>
      </w:r>
    </w:p>
    <w:p w14:paraId="4A6AD074" w14:textId="48BA1BDA" w:rsidR="00F86026" w:rsidRPr="00D91405" w:rsidRDefault="00687CB1" w:rsidP="00323067">
      <w:r w:rsidRPr="00F86026">
        <w:t xml:space="preserve">As noted in the Executive Summary, </w:t>
      </w:r>
      <w:r w:rsidR="00F86026" w:rsidRPr="00D91405">
        <w:t xml:space="preserve">based on conversations and analysis with the Commonwealth, Mercer recommends </w:t>
      </w:r>
      <w:r w:rsidRPr="00F86026">
        <w:t xml:space="preserve">using a </w:t>
      </w:r>
      <w:r w:rsidR="005F75D3" w:rsidRPr="00D91405">
        <w:t>three</w:t>
      </w:r>
      <w:r w:rsidR="006D2887">
        <w:noBreakHyphen/>
      </w:r>
      <w:r w:rsidR="005F75D3" w:rsidRPr="00D91405">
        <w:t xml:space="preserve">tiered </w:t>
      </w:r>
      <w:r w:rsidRPr="00F86026">
        <w:t xml:space="preserve">differential </w:t>
      </w:r>
      <w:r w:rsidR="005F75D3" w:rsidRPr="00D91405">
        <w:t xml:space="preserve">dispensing </w:t>
      </w:r>
      <w:r w:rsidRPr="00F86026">
        <w:t xml:space="preserve">fee </w:t>
      </w:r>
      <w:r w:rsidR="00F86026" w:rsidRPr="00D91405">
        <w:t xml:space="preserve">as follows: </w:t>
      </w:r>
    </w:p>
    <w:p w14:paraId="2D3884E3" w14:textId="77777777" w:rsidR="00F86026" w:rsidRPr="00F86026" w:rsidRDefault="00F86026" w:rsidP="00323067">
      <w:pPr>
        <w:pStyle w:val="ListBullet"/>
      </w:pPr>
      <w:r w:rsidRPr="00F86026">
        <w:t>Chain = $8.51</w:t>
      </w:r>
    </w:p>
    <w:p w14:paraId="6C4EB202" w14:textId="61E22940" w:rsidR="00F86026" w:rsidRPr="00F86026" w:rsidRDefault="00F86026" w:rsidP="00323067">
      <w:pPr>
        <w:pStyle w:val="ListBullet"/>
      </w:pPr>
      <w:r w:rsidRPr="00F86026">
        <w:t xml:space="preserve">Independent </w:t>
      </w:r>
      <w:r w:rsidR="00A923D2">
        <w:t>and CHC (non</w:t>
      </w:r>
      <w:r w:rsidR="006D2887">
        <w:noBreakHyphen/>
      </w:r>
      <w:r w:rsidR="00A923D2">
        <w:t xml:space="preserve">contract) pharmacies </w:t>
      </w:r>
      <w:r w:rsidRPr="00F86026">
        <w:t>= $10.21</w:t>
      </w:r>
    </w:p>
    <w:p w14:paraId="220FE3C0" w14:textId="3255B0B3" w:rsidR="00F86026" w:rsidRPr="00F86026" w:rsidRDefault="00F86026" w:rsidP="00323067">
      <w:pPr>
        <w:pStyle w:val="ListBullet"/>
      </w:pPr>
      <w:r w:rsidRPr="00F86026">
        <w:t xml:space="preserve">Independent </w:t>
      </w:r>
      <w:r w:rsidR="00A923D2">
        <w:t xml:space="preserve">and CHC </w:t>
      </w:r>
      <w:r w:rsidR="006B2F9B">
        <w:t>(non</w:t>
      </w:r>
      <w:r w:rsidR="006D2887">
        <w:noBreakHyphen/>
      </w:r>
      <w:r w:rsidR="00A923D2">
        <w:t>contract</w:t>
      </w:r>
      <w:r w:rsidR="006B2F9B">
        <w:t>)</w:t>
      </w:r>
      <w:r w:rsidR="00A923D2">
        <w:t xml:space="preserve"> </w:t>
      </w:r>
      <w:r w:rsidRPr="00F86026">
        <w:t xml:space="preserve">pharmacies providing enhanced services = $14.06 </w:t>
      </w:r>
    </w:p>
    <w:p w14:paraId="2A3F86BB" w14:textId="1D61E413" w:rsidR="005F75D3" w:rsidRDefault="00F86026" w:rsidP="00323067">
      <w:r w:rsidRPr="00F86026">
        <w:t>In this three</w:t>
      </w:r>
      <w:r w:rsidR="006D2887">
        <w:noBreakHyphen/>
      </w:r>
      <w:r w:rsidRPr="00F86026">
        <w:t xml:space="preserve">tier structure, most pharmacies would fall into the standard Chain and Independent tiers of $8.51 and $10.21. The third tier of $14.06 is reserved for Independent </w:t>
      </w:r>
      <w:r w:rsidR="006B2F9B">
        <w:t>and CHC (non</w:t>
      </w:r>
      <w:r w:rsidR="006D2887">
        <w:noBreakHyphen/>
      </w:r>
      <w:r w:rsidR="006B2F9B">
        <w:t xml:space="preserve">contract) </w:t>
      </w:r>
      <w:r w:rsidRPr="00F86026">
        <w:t>pharmacies providing enhanced services, as determined by the Commonwealth. Each of the three tiers may include pharmacies from a mix of the types defined in this report, and these three tiers are recommended in lieu of individual tiers for other pharmacy types</w:t>
      </w:r>
      <w:r w:rsidR="003F684D">
        <w:t>,</w:t>
      </w:r>
      <w:r w:rsidRPr="00F86026">
        <w:t xml:space="preserve"> such as LTC, 340B, </w:t>
      </w:r>
      <w:r w:rsidR="00A923D2">
        <w:t xml:space="preserve">and </w:t>
      </w:r>
      <w:r w:rsidRPr="00F86026">
        <w:t>Specialty.</w:t>
      </w:r>
      <w:r w:rsidR="005217A8">
        <w:t xml:space="preserve"> </w:t>
      </w:r>
      <w:proofErr w:type="gramStart"/>
      <w:r w:rsidR="003F684D">
        <w:t>T</w:t>
      </w:r>
      <w:r w:rsidR="00A923D2" w:rsidRPr="00A923D2">
        <w:t>he majority of</w:t>
      </w:r>
      <w:proofErr w:type="gramEnd"/>
      <w:r w:rsidR="00A923D2" w:rsidRPr="00A923D2">
        <w:t xml:space="preserve"> Medicaid programs do not implement a differential dispensing fee for Specialty pharmacies. This is due to several factors, including complex administrative issues, the absence of clear industry</w:t>
      </w:r>
      <w:r w:rsidR="006D2887">
        <w:noBreakHyphen/>
      </w:r>
      <w:r w:rsidR="00A923D2" w:rsidRPr="00A923D2">
        <w:t xml:space="preserve">wide definitions for specialty drugs, and the dispensing fee’s minimal proportion of a </w:t>
      </w:r>
      <w:r w:rsidR="003F684D">
        <w:t>S</w:t>
      </w:r>
      <w:r w:rsidR="003F684D" w:rsidRPr="00A923D2">
        <w:t xml:space="preserve">pecialty </w:t>
      </w:r>
      <w:r w:rsidR="00A923D2" w:rsidRPr="00A923D2">
        <w:t xml:space="preserve">claim’s overall cost. Additionally, </w:t>
      </w:r>
      <w:r w:rsidR="00F9271F">
        <w:t>LTC and 340B pharmacies</w:t>
      </w:r>
      <w:r w:rsidR="00A923D2" w:rsidRPr="00A923D2">
        <w:t xml:space="preserve"> show little to no statistically significant evidence to justify the establishment of administratively complex standalone dispensing fees.</w:t>
      </w:r>
    </w:p>
    <w:p w14:paraId="665E68E9" w14:textId="77777777" w:rsidR="00FB493A" w:rsidRPr="000F69D7" w:rsidRDefault="00FB493A" w:rsidP="002847EE">
      <w:pPr>
        <w:pStyle w:val="Heading2"/>
      </w:pPr>
      <w:bookmarkStart w:id="71" w:name="_Toc22640788"/>
      <w:bookmarkStart w:id="72" w:name="_Toc179536099"/>
      <w:r w:rsidRPr="000F69D7">
        <w:t>Regression Analysis of Pharmacy Characteristics</w:t>
      </w:r>
      <w:bookmarkEnd w:id="71"/>
      <w:bookmarkEnd w:id="72"/>
    </w:p>
    <w:p w14:paraId="4EEBAA9B" w14:textId="402FF815" w:rsidR="00FB493A" w:rsidRDefault="00FB493A" w:rsidP="00323067">
      <w:r>
        <w:t>A multivariable linear regression model was carried out to examine the relationship between a set of pharmacy characteristics and the average cost of dispensing for each pharmacy responding to the survey with usable data. This statistical method simultaneously considers a set of pharmacy characteristics and their relationship with the average cost of dispensing a prescription. The model performance, adjusted R</w:t>
      </w:r>
      <w:r w:rsidR="006D2887">
        <w:noBreakHyphen/>
      </w:r>
      <w:r>
        <w:t xml:space="preserve">squared, measures how well the model fits the data and denotes the percentage of variation in average cost of dispensing accounted for by a set of the pharmacy characteristics. </w:t>
      </w:r>
      <w:r w:rsidR="004466F6">
        <w:t>As</w:t>
      </w:r>
      <w:r>
        <w:t xml:space="preserve"> costs were </w:t>
      </w:r>
      <w:r w:rsidR="003F684D">
        <w:t>right</w:t>
      </w:r>
      <w:r w:rsidR="003F684D">
        <w:noBreakHyphen/>
      </w:r>
      <w:r>
        <w:t xml:space="preserve">skewed and large differences in </w:t>
      </w:r>
      <w:r>
        <w:lastRenderedPageBreak/>
        <w:t xml:space="preserve">costs were seen between pharmacy types, the cost of dispensing was log normal transformed. The regression coefficient for each predictor variable represents a multiplier of the average cost of dispensing per unit change in the predictor variable, holding all other variables constant. </w:t>
      </w:r>
    </w:p>
    <w:p w14:paraId="41FCCEBB" w14:textId="77777777" w:rsidR="00FB493A" w:rsidRDefault="00FB493A" w:rsidP="00323067">
      <w:r>
        <w:t>The following pharmacy characteristics were included in the regression model:</w:t>
      </w:r>
    </w:p>
    <w:p w14:paraId="1A93AE48" w14:textId="77777777" w:rsidR="00FB493A" w:rsidRDefault="00FB493A" w:rsidP="00323067">
      <w:pPr>
        <w:pStyle w:val="ListBullet"/>
      </w:pPr>
      <w:r>
        <w:t>Type of pharmacy</w:t>
      </w:r>
    </w:p>
    <w:p w14:paraId="2E91CB89" w14:textId="77777777" w:rsidR="00FB493A" w:rsidRDefault="00FB493A" w:rsidP="00323067">
      <w:pPr>
        <w:pStyle w:val="ListBullet"/>
      </w:pPr>
      <w:r>
        <w:t>Building ownership</w:t>
      </w:r>
    </w:p>
    <w:p w14:paraId="2A3A1645" w14:textId="77777777" w:rsidR="00FB493A" w:rsidRDefault="00FB493A" w:rsidP="00323067">
      <w:pPr>
        <w:pStyle w:val="ListBullet"/>
      </w:pPr>
      <w:r>
        <w:t>Whether emergency services are offered 24 hours daily</w:t>
      </w:r>
    </w:p>
    <w:p w14:paraId="55FA3E72" w14:textId="77777777" w:rsidR="00FB493A" w:rsidRDefault="00FB493A" w:rsidP="00323067">
      <w:pPr>
        <w:pStyle w:val="ListBullet"/>
      </w:pPr>
      <w:r>
        <w:t>Percentage of prescriptions accounted for by Medicaid</w:t>
      </w:r>
    </w:p>
    <w:p w14:paraId="7C3A82A9" w14:textId="77777777" w:rsidR="00FB493A" w:rsidRDefault="00FB493A" w:rsidP="00323067">
      <w:pPr>
        <w:pStyle w:val="ListBullet"/>
      </w:pPr>
      <w:r>
        <w:t>Percentage of prescriptions that are compounded</w:t>
      </w:r>
    </w:p>
    <w:p w14:paraId="6BB39922" w14:textId="77777777" w:rsidR="00FB493A" w:rsidRDefault="00FB493A" w:rsidP="00323067">
      <w:pPr>
        <w:pStyle w:val="ListBullet"/>
      </w:pPr>
      <w:r>
        <w:t>Length of time in business</w:t>
      </w:r>
    </w:p>
    <w:p w14:paraId="6406A469" w14:textId="77777777" w:rsidR="00FB493A" w:rsidRDefault="00FB493A" w:rsidP="00323067">
      <w:pPr>
        <w:pStyle w:val="ListBullet"/>
      </w:pPr>
      <w:r>
        <w:t>Number of hours open per week</w:t>
      </w:r>
    </w:p>
    <w:p w14:paraId="6DDE421C" w14:textId="01961192" w:rsidR="00FB493A" w:rsidRDefault="00FB493A" w:rsidP="00323067">
      <w:pPr>
        <w:pStyle w:val="ListBullet"/>
      </w:pPr>
      <w:r>
        <w:t>Whether enhanced services, including delivery of Medicaid prescriptions</w:t>
      </w:r>
      <w:r w:rsidR="003F684D">
        <w:t>,</w:t>
      </w:r>
      <w:r>
        <w:t xml:space="preserve"> are offered</w:t>
      </w:r>
    </w:p>
    <w:p w14:paraId="029B1094" w14:textId="77777777" w:rsidR="00FB493A" w:rsidRDefault="00FB493A" w:rsidP="00323067">
      <w:pPr>
        <w:pStyle w:val="ListBullet"/>
      </w:pPr>
      <w:r>
        <w:t>Rural or urban location</w:t>
      </w:r>
    </w:p>
    <w:p w14:paraId="1D01CED1" w14:textId="53693D75" w:rsidR="00FB493A" w:rsidRDefault="00FB493A" w:rsidP="00323067">
      <w:r>
        <w:t xml:space="preserve">Table </w:t>
      </w:r>
      <w:r w:rsidR="00500193">
        <w:t>4</w:t>
      </w:r>
      <w:r>
        <w:t xml:space="preserve"> shows the results of the regression analysis, examining the relationship between pharmacy characteristics and an average cost of dispensing, which was log normal transformed. Each pharmacy characteristic is represented as a categorical variable, where the reference (base) case is a pharmacy with the following characteristics:</w:t>
      </w:r>
    </w:p>
    <w:p w14:paraId="6967F540" w14:textId="0513FB3C" w:rsidR="00FB493A" w:rsidRPr="00007CE9" w:rsidRDefault="00FB493A" w:rsidP="00323067">
      <w:pPr>
        <w:pStyle w:val="ListBullet"/>
      </w:pPr>
      <w:r w:rsidRPr="00007CE9">
        <w:t xml:space="preserve">Retail </w:t>
      </w:r>
      <w:r w:rsidR="002E2E55">
        <w:t xml:space="preserve">chain </w:t>
      </w:r>
      <w:r w:rsidRPr="00007CE9">
        <w:t>pharmacy</w:t>
      </w:r>
    </w:p>
    <w:p w14:paraId="54388379" w14:textId="77777777" w:rsidR="00FB493A" w:rsidRPr="00007CE9" w:rsidRDefault="00FB493A" w:rsidP="00323067">
      <w:pPr>
        <w:pStyle w:val="ListBullet"/>
      </w:pPr>
      <w:r w:rsidRPr="00007CE9">
        <w:t>Building not owned</w:t>
      </w:r>
    </w:p>
    <w:p w14:paraId="17189007" w14:textId="1E7EA03E" w:rsidR="00FB493A" w:rsidRPr="00007CE9" w:rsidRDefault="00FB493A" w:rsidP="00323067">
      <w:pPr>
        <w:pStyle w:val="ListBullet"/>
      </w:pPr>
      <w:r w:rsidRPr="00007CE9">
        <w:t>24</w:t>
      </w:r>
      <w:r w:rsidR="00643081">
        <w:t>-</w:t>
      </w:r>
      <w:r w:rsidRPr="00007CE9">
        <w:t>hour emergency services not available</w:t>
      </w:r>
    </w:p>
    <w:p w14:paraId="2E871D18" w14:textId="3B3882F5" w:rsidR="00FB493A" w:rsidRPr="00007CE9" w:rsidRDefault="00FB493A" w:rsidP="00323067">
      <w:pPr>
        <w:pStyle w:val="ListBullet"/>
      </w:pPr>
      <w:r w:rsidRPr="00007CE9">
        <w:t>&lt; 20% of prescriptions accounted for by Medicaid</w:t>
      </w:r>
    </w:p>
    <w:p w14:paraId="1073E216" w14:textId="77777777" w:rsidR="00FB493A" w:rsidRPr="00007CE9" w:rsidRDefault="00FB493A" w:rsidP="00323067">
      <w:pPr>
        <w:pStyle w:val="ListBullet"/>
      </w:pPr>
      <w:r>
        <w:t>Between 0.1% and</w:t>
      </w:r>
      <w:r w:rsidRPr="00007CE9">
        <w:t xml:space="preserve"> 1% prescriptions compounded</w:t>
      </w:r>
    </w:p>
    <w:p w14:paraId="48B51A97" w14:textId="5789BA77" w:rsidR="00FB493A" w:rsidRPr="00007CE9" w:rsidRDefault="00FB493A" w:rsidP="00323067">
      <w:pPr>
        <w:pStyle w:val="ListBullet"/>
      </w:pPr>
      <w:r w:rsidRPr="00007CE9">
        <w:t>In business 12</w:t>
      </w:r>
      <w:r w:rsidR="00323067">
        <w:t xml:space="preserve"> years</w:t>
      </w:r>
      <w:r w:rsidRPr="00007CE9">
        <w:t>–24 years</w:t>
      </w:r>
    </w:p>
    <w:p w14:paraId="66CA0053" w14:textId="4DB48869" w:rsidR="00FB493A" w:rsidRPr="00007CE9" w:rsidRDefault="00FB493A" w:rsidP="00323067">
      <w:pPr>
        <w:pStyle w:val="ListBullet"/>
      </w:pPr>
      <w:r w:rsidRPr="00007CE9">
        <w:t>Open 70</w:t>
      </w:r>
      <w:r w:rsidR="00323067">
        <w:t xml:space="preserve"> hours</w:t>
      </w:r>
      <w:r w:rsidRPr="00007CE9">
        <w:t>–79 hours per week</w:t>
      </w:r>
    </w:p>
    <w:p w14:paraId="6E7B5873" w14:textId="3BE70BC4" w:rsidR="00FB493A" w:rsidRPr="00007CE9" w:rsidRDefault="002E2E55" w:rsidP="00323067">
      <w:pPr>
        <w:pStyle w:val="ListBullet"/>
      </w:pPr>
      <w:r>
        <w:t>Able to</w:t>
      </w:r>
      <w:r w:rsidR="00FB493A" w:rsidRPr="00007CE9">
        <w:t xml:space="preserve"> deliver Medicaid prescriptions</w:t>
      </w:r>
    </w:p>
    <w:p w14:paraId="0CFD2DFD" w14:textId="77777777" w:rsidR="00FB493A" w:rsidRPr="00007CE9" w:rsidRDefault="00FB493A" w:rsidP="00323067">
      <w:pPr>
        <w:pStyle w:val="ListBullet"/>
      </w:pPr>
      <w:r w:rsidRPr="00007CE9">
        <w:t>Urban location</w:t>
      </w:r>
    </w:p>
    <w:p w14:paraId="31497491" w14:textId="4D650AC2" w:rsidR="00FB493A" w:rsidRDefault="00FB493A" w:rsidP="00323067">
      <w:r>
        <w:t xml:space="preserve">The intercept represents the average cost per prescription for a pharmacy with these characteristics. For each characteristic, the results for the reference pharmacy are displayed as Base, since they are captured by the intercept, the base case pharmacy. </w:t>
      </w:r>
      <w:r w:rsidR="00B103C1">
        <w:t xml:space="preserve">Since </w:t>
      </w:r>
      <w:r>
        <w:t>the cost of dispensing was log normal transformed, the result for each non</w:t>
      </w:r>
      <w:r w:rsidR="006D2887">
        <w:noBreakHyphen/>
      </w:r>
      <w:r>
        <w:t xml:space="preserve">reference category represents the multiplier of the cost of dispensing to the base case, holding all other </w:t>
      </w:r>
      <w:r>
        <w:lastRenderedPageBreak/>
        <w:t>characteristics constant. For each characteristic that varies from the base case, the base cost is multiplied by its associated factor.</w:t>
      </w:r>
    </w:p>
    <w:p w14:paraId="6A09B12B" w14:textId="3698146A" w:rsidR="00FB493A" w:rsidRDefault="00FB493A" w:rsidP="00323067">
      <w:r>
        <w:t xml:space="preserve">Overall, the model explained </w:t>
      </w:r>
      <w:r w:rsidR="00CC484D">
        <w:t>69.5</w:t>
      </w:r>
      <w:r>
        <w:t xml:space="preserve">% of the variance in average cost of dispensing a prescription. Based on the tests of the regression coefficients, two comparisons to the reference case were significantly related to cost of dispensing. </w:t>
      </w:r>
    </w:p>
    <w:p w14:paraId="10DEBE4D" w14:textId="31C295C0" w:rsidR="00FB493A" w:rsidRDefault="00FB493A" w:rsidP="00323067">
      <w:r>
        <w:t>The characteristics that had a significant relationship to the cost of dispensing included:</w:t>
      </w:r>
    </w:p>
    <w:p w14:paraId="4C37573B" w14:textId="0788860B" w:rsidR="00FB493A" w:rsidRPr="001536BD" w:rsidRDefault="00FB493A" w:rsidP="00323067">
      <w:pPr>
        <w:pStyle w:val="ListBullet"/>
      </w:pPr>
      <w:r w:rsidRPr="001536BD">
        <w:t>Pharmacy type</w:t>
      </w:r>
      <w:r w:rsidR="003F684D">
        <w:t>,</w:t>
      </w:r>
      <w:r w:rsidRPr="001536BD">
        <w:t xml:space="preserve"> compared to Retail</w:t>
      </w:r>
      <w:r w:rsidR="002E2E55">
        <w:t xml:space="preserve"> Chain</w:t>
      </w:r>
      <w:r w:rsidRPr="001536BD">
        <w:t>:</w:t>
      </w:r>
    </w:p>
    <w:p w14:paraId="549FB773" w14:textId="05981372" w:rsidR="00EB5B16" w:rsidRDefault="003F684D" w:rsidP="00323067">
      <w:pPr>
        <w:pStyle w:val="ListBullet2"/>
      </w:pPr>
      <w:r>
        <w:t>CHC</w:t>
      </w:r>
    </w:p>
    <w:p w14:paraId="091DEC60" w14:textId="2D6AEBB1" w:rsidR="00EB5B16" w:rsidRPr="00007CE9" w:rsidRDefault="00EB5B16" w:rsidP="00323067">
      <w:pPr>
        <w:pStyle w:val="ListBullet2"/>
      </w:pPr>
      <w:r>
        <w:t>Independent</w:t>
      </w:r>
    </w:p>
    <w:p w14:paraId="446E9C4D" w14:textId="77777777" w:rsidR="00FB493A" w:rsidRPr="00007CE9" w:rsidRDefault="00FB493A" w:rsidP="00323067">
      <w:pPr>
        <w:pStyle w:val="ListBullet2"/>
      </w:pPr>
      <w:r w:rsidRPr="00007CE9">
        <w:t>Specialty</w:t>
      </w:r>
    </w:p>
    <w:p w14:paraId="3CB074F1" w14:textId="37B5412E" w:rsidR="00EB5B16" w:rsidRDefault="00EB5B16" w:rsidP="00323067">
      <w:pPr>
        <w:pStyle w:val="ListBullet"/>
      </w:pPr>
      <w:r>
        <w:t>Number of hours open per week</w:t>
      </w:r>
    </w:p>
    <w:p w14:paraId="16B842B1" w14:textId="0D8A6AC6" w:rsidR="00EB5B16" w:rsidRDefault="00EB5B16" w:rsidP="00323067">
      <w:pPr>
        <w:pStyle w:val="ListBullet2"/>
      </w:pPr>
      <w:r>
        <w:t>0</w:t>
      </w:r>
      <w:r w:rsidR="006074AA">
        <w:t>–</w:t>
      </w:r>
      <w:r>
        <w:t>69 hours per week</w:t>
      </w:r>
    </w:p>
    <w:p w14:paraId="6F6A2A18" w14:textId="6CF39692" w:rsidR="00FB493A" w:rsidRDefault="00FB493A" w:rsidP="00323067">
      <w:r w:rsidRPr="00007CE9">
        <w:t>The results for the intercept indicate that average base case was $</w:t>
      </w:r>
      <w:r w:rsidR="00EB5B16">
        <w:t>9.95</w:t>
      </w:r>
      <w:r w:rsidRPr="00007CE9">
        <w:t>.</w:t>
      </w:r>
      <w:r>
        <w:t xml:space="preserve"> </w:t>
      </w:r>
    </w:p>
    <w:p w14:paraId="56DDC32B" w14:textId="6D9C2F1D" w:rsidR="00FB493A" w:rsidRPr="00A71895" w:rsidRDefault="00FB493A" w:rsidP="00E94ADB">
      <w:pPr>
        <w:pStyle w:val="TableHeadingText"/>
        <w:rPr>
          <w:b w:val="0"/>
        </w:rPr>
      </w:pPr>
      <w:r w:rsidRPr="00A71895">
        <w:rPr>
          <w:color w:val="002C77" w:themeColor="text1"/>
        </w:rPr>
        <w:t xml:space="preserve">Table </w:t>
      </w:r>
      <w:r w:rsidR="00500193">
        <w:rPr>
          <w:color w:val="002C77" w:themeColor="text1"/>
        </w:rPr>
        <w:t>4</w:t>
      </w:r>
      <w:r w:rsidRPr="00A71895">
        <w:rPr>
          <w:color w:val="002C77" w:themeColor="text1"/>
        </w:rPr>
        <w:t xml:space="preserve">: Regression </w:t>
      </w:r>
      <w:r w:rsidR="003027CC" w:rsidRPr="00A71895">
        <w:rPr>
          <w:color w:val="002C77" w:themeColor="text1"/>
        </w:rPr>
        <w:t>A</w:t>
      </w:r>
      <w:r w:rsidRPr="00A71895">
        <w:rPr>
          <w:color w:val="002C77" w:themeColor="text1"/>
        </w:rPr>
        <w:t xml:space="preserve">nalysis </w:t>
      </w:r>
      <w:r w:rsidR="003027CC" w:rsidRPr="00A71895">
        <w:rPr>
          <w:color w:val="002C77" w:themeColor="text1"/>
        </w:rPr>
        <w:t>E</w:t>
      </w:r>
      <w:r w:rsidRPr="00A71895">
        <w:rPr>
          <w:color w:val="002C77" w:themeColor="text1"/>
        </w:rPr>
        <w:t xml:space="preserve">xamining the </w:t>
      </w:r>
      <w:r w:rsidR="003027CC" w:rsidRPr="00A71895">
        <w:rPr>
          <w:color w:val="002C77" w:themeColor="text1"/>
        </w:rPr>
        <w:t>R</w:t>
      </w:r>
      <w:r w:rsidRPr="00A71895">
        <w:rPr>
          <w:color w:val="002C77" w:themeColor="text1"/>
        </w:rPr>
        <w:t>elationship</w:t>
      </w:r>
      <w:r w:rsidR="00A71895">
        <w:rPr>
          <w:color w:val="002C77" w:themeColor="text1"/>
        </w:rPr>
        <w:t xml:space="preserve"> B</w:t>
      </w:r>
      <w:r w:rsidRPr="00A71895">
        <w:rPr>
          <w:color w:val="002C77" w:themeColor="text1"/>
        </w:rPr>
        <w:t xml:space="preserve">etween </w:t>
      </w:r>
      <w:r w:rsidR="003027CC" w:rsidRPr="00A71895">
        <w:rPr>
          <w:color w:val="002C77" w:themeColor="text1"/>
        </w:rPr>
        <w:t>P</w:t>
      </w:r>
      <w:r w:rsidRPr="00A71895">
        <w:rPr>
          <w:color w:val="002C77" w:themeColor="text1"/>
        </w:rPr>
        <w:t xml:space="preserve">harmacy </w:t>
      </w:r>
      <w:r w:rsidR="003027CC" w:rsidRPr="00A71895">
        <w:rPr>
          <w:color w:val="002C77" w:themeColor="text1"/>
        </w:rPr>
        <w:t>C</w:t>
      </w:r>
      <w:r w:rsidRPr="00A71895">
        <w:rPr>
          <w:color w:val="002C77" w:themeColor="text1"/>
        </w:rPr>
        <w:t xml:space="preserve">haracteristics and an </w:t>
      </w:r>
      <w:r w:rsidR="003027CC" w:rsidRPr="00A71895">
        <w:rPr>
          <w:color w:val="002C77" w:themeColor="text1"/>
        </w:rPr>
        <w:t>A</w:t>
      </w:r>
      <w:r w:rsidRPr="00A71895">
        <w:rPr>
          <w:color w:val="002C77" w:themeColor="text1"/>
        </w:rPr>
        <w:t xml:space="preserve">verage </w:t>
      </w:r>
      <w:r w:rsidR="003027CC" w:rsidRPr="00A71895">
        <w:rPr>
          <w:color w:val="002C77" w:themeColor="text1"/>
        </w:rPr>
        <w:t>C</w:t>
      </w:r>
      <w:r w:rsidRPr="00A71895">
        <w:rPr>
          <w:color w:val="002C77" w:themeColor="text1"/>
        </w:rPr>
        <w:t xml:space="preserve">ost of </w:t>
      </w:r>
      <w:r w:rsidR="003027CC" w:rsidRPr="00A71895">
        <w:rPr>
          <w:color w:val="002C77" w:themeColor="text1"/>
        </w:rPr>
        <w:t>D</w:t>
      </w:r>
      <w:r w:rsidRPr="00A71895">
        <w:rPr>
          <w:color w:val="002C77" w:themeColor="text1"/>
        </w:rPr>
        <w:t>ispensing</w:t>
      </w:r>
    </w:p>
    <w:tbl>
      <w:tblPr>
        <w:tblStyle w:val="MMCTable"/>
        <w:tblW w:w="5000" w:type="pct"/>
        <w:tblBorders>
          <w:insideH w:val="single" w:sz="4" w:space="0" w:color="FFFFFF" w:themeColor="background1"/>
          <w:insideV w:val="single" w:sz="4" w:space="0" w:color="FFFFFF" w:themeColor="background1"/>
        </w:tblBorders>
        <w:tblLook w:val="04A0" w:firstRow="1" w:lastRow="0" w:firstColumn="1" w:lastColumn="0" w:noHBand="0" w:noVBand="1"/>
      </w:tblPr>
      <w:tblGrid>
        <w:gridCol w:w="2879"/>
        <w:gridCol w:w="1350"/>
        <w:gridCol w:w="1261"/>
        <w:gridCol w:w="1326"/>
        <w:gridCol w:w="1312"/>
        <w:gridCol w:w="943"/>
      </w:tblGrid>
      <w:tr w:rsidR="00231C93" w:rsidRPr="00231C93" w14:paraId="59D72577" w14:textId="77777777" w:rsidTr="0009420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87" w:type="pct"/>
            <w:tcBorders>
              <w:bottom w:val="single" w:sz="4" w:space="0" w:color="FFFFFF" w:themeColor="background1"/>
            </w:tcBorders>
            <w:vAlign w:val="top"/>
          </w:tcPr>
          <w:p w14:paraId="1FAAD4A6" w14:textId="3BE0718A" w:rsidR="00CE00E2" w:rsidRPr="00231C93" w:rsidRDefault="00652D03" w:rsidP="00231C93">
            <w:pPr>
              <w:pStyle w:val="TableHeadingText"/>
              <w:rPr>
                <w:b/>
                <w:bCs/>
              </w:rPr>
            </w:pPr>
            <w:bookmarkStart w:id="73" w:name="IDX"/>
            <w:bookmarkEnd w:id="73"/>
            <w:r>
              <w:rPr>
                <w:b/>
                <w:bCs/>
              </w:rPr>
              <w:t>Characteristic</w:t>
            </w:r>
          </w:p>
        </w:tc>
        <w:tc>
          <w:tcPr>
            <w:tcW w:w="744" w:type="pct"/>
            <w:tcBorders>
              <w:bottom w:val="single" w:sz="4" w:space="0" w:color="FFFFFF" w:themeColor="background1"/>
            </w:tcBorders>
          </w:tcPr>
          <w:p w14:paraId="77ACB3BA" w14:textId="2167158D" w:rsidR="00CE00E2" w:rsidRPr="00231C93" w:rsidRDefault="00652D03" w:rsidP="00231C93">
            <w:pPr>
              <w:pStyle w:val="TableHeadingText"/>
              <w:cnfStyle w:val="100000000000" w:firstRow="1" w:lastRow="0" w:firstColumn="0" w:lastColumn="0" w:oddVBand="0" w:evenVBand="0" w:oddHBand="0" w:evenHBand="0" w:firstRowFirstColumn="0" w:firstRowLastColumn="0" w:lastRowFirstColumn="0" w:lastRowLastColumn="0"/>
              <w:rPr>
                <w:b/>
                <w:bCs/>
              </w:rPr>
            </w:pPr>
            <w:r>
              <w:rPr>
                <w:b/>
                <w:bCs/>
              </w:rPr>
              <w:t>Criteria</w:t>
            </w:r>
          </w:p>
        </w:tc>
        <w:tc>
          <w:tcPr>
            <w:tcW w:w="695" w:type="pct"/>
            <w:tcBorders>
              <w:bottom w:val="single" w:sz="4" w:space="0" w:color="FFFFFF" w:themeColor="background1"/>
            </w:tcBorders>
          </w:tcPr>
          <w:p w14:paraId="3777D517" w14:textId="30095E34" w:rsidR="00CE00E2" w:rsidRPr="00231C93" w:rsidRDefault="00CE00E2" w:rsidP="00231C93">
            <w:pPr>
              <w:pStyle w:val="TableHeadingText"/>
              <w:jc w:val="right"/>
              <w:cnfStyle w:val="100000000000" w:firstRow="1" w:lastRow="0" w:firstColumn="0" w:lastColumn="0" w:oddVBand="0" w:evenVBand="0" w:oddHBand="0" w:evenHBand="0" w:firstRowFirstColumn="0" w:firstRowLastColumn="0" w:lastRowFirstColumn="0" w:lastRowLastColumn="0"/>
              <w:rPr>
                <w:b/>
                <w:bCs/>
              </w:rPr>
            </w:pPr>
            <w:r w:rsidRPr="00231C93">
              <w:rPr>
                <w:b/>
                <w:bCs/>
              </w:rPr>
              <w:t>Base and</w:t>
            </w:r>
            <w:r w:rsidR="00231C93">
              <w:rPr>
                <w:b/>
                <w:bCs/>
              </w:rPr>
              <w:t xml:space="preserve"> </w:t>
            </w:r>
            <w:r w:rsidRPr="00231C93">
              <w:rPr>
                <w:b/>
                <w:bCs/>
              </w:rPr>
              <w:t>Multipliers</w:t>
            </w:r>
          </w:p>
        </w:tc>
        <w:tc>
          <w:tcPr>
            <w:tcW w:w="731" w:type="pct"/>
            <w:tcBorders>
              <w:bottom w:val="single" w:sz="4" w:space="0" w:color="FFFFFF" w:themeColor="background1"/>
            </w:tcBorders>
          </w:tcPr>
          <w:p w14:paraId="0B36AA33" w14:textId="625F3F3B" w:rsidR="00CE00E2" w:rsidRPr="00231C93" w:rsidRDefault="00323067" w:rsidP="00231C93">
            <w:pPr>
              <w:pStyle w:val="TableHeadingText"/>
              <w:jc w:val="right"/>
              <w:cnfStyle w:val="100000000000" w:firstRow="1" w:lastRow="0" w:firstColumn="0" w:lastColumn="0" w:oddVBand="0" w:evenVBand="0" w:oddHBand="0" w:evenHBand="0" w:firstRowFirstColumn="0" w:firstRowLastColumn="0" w:lastRowFirstColumn="0" w:lastRowLastColumn="0"/>
              <w:rPr>
                <w:b/>
                <w:bCs/>
              </w:rPr>
            </w:pPr>
            <w:r w:rsidRPr="00231C93">
              <w:rPr>
                <w:b/>
                <w:bCs/>
              </w:rPr>
              <w:t xml:space="preserve">95% Confidence Interval: </w:t>
            </w:r>
            <w:r w:rsidR="00CE00E2" w:rsidRPr="00231C93">
              <w:rPr>
                <w:b/>
                <w:bCs/>
              </w:rPr>
              <w:t>Lower</w:t>
            </w:r>
            <w:r w:rsidRPr="00231C93">
              <w:rPr>
                <w:b/>
                <w:bCs/>
              </w:rPr>
              <w:t xml:space="preserve"> </w:t>
            </w:r>
            <w:r w:rsidR="00CE00E2" w:rsidRPr="00231C93">
              <w:rPr>
                <w:b/>
                <w:bCs/>
              </w:rPr>
              <w:t>Bound</w:t>
            </w:r>
          </w:p>
        </w:tc>
        <w:tc>
          <w:tcPr>
            <w:tcW w:w="723" w:type="pct"/>
            <w:tcBorders>
              <w:bottom w:val="single" w:sz="4" w:space="0" w:color="FFFFFF" w:themeColor="background1"/>
            </w:tcBorders>
          </w:tcPr>
          <w:p w14:paraId="4B2C2E02" w14:textId="3028691F" w:rsidR="00CE00E2" w:rsidRPr="00231C93" w:rsidRDefault="00323067" w:rsidP="00231C93">
            <w:pPr>
              <w:pStyle w:val="TableHeadingText"/>
              <w:jc w:val="right"/>
              <w:cnfStyle w:val="100000000000" w:firstRow="1" w:lastRow="0" w:firstColumn="0" w:lastColumn="0" w:oddVBand="0" w:evenVBand="0" w:oddHBand="0" w:evenHBand="0" w:firstRowFirstColumn="0" w:firstRowLastColumn="0" w:lastRowFirstColumn="0" w:lastRowLastColumn="0"/>
              <w:rPr>
                <w:b/>
                <w:bCs/>
              </w:rPr>
            </w:pPr>
            <w:r w:rsidRPr="00231C93">
              <w:rPr>
                <w:b/>
                <w:bCs/>
              </w:rPr>
              <w:t xml:space="preserve">95% Confidence Interval: </w:t>
            </w:r>
            <w:r w:rsidR="00CE00E2" w:rsidRPr="00231C93">
              <w:rPr>
                <w:b/>
                <w:bCs/>
              </w:rPr>
              <w:t>Upper</w:t>
            </w:r>
            <w:r w:rsidRPr="00231C93">
              <w:rPr>
                <w:b/>
                <w:bCs/>
              </w:rPr>
              <w:t xml:space="preserve"> </w:t>
            </w:r>
            <w:r w:rsidR="00CE00E2" w:rsidRPr="00231C93">
              <w:rPr>
                <w:b/>
                <w:bCs/>
              </w:rPr>
              <w:t>Bound</w:t>
            </w:r>
          </w:p>
        </w:tc>
        <w:tc>
          <w:tcPr>
            <w:tcW w:w="520" w:type="pct"/>
            <w:tcBorders>
              <w:bottom w:val="single" w:sz="4" w:space="0" w:color="FFFFFF" w:themeColor="background1"/>
            </w:tcBorders>
          </w:tcPr>
          <w:p w14:paraId="78EDE781" w14:textId="77777777" w:rsidR="00CE00E2" w:rsidRPr="00231C93" w:rsidRDefault="00CE00E2" w:rsidP="00231C93">
            <w:pPr>
              <w:pStyle w:val="TableHeadingText"/>
              <w:jc w:val="right"/>
              <w:cnfStyle w:val="100000000000" w:firstRow="1" w:lastRow="0" w:firstColumn="0" w:lastColumn="0" w:oddVBand="0" w:evenVBand="0" w:oddHBand="0" w:evenHBand="0" w:firstRowFirstColumn="0" w:firstRowLastColumn="0" w:lastRowFirstColumn="0" w:lastRowLastColumn="0"/>
              <w:rPr>
                <w:b/>
                <w:bCs/>
              </w:rPr>
            </w:pPr>
            <w:r w:rsidRPr="00231C93">
              <w:rPr>
                <w:b/>
                <w:bCs/>
              </w:rPr>
              <w:t>P</w:t>
            </w:r>
            <w:r w:rsidRPr="00231C93">
              <w:rPr>
                <w:b/>
                <w:bCs/>
              </w:rPr>
              <w:noBreakHyphen/>
              <w:t>Value</w:t>
            </w:r>
          </w:p>
        </w:tc>
      </w:tr>
      <w:tr w:rsidR="00231C93" w:rsidRPr="00231C93" w14:paraId="04F04D1C" w14:textId="77777777" w:rsidTr="0009420F">
        <w:tc>
          <w:tcPr>
            <w:cnfStyle w:val="001000000000" w:firstRow="0" w:lastRow="0" w:firstColumn="1" w:lastColumn="0" w:oddVBand="0" w:evenVBand="0" w:oddHBand="0" w:evenHBand="0" w:firstRowFirstColumn="0" w:firstRowLastColumn="0" w:lastRowFirstColumn="0" w:lastRowLastColumn="0"/>
            <w:tcW w:w="1587" w:type="pct"/>
            <w:tcBorders>
              <w:top w:val="single" w:sz="4" w:space="0" w:color="FFFFFF" w:themeColor="background1"/>
              <w:bottom w:val="single" w:sz="8" w:space="0" w:color="002C77" w:themeColor="text1"/>
            </w:tcBorders>
            <w:shd w:val="clear" w:color="auto" w:fill="F2F2F2"/>
          </w:tcPr>
          <w:p w14:paraId="2DC52BC2" w14:textId="77777777" w:rsidR="004E4785" w:rsidRPr="00231C93" w:rsidRDefault="004E4785" w:rsidP="00231C93">
            <w:pPr>
              <w:pStyle w:val="TableText"/>
              <w:rPr>
                <w:b w:val="0"/>
              </w:rPr>
            </w:pPr>
            <w:r w:rsidRPr="00231C93">
              <w:rPr>
                <w:b w:val="0"/>
              </w:rPr>
              <w:t>Intercept</w:t>
            </w:r>
          </w:p>
        </w:tc>
        <w:tc>
          <w:tcPr>
            <w:tcW w:w="744" w:type="pct"/>
            <w:tcBorders>
              <w:top w:val="single" w:sz="4" w:space="0" w:color="FFFFFF" w:themeColor="background1"/>
              <w:bottom w:val="single" w:sz="8" w:space="0" w:color="002C77" w:themeColor="text1"/>
            </w:tcBorders>
            <w:shd w:val="clear" w:color="auto" w:fill="F2F2F2"/>
          </w:tcPr>
          <w:p w14:paraId="002C900A" w14:textId="77777777" w:rsidR="004E4785" w:rsidRPr="00231C93" w:rsidRDefault="004E4785" w:rsidP="00231C93">
            <w:pPr>
              <w:adjustRightInd w:val="0"/>
              <w:cnfStyle w:val="000000000000" w:firstRow="0" w:lastRow="0" w:firstColumn="0" w:lastColumn="0" w:oddVBand="0" w:evenVBand="0" w:oddHBand="0" w:evenHBand="0" w:firstRowFirstColumn="0" w:firstRowLastColumn="0" w:lastRowFirstColumn="0" w:lastRowLastColumn="0"/>
            </w:pPr>
            <w:r w:rsidRPr="00231C93">
              <w:t>Intercept</w:t>
            </w:r>
          </w:p>
        </w:tc>
        <w:tc>
          <w:tcPr>
            <w:tcW w:w="695" w:type="pct"/>
            <w:tcBorders>
              <w:top w:val="single" w:sz="4" w:space="0" w:color="FFFFFF" w:themeColor="background1"/>
              <w:bottom w:val="single" w:sz="8" w:space="0" w:color="002C77" w:themeColor="text1"/>
            </w:tcBorders>
            <w:shd w:val="clear" w:color="auto" w:fill="F2F2F2"/>
          </w:tcPr>
          <w:p w14:paraId="489E8BF3" w14:textId="4939DE48" w:rsidR="004E4785" w:rsidRPr="00231C93" w:rsidRDefault="004E4785" w:rsidP="00231C93">
            <w:pPr>
              <w:keepNext/>
              <w:adjustRightInd w:val="0"/>
              <w:jc w:val="right"/>
              <w:cnfStyle w:val="000000000000" w:firstRow="0" w:lastRow="0" w:firstColumn="0" w:lastColumn="0" w:oddVBand="0" w:evenVBand="0" w:oddHBand="0" w:evenHBand="0" w:firstRowFirstColumn="0" w:firstRowLastColumn="0" w:lastRowFirstColumn="0" w:lastRowLastColumn="0"/>
            </w:pPr>
            <w:r w:rsidRPr="00231C93">
              <w:t>$9.95</w:t>
            </w:r>
          </w:p>
        </w:tc>
        <w:tc>
          <w:tcPr>
            <w:tcW w:w="731" w:type="pct"/>
            <w:tcBorders>
              <w:top w:val="single" w:sz="4" w:space="0" w:color="FFFFFF" w:themeColor="background1"/>
              <w:bottom w:val="single" w:sz="8" w:space="0" w:color="002C77" w:themeColor="text1"/>
            </w:tcBorders>
            <w:shd w:val="clear" w:color="auto" w:fill="F2F2F2"/>
          </w:tcPr>
          <w:p w14:paraId="056BCB97" w14:textId="4ED1E77D" w:rsidR="004E4785" w:rsidRPr="00231C93" w:rsidRDefault="004E4785" w:rsidP="00231C93">
            <w:pPr>
              <w:keepNext/>
              <w:adjustRightInd w:val="0"/>
              <w:jc w:val="right"/>
              <w:cnfStyle w:val="000000000000" w:firstRow="0" w:lastRow="0" w:firstColumn="0" w:lastColumn="0" w:oddVBand="0" w:evenVBand="0" w:oddHBand="0" w:evenHBand="0" w:firstRowFirstColumn="0" w:firstRowLastColumn="0" w:lastRowFirstColumn="0" w:lastRowLastColumn="0"/>
            </w:pPr>
            <w:r w:rsidRPr="00231C93">
              <w:t>4.70</w:t>
            </w:r>
          </w:p>
        </w:tc>
        <w:tc>
          <w:tcPr>
            <w:tcW w:w="723" w:type="pct"/>
            <w:tcBorders>
              <w:top w:val="single" w:sz="4" w:space="0" w:color="FFFFFF" w:themeColor="background1"/>
              <w:bottom w:val="single" w:sz="8" w:space="0" w:color="002C77" w:themeColor="text1"/>
            </w:tcBorders>
            <w:shd w:val="clear" w:color="auto" w:fill="F2F2F2"/>
          </w:tcPr>
          <w:p w14:paraId="136E0759" w14:textId="59E9FEB4" w:rsidR="004E4785" w:rsidRPr="00231C93" w:rsidRDefault="004E4785" w:rsidP="00231C93">
            <w:pPr>
              <w:keepNext/>
              <w:adjustRightInd w:val="0"/>
              <w:jc w:val="right"/>
              <w:cnfStyle w:val="000000000000" w:firstRow="0" w:lastRow="0" w:firstColumn="0" w:lastColumn="0" w:oddVBand="0" w:evenVBand="0" w:oddHBand="0" w:evenHBand="0" w:firstRowFirstColumn="0" w:firstRowLastColumn="0" w:lastRowFirstColumn="0" w:lastRowLastColumn="0"/>
            </w:pPr>
            <w:r w:rsidRPr="00231C93">
              <w:t>21.07</w:t>
            </w:r>
          </w:p>
        </w:tc>
        <w:tc>
          <w:tcPr>
            <w:tcW w:w="520" w:type="pct"/>
            <w:tcBorders>
              <w:top w:val="single" w:sz="4" w:space="0" w:color="FFFFFF" w:themeColor="background1"/>
              <w:bottom w:val="single" w:sz="8" w:space="0" w:color="002C77" w:themeColor="text1"/>
            </w:tcBorders>
            <w:shd w:val="clear" w:color="auto" w:fill="F2F2F2"/>
          </w:tcPr>
          <w:p w14:paraId="7F1C8A3D" w14:textId="40007CDE" w:rsidR="004E4785" w:rsidRPr="00231C93" w:rsidRDefault="004E4785" w:rsidP="00231C93">
            <w:pPr>
              <w:keepNext/>
              <w:adjustRightInd w:val="0"/>
              <w:jc w:val="right"/>
              <w:cnfStyle w:val="000000000000" w:firstRow="0" w:lastRow="0" w:firstColumn="0" w:lastColumn="0" w:oddVBand="0" w:evenVBand="0" w:oddHBand="0" w:evenHBand="0" w:firstRowFirstColumn="0" w:firstRowLastColumn="0" w:lastRowFirstColumn="0" w:lastRowLastColumn="0"/>
            </w:pPr>
            <w:r w:rsidRPr="00231C93">
              <w:t>***</w:t>
            </w:r>
          </w:p>
        </w:tc>
      </w:tr>
      <w:tr w:rsidR="00231C93" w:rsidRPr="00231C93" w14:paraId="59743144" w14:textId="77777777" w:rsidTr="0009420F">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87" w:type="pct"/>
            <w:tcBorders>
              <w:top w:val="single" w:sz="8" w:space="0" w:color="002C77" w:themeColor="text1"/>
            </w:tcBorders>
            <w:shd w:val="clear" w:color="auto" w:fill="F2F2F2"/>
          </w:tcPr>
          <w:p w14:paraId="11CAE3E5" w14:textId="77777777" w:rsidR="00231C93" w:rsidRPr="00231C93" w:rsidRDefault="00231C93" w:rsidP="00231C93">
            <w:pPr>
              <w:pStyle w:val="TableText"/>
              <w:rPr>
                <w:b w:val="0"/>
              </w:rPr>
            </w:pPr>
            <w:r w:rsidRPr="00231C93">
              <w:rPr>
                <w:b w:val="0"/>
              </w:rPr>
              <w:t>Pharmacy Type</w:t>
            </w:r>
          </w:p>
        </w:tc>
        <w:tc>
          <w:tcPr>
            <w:tcW w:w="744" w:type="pct"/>
            <w:tcBorders>
              <w:top w:val="single" w:sz="8" w:space="0" w:color="002C77" w:themeColor="text1"/>
            </w:tcBorders>
            <w:shd w:val="clear" w:color="auto" w:fill="F2F2F2"/>
          </w:tcPr>
          <w:p w14:paraId="2F958EED" w14:textId="77777777" w:rsidR="00231C93" w:rsidRPr="00231C93" w:rsidRDefault="00231C93" w:rsidP="00231C93">
            <w:pPr>
              <w:keepNext/>
              <w:adjustRightInd w:val="0"/>
              <w:cnfStyle w:val="000000010000" w:firstRow="0" w:lastRow="0" w:firstColumn="0" w:lastColumn="0" w:oddVBand="0" w:evenVBand="0" w:oddHBand="0" w:evenHBand="1" w:firstRowFirstColumn="0" w:firstRowLastColumn="0" w:lastRowFirstColumn="0" w:lastRowLastColumn="0"/>
            </w:pPr>
            <w:r w:rsidRPr="00231C93">
              <w:t>340B</w:t>
            </w:r>
          </w:p>
        </w:tc>
        <w:tc>
          <w:tcPr>
            <w:tcW w:w="695" w:type="pct"/>
            <w:tcBorders>
              <w:top w:val="single" w:sz="8" w:space="0" w:color="002C77" w:themeColor="text1"/>
            </w:tcBorders>
            <w:shd w:val="clear" w:color="auto" w:fill="F2F2F2"/>
          </w:tcPr>
          <w:p w14:paraId="1798DF8F" w14:textId="311B4E74" w:rsidR="00231C93" w:rsidRPr="00231C93" w:rsidRDefault="00231C93" w:rsidP="00231C93">
            <w:pPr>
              <w:keepNext/>
              <w:adjustRightInd w:val="0"/>
              <w:jc w:val="right"/>
              <w:cnfStyle w:val="000000010000" w:firstRow="0" w:lastRow="0" w:firstColumn="0" w:lastColumn="0" w:oddVBand="0" w:evenVBand="0" w:oddHBand="0" w:evenHBand="1" w:firstRowFirstColumn="0" w:firstRowLastColumn="0" w:lastRowFirstColumn="0" w:lastRowLastColumn="0"/>
            </w:pPr>
            <w:r w:rsidRPr="00231C93">
              <w:t>2.16</w:t>
            </w:r>
          </w:p>
        </w:tc>
        <w:tc>
          <w:tcPr>
            <w:tcW w:w="731" w:type="pct"/>
            <w:tcBorders>
              <w:top w:val="single" w:sz="8" w:space="0" w:color="002C77" w:themeColor="text1"/>
            </w:tcBorders>
            <w:shd w:val="clear" w:color="auto" w:fill="F2F2F2"/>
          </w:tcPr>
          <w:p w14:paraId="5EC53309" w14:textId="5A694231" w:rsidR="00231C93" w:rsidRPr="00231C93" w:rsidRDefault="00231C93" w:rsidP="00231C93">
            <w:pPr>
              <w:keepNext/>
              <w:adjustRightInd w:val="0"/>
              <w:jc w:val="right"/>
              <w:cnfStyle w:val="000000010000" w:firstRow="0" w:lastRow="0" w:firstColumn="0" w:lastColumn="0" w:oddVBand="0" w:evenVBand="0" w:oddHBand="0" w:evenHBand="1" w:firstRowFirstColumn="0" w:firstRowLastColumn="0" w:lastRowFirstColumn="0" w:lastRowLastColumn="0"/>
            </w:pPr>
            <w:r w:rsidRPr="00231C93">
              <w:t>1.04</w:t>
            </w:r>
          </w:p>
        </w:tc>
        <w:tc>
          <w:tcPr>
            <w:tcW w:w="723" w:type="pct"/>
            <w:tcBorders>
              <w:top w:val="single" w:sz="8" w:space="0" w:color="002C77" w:themeColor="text1"/>
            </w:tcBorders>
            <w:shd w:val="clear" w:color="auto" w:fill="F2F2F2"/>
          </w:tcPr>
          <w:p w14:paraId="4E43C20D" w14:textId="6295B370" w:rsidR="00231C93" w:rsidRPr="00231C93" w:rsidRDefault="00231C93" w:rsidP="00231C93">
            <w:pPr>
              <w:keepNext/>
              <w:adjustRightInd w:val="0"/>
              <w:jc w:val="right"/>
              <w:cnfStyle w:val="000000010000" w:firstRow="0" w:lastRow="0" w:firstColumn="0" w:lastColumn="0" w:oddVBand="0" w:evenVBand="0" w:oddHBand="0" w:evenHBand="1" w:firstRowFirstColumn="0" w:firstRowLastColumn="0" w:lastRowFirstColumn="0" w:lastRowLastColumn="0"/>
            </w:pPr>
            <w:r w:rsidRPr="00231C93">
              <w:t>4.50</w:t>
            </w:r>
          </w:p>
        </w:tc>
        <w:tc>
          <w:tcPr>
            <w:tcW w:w="520" w:type="pct"/>
            <w:tcBorders>
              <w:top w:val="single" w:sz="8" w:space="0" w:color="002C77" w:themeColor="text1"/>
            </w:tcBorders>
            <w:shd w:val="clear" w:color="auto" w:fill="F2F2F2"/>
          </w:tcPr>
          <w:p w14:paraId="18784823" w14:textId="54C3F029" w:rsidR="00231C93" w:rsidRPr="00231C93" w:rsidRDefault="00231C93" w:rsidP="00231C93">
            <w:pPr>
              <w:keepNext/>
              <w:adjustRightInd w:val="0"/>
              <w:jc w:val="right"/>
              <w:cnfStyle w:val="000000010000" w:firstRow="0" w:lastRow="0" w:firstColumn="0" w:lastColumn="0" w:oddVBand="0" w:evenVBand="0" w:oddHBand="0" w:evenHBand="1" w:firstRowFirstColumn="0" w:firstRowLastColumn="0" w:lastRowFirstColumn="0" w:lastRowLastColumn="0"/>
            </w:pPr>
            <w:r w:rsidRPr="00231C93">
              <w:t>*</w:t>
            </w:r>
          </w:p>
        </w:tc>
      </w:tr>
      <w:tr w:rsidR="00231C93" w:rsidRPr="00231C93" w14:paraId="44E77EBE" w14:textId="77777777" w:rsidTr="002847EE">
        <w:trPr>
          <w:trHeight w:val="288"/>
        </w:trPr>
        <w:tc>
          <w:tcPr>
            <w:cnfStyle w:val="001000000000" w:firstRow="0" w:lastRow="0" w:firstColumn="1" w:lastColumn="0" w:oddVBand="0" w:evenVBand="0" w:oddHBand="0" w:evenHBand="0" w:firstRowFirstColumn="0" w:firstRowLastColumn="0" w:lastRowFirstColumn="0" w:lastRowLastColumn="0"/>
            <w:tcW w:w="1587" w:type="pct"/>
            <w:shd w:val="clear" w:color="auto" w:fill="F2F2F2"/>
          </w:tcPr>
          <w:p w14:paraId="5992F3A4" w14:textId="00E42428" w:rsidR="00231C93" w:rsidRPr="00231C93" w:rsidRDefault="00231C93" w:rsidP="00231C93">
            <w:pPr>
              <w:pStyle w:val="TableText"/>
              <w:rPr>
                <w:b w:val="0"/>
              </w:rPr>
            </w:pPr>
            <w:r>
              <w:rPr>
                <w:b w:val="0"/>
              </w:rPr>
              <w:t>Pharmacy Type</w:t>
            </w:r>
          </w:p>
        </w:tc>
        <w:tc>
          <w:tcPr>
            <w:tcW w:w="744" w:type="pct"/>
            <w:shd w:val="clear" w:color="auto" w:fill="F2F2F2"/>
          </w:tcPr>
          <w:p w14:paraId="7599B0AB" w14:textId="43844840" w:rsidR="00231C93" w:rsidRPr="00231C93" w:rsidRDefault="003F684D" w:rsidP="00231C93">
            <w:pPr>
              <w:keepNext/>
              <w:adjustRightInd w:val="0"/>
              <w:cnfStyle w:val="000000000000" w:firstRow="0" w:lastRow="0" w:firstColumn="0" w:lastColumn="0" w:oddVBand="0" w:evenVBand="0" w:oddHBand="0" w:evenHBand="0" w:firstRowFirstColumn="0" w:firstRowLastColumn="0" w:lastRowFirstColumn="0" w:lastRowLastColumn="0"/>
            </w:pPr>
            <w:r>
              <w:t>CHC</w:t>
            </w:r>
          </w:p>
        </w:tc>
        <w:tc>
          <w:tcPr>
            <w:tcW w:w="0" w:type="pct"/>
            <w:shd w:val="clear" w:color="auto" w:fill="F2F2F2"/>
          </w:tcPr>
          <w:p w14:paraId="241B8503" w14:textId="0CCFC5AC" w:rsidR="00231C93" w:rsidRPr="00231C93" w:rsidRDefault="00231C93" w:rsidP="00231C93">
            <w:pPr>
              <w:keepNext/>
              <w:adjustRightInd w:val="0"/>
              <w:jc w:val="right"/>
              <w:cnfStyle w:val="000000000000" w:firstRow="0" w:lastRow="0" w:firstColumn="0" w:lastColumn="0" w:oddVBand="0" w:evenVBand="0" w:oddHBand="0" w:evenHBand="0" w:firstRowFirstColumn="0" w:firstRowLastColumn="0" w:lastRowFirstColumn="0" w:lastRowLastColumn="0"/>
            </w:pPr>
            <w:r w:rsidRPr="00231C93">
              <w:t>2.20</w:t>
            </w:r>
          </w:p>
        </w:tc>
        <w:tc>
          <w:tcPr>
            <w:tcW w:w="0" w:type="pct"/>
            <w:shd w:val="clear" w:color="auto" w:fill="F2F2F2"/>
          </w:tcPr>
          <w:p w14:paraId="4ECA855A" w14:textId="1FC22DDD" w:rsidR="00231C93" w:rsidRPr="00231C93" w:rsidRDefault="00231C93" w:rsidP="00231C93">
            <w:pPr>
              <w:keepNext/>
              <w:adjustRightInd w:val="0"/>
              <w:jc w:val="right"/>
              <w:cnfStyle w:val="000000000000" w:firstRow="0" w:lastRow="0" w:firstColumn="0" w:lastColumn="0" w:oddVBand="0" w:evenVBand="0" w:oddHBand="0" w:evenHBand="0" w:firstRowFirstColumn="0" w:firstRowLastColumn="0" w:lastRowFirstColumn="0" w:lastRowLastColumn="0"/>
            </w:pPr>
            <w:r w:rsidRPr="00231C93">
              <w:t>1.22</w:t>
            </w:r>
          </w:p>
        </w:tc>
        <w:tc>
          <w:tcPr>
            <w:tcW w:w="0" w:type="pct"/>
            <w:shd w:val="clear" w:color="auto" w:fill="F2F2F2"/>
          </w:tcPr>
          <w:p w14:paraId="4A6AAF8D" w14:textId="29EFD98F" w:rsidR="00231C93" w:rsidRPr="00231C93" w:rsidRDefault="00231C93" w:rsidP="00231C93">
            <w:pPr>
              <w:keepNext/>
              <w:adjustRightInd w:val="0"/>
              <w:jc w:val="right"/>
              <w:cnfStyle w:val="000000000000" w:firstRow="0" w:lastRow="0" w:firstColumn="0" w:lastColumn="0" w:oddVBand="0" w:evenVBand="0" w:oddHBand="0" w:evenHBand="0" w:firstRowFirstColumn="0" w:firstRowLastColumn="0" w:lastRowFirstColumn="0" w:lastRowLastColumn="0"/>
            </w:pPr>
            <w:r w:rsidRPr="00231C93">
              <w:t>3.97</w:t>
            </w:r>
          </w:p>
        </w:tc>
        <w:tc>
          <w:tcPr>
            <w:tcW w:w="0" w:type="pct"/>
            <w:shd w:val="clear" w:color="auto" w:fill="F2F2F2"/>
          </w:tcPr>
          <w:p w14:paraId="79DD969A" w14:textId="717A0FE6" w:rsidR="00231C93" w:rsidRPr="00231C93" w:rsidRDefault="00231C93" w:rsidP="00231C93">
            <w:pPr>
              <w:keepNext/>
              <w:adjustRightInd w:val="0"/>
              <w:jc w:val="right"/>
              <w:cnfStyle w:val="000000000000" w:firstRow="0" w:lastRow="0" w:firstColumn="0" w:lastColumn="0" w:oddVBand="0" w:evenVBand="0" w:oddHBand="0" w:evenHBand="0" w:firstRowFirstColumn="0" w:firstRowLastColumn="0" w:lastRowFirstColumn="0" w:lastRowLastColumn="0"/>
            </w:pPr>
            <w:r w:rsidRPr="00231C93">
              <w:t>**</w:t>
            </w:r>
          </w:p>
        </w:tc>
      </w:tr>
      <w:tr w:rsidR="00231C93" w:rsidRPr="00231C93" w14:paraId="18FB73F6" w14:textId="77777777" w:rsidTr="00FF4345">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87" w:type="pct"/>
            <w:shd w:val="clear" w:color="auto" w:fill="F2F2F2"/>
          </w:tcPr>
          <w:p w14:paraId="7FF60EF8" w14:textId="07A46718" w:rsidR="00231C93" w:rsidRPr="00231C93" w:rsidRDefault="00231C93" w:rsidP="00231C93">
            <w:pPr>
              <w:pStyle w:val="TableText"/>
              <w:rPr>
                <w:b w:val="0"/>
              </w:rPr>
            </w:pPr>
            <w:r>
              <w:rPr>
                <w:b w:val="0"/>
              </w:rPr>
              <w:t>Pharmacy Type</w:t>
            </w:r>
          </w:p>
        </w:tc>
        <w:tc>
          <w:tcPr>
            <w:tcW w:w="744" w:type="pct"/>
            <w:shd w:val="clear" w:color="auto" w:fill="F2F2F2"/>
          </w:tcPr>
          <w:p w14:paraId="1DA93908" w14:textId="3C052A8C" w:rsidR="00231C93" w:rsidRPr="00231C93" w:rsidRDefault="00231C93" w:rsidP="00231C93">
            <w:pPr>
              <w:keepNext/>
              <w:adjustRightInd w:val="0"/>
              <w:cnfStyle w:val="000000010000" w:firstRow="0" w:lastRow="0" w:firstColumn="0" w:lastColumn="0" w:oddVBand="0" w:evenVBand="0" w:oddHBand="0" w:evenHBand="1" w:firstRowFirstColumn="0" w:firstRowLastColumn="0" w:lastRowFirstColumn="0" w:lastRowLastColumn="0"/>
            </w:pPr>
            <w:r w:rsidRPr="00231C93">
              <w:t xml:space="preserve">Independent </w:t>
            </w:r>
          </w:p>
        </w:tc>
        <w:tc>
          <w:tcPr>
            <w:tcW w:w="695" w:type="pct"/>
            <w:shd w:val="clear" w:color="auto" w:fill="F2F2F2"/>
          </w:tcPr>
          <w:p w14:paraId="7FFDA1F9" w14:textId="6B5D246E" w:rsidR="00231C93" w:rsidRPr="00231C93" w:rsidRDefault="00231C93" w:rsidP="00231C93">
            <w:pPr>
              <w:keepNext/>
              <w:adjustRightInd w:val="0"/>
              <w:jc w:val="right"/>
              <w:cnfStyle w:val="000000010000" w:firstRow="0" w:lastRow="0" w:firstColumn="0" w:lastColumn="0" w:oddVBand="0" w:evenVBand="0" w:oddHBand="0" w:evenHBand="1" w:firstRowFirstColumn="0" w:firstRowLastColumn="0" w:lastRowFirstColumn="0" w:lastRowLastColumn="0"/>
            </w:pPr>
            <w:r w:rsidRPr="00231C93">
              <w:t>1.52</w:t>
            </w:r>
          </w:p>
        </w:tc>
        <w:tc>
          <w:tcPr>
            <w:tcW w:w="731" w:type="pct"/>
            <w:shd w:val="clear" w:color="auto" w:fill="F2F2F2"/>
          </w:tcPr>
          <w:p w14:paraId="403BC4E5" w14:textId="3D5A15DF" w:rsidR="00231C93" w:rsidRPr="00231C93" w:rsidRDefault="00231C93" w:rsidP="00231C93">
            <w:pPr>
              <w:keepNext/>
              <w:adjustRightInd w:val="0"/>
              <w:jc w:val="right"/>
              <w:cnfStyle w:val="000000010000" w:firstRow="0" w:lastRow="0" w:firstColumn="0" w:lastColumn="0" w:oddVBand="0" w:evenVBand="0" w:oddHBand="0" w:evenHBand="1" w:firstRowFirstColumn="0" w:firstRowLastColumn="0" w:lastRowFirstColumn="0" w:lastRowLastColumn="0"/>
            </w:pPr>
            <w:r w:rsidRPr="00231C93">
              <w:t>1.25</w:t>
            </w:r>
          </w:p>
        </w:tc>
        <w:tc>
          <w:tcPr>
            <w:tcW w:w="723" w:type="pct"/>
            <w:shd w:val="clear" w:color="auto" w:fill="F2F2F2"/>
          </w:tcPr>
          <w:p w14:paraId="4FFD4D59" w14:textId="31FC261C" w:rsidR="00231C93" w:rsidRPr="00231C93" w:rsidRDefault="00231C93" w:rsidP="00231C93">
            <w:pPr>
              <w:keepNext/>
              <w:adjustRightInd w:val="0"/>
              <w:jc w:val="right"/>
              <w:cnfStyle w:val="000000010000" w:firstRow="0" w:lastRow="0" w:firstColumn="0" w:lastColumn="0" w:oddVBand="0" w:evenVBand="0" w:oddHBand="0" w:evenHBand="1" w:firstRowFirstColumn="0" w:firstRowLastColumn="0" w:lastRowFirstColumn="0" w:lastRowLastColumn="0"/>
            </w:pPr>
            <w:r w:rsidRPr="00231C93">
              <w:t>1.86</w:t>
            </w:r>
          </w:p>
        </w:tc>
        <w:tc>
          <w:tcPr>
            <w:tcW w:w="520" w:type="pct"/>
            <w:shd w:val="clear" w:color="auto" w:fill="F2F2F2"/>
          </w:tcPr>
          <w:p w14:paraId="438D2619" w14:textId="366DD506" w:rsidR="00231C93" w:rsidRPr="00231C93" w:rsidRDefault="00231C93" w:rsidP="00231C93">
            <w:pPr>
              <w:keepNext/>
              <w:adjustRightInd w:val="0"/>
              <w:jc w:val="right"/>
              <w:cnfStyle w:val="000000010000" w:firstRow="0" w:lastRow="0" w:firstColumn="0" w:lastColumn="0" w:oddVBand="0" w:evenVBand="0" w:oddHBand="0" w:evenHBand="1" w:firstRowFirstColumn="0" w:firstRowLastColumn="0" w:lastRowFirstColumn="0" w:lastRowLastColumn="0"/>
            </w:pPr>
            <w:r w:rsidRPr="00231C93">
              <w:t>***</w:t>
            </w:r>
          </w:p>
        </w:tc>
      </w:tr>
      <w:tr w:rsidR="00231C93" w:rsidRPr="00231C93" w14:paraId="3A95EA69" w14:textId="77777777" w:rsidTr="00FF4345">
        <w:trPr>
          <w:trHeight w:val="288"/>
        </w:trPr>
        <w:tc>
          <w:tcPr>
            <w:cnfStyle w:val="001000000000" w:firstRow="0" w:lastRow="0" w:firstColumn="1" w:lastColumn="0" w:oddVBand="0" w:evenVBand="0" w:oddHBand="0" w:evenHBand="0" w:firstRowFirstColumn="0" w:firstRowLastColumn="0" w:lastRowFirstColumn="0" w:lastRowLastColumn="0"/>
            <w:tcW w:w="1587" w:type="pct"/>
            <w:shd w:val="clear" w:color="auto" w:fill="F2F2F2"/>
          </w:tcPr>
          <w:p w14:paraId="019C66E8" w14:textId="3FC88F7D" w:rsidR="00231C93" w:rsidRPr="00231C93" w:rsidRDefault="00231C93" w:rsidP="00231C93">
            <w:pPr>
              <w:pStyle w:val="TableText"/>
              <w:rPr>
                <w:b w:val="0"/>
              </w:rPr>
            </w:pPr>
            <w:r>
              <w:rPr>
                <w:b w:val="0"/>
              </w:rPr>
              <w:t>Pharmacy Type</w:t>
            </w:r>
          </w:p>
        </w:tc>
        <w:tc>
          <w:tcPr>
            <w:tcW w:w="744" w:type="pct"/>
            <w:shd w:val="clear" w:color="auto" w:fill="F2F2F2"/>
          </w:tcPr>
          <w:p w14:paraId="68249125" w14:textId="2AC3E462" w:rsidR="00231C93" w:rsidRPr="00231C93" w:rsidRDefault="00231C93" w:rsidP="00231C93">
            <w:pPr>
              <w:keepNext/>
              <w:adjustRightInd w:val="0"/>
              <w:cnfStyle w:val="000000000000" w:firstRow="0" w:lastRow="0" w:firstColumn="0" w:lastColumn="0" w:oddVBand="0" w:evenVBand="0" w:oddHBand="0" w:evenHBand="0" w:firstRowFirstColumn="0" w:firstRowLastColumn="0" w:lastRowFirstColumn="0" w:lastRowLastColumn="0"/>
            </w:pPr>
            <w:r w:rsidRPr="00231C93">
              <w:t>LTC</w:t>
            </w:r>
          </w:p>
        </w:tc>
        <w:tc>
          <w:tcPr>
            <w:tcW w:w="695" w:type="pct"/>
            <w:shd w:val="clear" w:color="auto" w:fill="F2F2F2"/>
          </w:tcPr>
          <w:p w14:paraId="5DE1217E" w14:textId="37C18636" w:rsidR="00231C93" w:rsidRPr="00231C93" w:rsidRDefault="00231C93" w:rsidP="00231C93">
            <w:pPr>
              <w:keepNext/>
              <w:adjustRightInd w:val="0"/>
              <w:jc w:val="right"/>
              <w:cnfStyle w:val="000000000000" w:firstRow="0" w:lastRow="0" w:firstColumn="0" w:lastColumn="0" w:oddVBand="0" w:evenVBand="0" w:oddHBand="0" w:evenHBand="0" w:firstRowFirstColumn="0" w:firstRowLastColumn="0" w:lastRowFirstColumn="0" w:lastRowLastColumn="0"/>
            </w:pPr>
            <w:r w:rsidRPr="00231C93">
              <w:t>1.27</w:t>
            </w:r>
          </w:p>
        </w:tc>
        <w:tc>
          <w:tcPr>
            <w:tcW w:w="731" w:type="pct"/>
            <w:shd w:val="clear" w:color="auto" w:fill="F2F2F2"/>
          </w:tcPr>
          <w:p w14:paraId="20CEB70B" w14:textId="2F06D5AD" w:rsidR="00231C93" w:rsidRPr="00231C93" w:rsidRDefault="00231C93" w:rsidP="00231C93">
            <w:pPr>
              <w:keepNext/>
              <w:adjustRightInd w:val="0"/>
              <w:jc w:val="right"/>
              <w:cnfStyle w:val="000000000000" w:firstRow="0" w:lastRow="0" w:firstColumn="0" w:lastColumn="0" w:oddVBand="0" w:evenVBand="0" w:oddHBand="0" w:evenHBand="0" w:firstRowFirstColumn="0" w:firstRowLastColumn="0" w:lastRowFirstColumn="0" w:lastRowLastColumn="0"/>
            </w:pPr>
            <w:r w:rsidRPr="00231C93">
              <w:t>0.74</w:t>
            </w:r>
          </w:p>
        </w:tc>
        <w:tc>
          <w:tcPr>
            <w:tcW w:w="723" w:type="pct"/>
            <w:shd w:val="clear" w:color="auto" w:fill="F2F2F2"/>
          </w:tcPr>
          <w:p w14:paraId="3550D36C" w14:textId="1ADAECA6" w:rsidR="00231C93" w:rsidRPr="00231C93" w:rsidRDefault="00231C93" w:rsidP="00231C93">
            <w:pPr>
              <w:keepNext/>
              <w:adjustRightInd w:val="0"/>
              <w:jc w:val="right"/>
              <w:cnfStyle w:val="000000000000" w:firstRow="0" w:lastRow="0" w:firstColumn="0" w:lastColumn="0" w:oddVBand="0" w:evenVBand="0" w:oddHBand="0" w:evenHBand="0" w:firstRowFirstColumn="0" w:firstRowLastColumn="0" w:lastRowFirstColumn="0" w:lastRowLastColumn="0"/>
            </w:pPr>
            <w:r w:rsidRPr="00231C93">
              <w:t>2.18</w:t>
            </w:r>
          </w:p>
        </w:tc>
        <w:tc>
          <w:tcPr>
            <w:tcW w:w="520" w:type="pct"/>
            <w:shd w:val="clear" w:color="auto" w:fill="F2F2F2"/>
          </w:tcPr>
          <w:p w14:paraId="78CBB970" w14:textId="5788A8E5" w:rsidR="00231C93" w:rsidRPr="00231C93" w:rsidRDefault="00231C93" w:rsidP="00231C93">
            <w:pPr>
              <w:keepNext/>
              <w:adjustRightInd w:val="0"/>
              <w:jc w:val="right"/>
              <w:cnfStyle w:val="000000000000" w:firstRow="0" w:lastRow="0" w:firstColumn="0" w:lastColumn="0" w:oddVBand="0" w:evenVBand="0" w:oddHBand="0" w:evenHBand="0" w:firstRowFirstColumn="0" w:firstRowLastColumn="0" w:lastRowFirstColumn="0" w:lastRowLastColumn="0"/>
            </w:pPr>
            <w:r w:rsidRPr="00231C93">
              <w:t>NS</w:t>
            </w:r>
          </w:p>
        </w:tc>
      </w:tr>
      <w:tr w:rsidR="00231C93" w:rsidRPr="00231C93" w14:paraId="2A0CCD76" w14:textId="77777777" w:rsidTr="0009420F">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87" w:type="pct"/>
            <w:tcBorders>
              <w:bottom w:val="single" w:sz="4" w:space="0" w:color="FFFFFF" w:themeColor="background1"/>
            </w:tcBorders>
            <w:shd w:val="clear" w:color="auto" w:fill="F2F2F2"/>
          </w:tcPr>
          <w:p w14:paraId="244E8734" w14:textId="3FFDBDDE" w:rsidR="00231C93" w:rsidRPr="00231C93" w:rsidRDefault="00231C93" w:rsidP="00231C93">
            <w:pPr>
              <w:pStyle w:val="TableText"/>
              <w:rPr>
                <w:b w:val="0"/>
              </w:rPr>
            </w:pPr>
            <w:r>
              <w:rPr>
                <w:b w:val="0"/>
              </w:rPr>
              <w:t>Pharmacy Type</w:t>
            </w:r>
          </w:p>
        </w:tc>
        <w:tc>
          <w:tcPr>
            <w:tcW w:w="744" w:type="pct"/>
            <w:tcBorders>
              <w:bottom w:val="single" w:sz="4" w:space="0" w:color="FFFFFF" w:themeColor="background1"/>
            </w:tcBorders>
            <w:shd w:val="clear" w:color="auto" w:fill="F2F2F2"/>
          </w:tcPr>
          <w:p w14:paraId="73A58D2F" w14:textId="0E805AA8" w:rsidR="00231C93" w:rsidRPr="00231C93" w:rsidRDefault="00231C93" w:rsidP="00231C93">
            <w:pPr>
              <w:keepNext/>
              <w:adjustRightInd w:val="0"/>
              <w:cnfStyle w:val="000000010000" w:firstRow="0" w:lastRow="0" w:firstColumn="0" w:lastColumn="0" w:oddVBand="0" w:evenVBand="0" w:oddHBand="0" w:evenHBand="1" w:firstRowFirstColumn="0" w:firstRowLastColumn="0" w:lastRowFirstColumn="0" w:lastRowLastColumn="0"/>
            </w:pPr>
            <w:r w:rsidRPr="00231C93">
              <w:t>Retail Chain</w:t>
            </w:r>
          </w:p>
        </w:tc>
        <w:tc>
          <w:tcPr>
            <w:tcW w:w="695" w:type="pct"/>
            <w:tcBorders>
              <w:bottom w:val="single" w:sz="4" w:space="0" w:color="FFFFFF" w:themeColor="background1"/>
            </w:tcBorders>
            <w:shd w:val="clear" w:color="auto" w:fill="F2F2F2"/>
          </w:tcPr>
          <w:p w14:paraId="3126463A" w14:textId="71FD8A8A" w:rsidR="00231C93" w:rsidRPr="00231C93" w:rsidRDefault="00231C93" w:rsidP="00231C93">
            <w:pPr>
              <w:keepNext/>
              <w:adjustRightInd w:val="0"/>
              <w:jc w:val="right"/>
              <w:cnfStyle w:val="000000010000" w:firstRow="0" w:lastRow="0" w:firstColumn="0" w:lastColumn="0" w:oddVBand="0" w:evenVBand="0" w:oddHBand="0" w:evenHBand="1" w:firstRowFirstColumn="0" w:firstRowLastColumn="0" w:lastRowFirstColumn="0" w:lastRowLastColumn="0"/>
            </w:pPr>
            <w:r w:rsidRPr="00231C93">
              <w:t>Base</w:t>
            </w:r>
          </w:p>
        </w:tc>
        <w:tc>
          <w:tcPr>
            <w:tcW w:w="731" w:type="pct"/>
            <w:tcBorders>
              <w:bottom w:val="single" w:sz="4" w:space="0" w:color="FFFFFF" w:themeColor="background1"/>
            </w:tcBorders>
            <w:shd w:val="clear" w:color="auto" w:fill="F2F2F2"/>
          </w:tcPr>
          <w:p w14:paraId="2460E62E" w14:textId="1BDAFC75" w:rsidR="00231C93" w:rsidRPr="00231C93" w:rsidRDefault="00231C93" w:rsidP="00231C93">
            <w:pPr>
              <w:keepNext/>
              <w:adjustRightInd w:val="0"/>
              <w:jc w:val="right"/>
              <w:cnfStyle w:val="000000010000" w:firstRow="0" w:lastRow="0" w:firstColumn="0" w:lastColumn="0" w:oddVBand="0" w:evenVBand="0" w:oddHBand="0" w:evenHBand="1" w:firstRowFirstColumn="0" w:firstRowLastColumn="0" w:lastRowFirstColumn="0" w:lastRowLastColumn="0"/>
            </w:pPr>
            <w:r w:rsidRPr="00231C93">
              <w:t>1.00</w:t>
            </w:r>
          </w:p>
        </w:tc>
        <w:tc>
          <w:tcPr>
            <w:tcW w:w="723" w:type="pct"/>
            <w:tcBorders>
              <w:bottom w:val="single" w:sz="4" w:space="0" w:color="FFFFFF" w:themeColor="background1"/>
            </w:tcBorders>
            <w:shd w:val="clear" w:color="auto" w:fill="F2F2F2"/>
          </w:tcPr>
          <w:p w14:paraId="346B34A6" w14:textId="0161948F" w:rsidR="00231C93" w:rsidRPr="00231C93" w:rsidRDefault="00231C93" w:rsidP="00231C93">
            <w:pPr>
              <w:keepNext/>
              <w:adjustRightInd w:val="0"/>
              <w:jc w:val="right"/>
              <w:cnfStyle w:val="000000010000" w:firstRow="0" w:lastRow="0" w:firstColumn="0" w:lastColumn="0" w:oddVBand="0" w:evenVBand="0" w:oddHBand="0" w:evenHBand="1" w:firstRowFirstColumn="0" w:firstRowLastColumn="0" w:lastRowFirstColumn="0" w:lastRowLastColumn="0"/>
            </w:pPr>
            <w:r w:rsidRPr="00231C93">
              <w:t>1.00</w:t>
            </w:r>
          </w:p>
        </w:tc>
        <w:tc>
          <w:tcPr>
            <w:tcW w:w="520" w:type="pct"/>
            <w:tcBorders>
              <w:bottom w:val="single" w:sz="4" w:space="0" w:color="FFFFFF" w:themeColor="background1"/>
            </w:tcBorders>
            <w:shd w:val="clear" w:color="auto" w:fill="F2F2F2"/>
          </w:tcPr>
          <w:p w14:paraId="0FCF9827" w14:textId="178CD578" w:rsidR="00231C93" w:rsidRPr="00231C93" w:rsidRDefault="00231C93" w:rsidP="00231C93">
            <w:pPr>
              <w:keepNext/>
              <w:adjustRightInd w:val="0"/>
              <w:jc w:val="right"/>
              <w:cnfStyle w:val="000000010000" w:firstRow="0" w:lastRow="0" w:firstColumn="0" w:lastColumn="0" w:oddVBand="0" w:evenVBand="0" w:oddHBand="0" w:evenHBand="1" w:firstRowFirstColumn="0" w:firstRowLastColumn="0" w:lastRowFirstColumn="0" w:lastRowLastColumn="0"/>
            </w:pPr>
          </w:p>
        </w:tc>
      </w:tr>
      <w:tr w:rsidR="00231C93" w:rsidRPr="00231C93" w14:paraId="65E1A1DE" w14:textId="77777777" w:rsidTr="0009420F">
        <w:trPr>
          <w:trHeight w:val="288"/>
        </w:trPr>
        <w:tc>
          <w:tcPr>
            <w:cnfStyle w:val="001000000000" w:firstRow="0" w:lastRow="0" w:firstColumn="1" w:lastColumn="0" w:oddVBand="0" w:evenVBand="0" w:oddHBand="0" w:evenHBand="0" w:firstRowFirstColumn="0" w:firstRowLastColumn="0" w:lastRowFirstColumn="0" w:lastRowLastColumn="0"/>
            <w:tcW w:w="1587" w:type="pct"/>
            <w:tcBorders>
              <w:top w:val="single" w:sz="4" w:space="0" w:color="FFFFFF" w:themeColor="background1"/>
              <w:bottom w:val="single" w:sz="8" w:space="0" w:color="002C77" w:themeColor="text1"/>
            </w:tcBorders>
            <w:shd w:val="clear" w:color="auto" w:fill="F2F2F2"/>
          </w:tcPr>
          <w:p w14:paraId="4832F1AC" w14:textId="71AA259A" w:rsidR="00231C93" w:rsidRPr="00231C93" w:rsidRDefault="00231C93" w:rsidP="00231C93">
            <w:pPr>
              <w:pStyle w:val="TableText"/>
              <w:rPr>
                <w:b w:val="0"/>
              </w:rPr>
            </w:pPr>
            <w:r>
              <w:rPr>
                <w:b w:val="0"/>
              </w:rPr>
              <w:t>Pharmacy Type</w:t>
            </w:r>
          </w:p>
        </w:tc>
        <w:tc>
          <w:tcPr>
            <w:tcW w:w="744" w:type="pct"/>
            <w:tcBorders>
              <w:top w:val="single" w:sz="4" w:space="0" w:color="FFFFFF" w:themeColor="background1"/>
              <w:bottom w:val="single" w:sz="8" w:space="0" w:color="002C77" w:themeColor="text1"/>
            </w:tcBorders>
            <w:shd w:val="clear" w:color="auto" w:fill="F2F2F2"/>
          </w:tcPr>
          <w:p w14:paraId="656E2A19" w14:textId="4DB1379E" w:rsidR="00231C93" w:rsidRPr="00231C93" w:rsidRDefault="00231C93" w:rsidP="00231C93">
            <w:pPr>
              <w:adjustRightInd w:val="0"/>
              <w:cnfStyle w:val="000000000000" w:firstRow="0" w:lastRow="0" w:firstColumn="0" w:lastColumn="0" w:oddVBand="0" w:evenVBand="0" w:oddHBand="0" w:evenHBand="0" w:firstRowFirstColumn="0" w:firstRowLastColumn="0" w:lastRowFirstColumn="0" w:lastRowLastColumn="0"/>
            </w:pPr>
            <w:r w:rsidRPr="00231C93">
              <w:t>Specialty</w:t>
            </w:r>
          </w:p>
        </w:tc>
        <w:tc>
          <w:tcPr>
            <w:tcW w:w="695" w:type="pct"/>
            <w:tcBorders>
              <w:top w:val="single" w:sz="4" w:space="0" w:color="FFFFFF" w:themeColor="background1"/>
              <w:bottom w:val="single" w:sz="8" w:space="0" w:color="002C77" w:themeColor="text1"/>
            </w:tcBorders>
            <w:shd w:val="clear" w:color="auto" w:fill="F2F2F2"/>
          </w:tcPr>
          <w:p w14:paraId="4E520062" w14:textId="6593193E" w:rsidR="00231C93" w:rsidRPr="00231C93" w:rsidRDefault="00231C93" w:rsidP="00231C93">
            <w:pPr>
              <w:keepNext/>
              <w:adjustRightInd w:val="0"/>
              <w:jc w:val="right"/>
              <w:cnfStyle w:val="000000000000" w:firstRow="0" w:lastRow="0" w:firstColumn="0" w:lastColumn="0" w:oddVBand="0" w:evenVBand="0" w:oddHBand="0" w:evenHBand="0" w:firstRowFirstColumn="0" w:firstRowLastColumn="0" w:lastRowFirstColumn="0" w:lastRowLastColumn="0"/>
            </w:pPr>
            <w:r w:rsidRPr="00231C93">
              <w:t>9.39</w:t>
            </w:r>
          </w:p>
        </w:tc>
        <w:tc>
          <w:tcPr>
            <w:tcW w:w="731" w:type="pct"/>
            <w:tcBorders>
              <w:top w:val="single" w:sz="4" w:space="0" w:color="FFFFFF" w:themeColor="background1"/>
              <w:bottom w:val="single" w:sz="8" w:space="0" w:color="002C77" w:themeColor="text1"/>
            </w:tcBorders>
            <w:shd w:val="clear" w:color="auto" w:fill="F2F2F2"/>
          </w:tcPr>
          <w:p w14:paraId="3AE5A0BE" w14:textId="422FC458" w:rsidR="00231C93" w:rsidRPr="00231C93" w:rsidRDefault="00231C93" w:rsidP="00231C93">
            <w:pPr>
              <w:keepNext/>
              <w:adjustRightInd w:val="0"/>
              <w:jc w:val="right"/>
              <w:cnfStyle w:val="000000000000" w:firstRow="0" w:lastRow="0" w:firstColumn="0" w:lastColumn="0" w:oddVBand="0" w:evenVBand="0" w:oddHBand="0" w:evenHBand="0" w:firstRowFirstColumn="0" w:firstRowLastColumn="0" w:lastRowFirstColumn="0" w:lastRowLastColumn="0"/>
            </w:pPr>
            <w:r w:rsidRPr="00231C93">
              <w:t>4.84</w:t>
            </w:r>
          </w:p>
        </w:tc>
        <w:tc>
          <w:tcPr>
            <w:tcW w:w="723" w:type="pct"/>
            <w:tcBorders>
              <w:top w:val="single" w:sz="4" w:space="0" w:color="FFFFFF" w:themeColor="background1"/>
              <w:bottom w:val="single" w:sz="8" w:space="0" w:color="002C77" w:themeColor="text1"/>
            </w:tcBorders>
            <w:shd w:val="clear" w:color="auto" w:fill="F2F2F2"/>
          </w:tcPr>
          <w:p w14:paraId="16547D81" w14:textId="48EF7714" w:rsidR="00231C93" w:rsidRPr="00231C93" w:rsidRDefault="00231C93" w:rsidP="00231C93">
            <w:pPr>
              <w:keepNext/>
              <w:adjustRightInd w:val="0"/>
              <w:jc w:val="right"/>
              <w:cnfStyle w:val="000000000000" w:firstRow="0" w:lastRow="0" w:firstColumn="0" w:lastColumn="0" w:oddVBand="0" w:evenVBand="0" w:oddHBand="0" w:evenHBand="0" w:firstRowFirstColumn="0" w:firstRowLastColumn="0" w:lastRowFirstColumn="0" w:lastRowLastColumn="0"/>
            </w:pPr>
            <w:r w:rsidRPr="00231C93">
              <w:t>18.21</w:t>
            </w:r>
          </w:p>
        </w:tc>
        <w:tc>
          <w:tcPr>
            <w:tcW w:w="520" w:type="pct"/>
            <w:tcBorders>
              <w:top w:val="single" w:sz="4" w:space="0" w:color="FFFFFF" w:themeColor="background1"/>
              <w:bottom w:val="single" w:sz="8" w:space="0" w:color="002C77" w:themeColor="text1"/>
            </w:tcBorders>
            <w:shd w:val="clear" w:color="auto" w:fill="F2F2F2"/>
          </w:tcPr>
          <w:p w14:paraId="425F8798" w14:textId="2016766F" w:rsidR="00231C93" w:rsidRPr="00231C93" w:rsidRDefault="00231C93" w:rsidP="00231C93">
            <w:pPr>
              <w:keepNext/>
              <w:adjustRightInd w:val="0"/>
              <w:jc w:val="right"/>
              <w:cnfStyle w:val="000000000000" w:firstRow="0" w:lastRow="0" w:firstColumn="0" w:lastColumn="0" w:oddVBand="0" w:evenVBand="0" w:oddHBand="0" w:evenHBand="0" w:firstRowFirstColumn="0" w:firstRowLastColumn="0" w:lastRowFirstColumn="0" w:lastRowLastColumn="0"/>
            </w:pPr>
            <w:r w:rsidRPr="00231C93">
              <w:t>***</w:t>
            </w:r>
          </w:p>
        </w:tc>
      </w:tr>
      <w:tr w:rsidR="00231C93" w:rsidRPr="00231C93" w14:paraId="67B80E18" w14:textId="77777777" w:rsidTr="0009420F">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87" w:type="pct"/>
            <w:tcBorders>
              <w:top w:val="single" w:sz="8" w:space="0" w:color="002C77" w:themeColor="text1"/>
              <w:bottom w:val="single" w:sz="4" w:space="0" w:color="FFFFFF" w:themeColor="background1"/>
            </w:tcBorders>
            <w:shd w:val="clear" w:color="auto" w:fill="F2F2F2"/>
          </w:tcPr>
          <w:p w14:paraId="1C0B9EB6" w14:textId="77777777" w:rsidR="00231C93" w:rsidRPr="00231C93" w:rsidRDefault="00231C93" w:rsidP="00231C93">
            <w:pPr>
              <w:pStyle w:val="TableText"/>
              <w:rPr>
                <w:b w:val="0"/>
              </w:rPr>
            </w:pPr>
            <w:r w:rsidRPr="00231C93">
              <w:rPr>
                <w:b w:val="0"/>
              </w:rPr>
              <w:t>Building Owned</w:t>
            </w:r>
          </w:p>
        </w:tc>
        <w:tc>
          <w:tcPr>
            <w:tcW w:w="744" w:type="pct"/>
            <w:tcBorders>
              <w:top w:val="single" w:sz="8" w:space="0" w:color="002C77" w:themeColor="text1"/>
              <w:bottom w:val="single" w:sz="4" w:space="0" w:color="FFFFFF" w:themeColor="background1"/>
            </w:tcBorders>
            <w:shd w:val="clear" w:color="auto" w:fill="F2F2F2"/>
          </w:tcPr>
          <w:p w14:paraId="04D47686" w14:textId="77777777" w:rsidR="00231C93" w:rsidRPr="00231C93" w:rsidRDefault="00231C93" w:rsidP="00231C93">
            <w:pPr>
              <w:keepNext/>
              <w:adjustRightInd w:val="0"/>
              <w:cnfStyle w:val="000000010000" w:firstRow="0" w:lastRow="0" w:firstColumn="0" w:lastColumn="0" w:oddVBand="0" w:evenVBand="0" w:oddHBand="0" w:evenHBand="1" w:firstRowFirstColumn="0" w:firstRowLastColumn="0" w:lastRowFirstColumn="0" w:lastRowLastColumn="0"/>
            </w:pPr>
            <w:r w:rsidRPr="00231C93">
              <w:t>No</w:t>
            </w:r>
          </w:p>
        </w:tc>
        <w:tc>
          <w:tcPr>
            <w:tcW w:w="695" w:type="pct"/>
            <w:tcBorders>
              <w:top w:val="single" w:sz="8" w:space="0" w:color="002C77" w:themeColor="text1"/>
              <w:bottom w:val="single" w:sz="4" w:space="0" w:color="FFFFFF" w:themeColor="background1"/>
            </w:tcBorders>
            <w:shd w:val="clear" w:color="auto" w:fill="F2F2F2"/>
          </w:tcPr>
          <w:p w14:paraId="65D3B451" w14:textId="3D059371" w:rsidR="00231C93" w:rsidRPr="00231C93" w:rsidRDefault="00231C93" w:rsidP="00231C93">
            <w:pPr>
              <w:keepNext/>
              <w:adjustRightInd w:val="0"/>
              <w:jc w:val="right"/>
              <w:cnfStyle w:val="000000010000" w:firstRow="0" w:lastRow="0" w:firstColumn="0" w:lastColumn="0" w:oddVBand="0" w:evenVBand="0" w:oddHBand="0" w:evenHBand="1" w:firstRowFirstColumn="0" w:firstRowLastColumn="0" w:lastRowFirstColumn="0" w:lastRowLastColumn="0"/>
            </w:pPr>
            <w:r w:rsidRPr="00231C93">
              <w:t>Base</w:t>
            </w:r>
          </w:p>
        </w:tc>
        <w:tc>
          <w:tcPr>
            <w:tcW w:w="731" w:type="pct"/>
            <w:tcBorders>
              <w:top w:val="single" w:sz="8" w:space="0" w:color="002C77" w:themeColor="text1"/>
              <w:bottom w:val="single" w:sz="4" w:space="0" w:color="FFFFFF" w:themeColor="background1"/>
            </w:tcBorders>
            <w:shd w:val="clear" w:color="auto" w:fill="F2F2F2"/>
          </w:tcPr>
          <w:p w14:paraId="05B965C4" w14:textId="15F0FFFC" w:rsidR="00231C93" w:rsidRPr="00231C93" w:rsidRDefault="00231C93" w:rsidP="00231C93">
            <w:pPr>
              <w:keepNext/>
              <w:adjustRightInd w:val="0"/>
              <w:jc w:val="right"/>
              <w:cnfStyle w:val="000000010000" w:firstRow="0" w:lastRow="0" w:firstColumn="0" w:lastColumn="0" w:oddVBand="0" w:evenVBand="0" w:oddHBand="0" w:evenHBand="1" w:firstRowFirstColumn="0" w:firstRowLastColumn="0" w:lastRowFirstColumn="0" w:lastRowLastColumn="0"/>
            </w:pPr>
            <w:r w:rsidRPr="00231C93">
              <w:t>1.00</w:t>
            </w:r>
          </w:p>
        </w:tc>
        <w:tc>
          <w:tcPr>
            <w:tcW w:w="723" w:type="pct"/>
            <w:tcBorders>
              <w:top w:val="single" w:sz="8" w:space="0" w:color="002C77" w:themeColor="text1"/>
              <w:bottom w:val="single" w:sz="4" w:space="0" w:color="FFFFFF" w:themeColor="background1"/>
            </w:tcBorders>
            <w:shd w:val="clear" w:color="auto" w:fill="F2F2F2"/>
          </w:tcPr>
          <w:p w14:paraId="3481B79E" w14:textId="6217E362" w:rsidR="00231C93" w:rsidRPr="00231C93" w:rsidRDefault="00231C93" w:rsidP="00231C93">
            <w:pPr>
              <w:keepNext/>
              <w:adjustRightInd w:val="0"/>
              <w:jc w:val="right"/>
              <w:cnfStyle w:val="000000010000" w:firstRow="0" w:lastRow="0" w:firstColumn="0" w:lastColumn="0" w:oddVBand="0" w:evenVBand="0" w:oddHBand="0" w:evenHBand="1" w:firstRowFirstColumn="0" w:firstRowLastColumn="0" w:lastRowFirstColumn="0" w:lastRowLastColumn="0"/>
            </w:pPr>
            <w:r w:rsidRPr="00231C93">
              <w:t>1.00</w:t>
            </w:r>
          </w:p>
        </w:tc>
        <w:tc>
          <w:tcPr>
            <w:tcW w:w="520" w:type="pct"/>
            <w:tcBorders>
              <w:top w:val="single" w:sz="8" w:space="0" w:color="002C77" w:themeColor="text1"/>
              <w:bottom w:val="single" w:sz="4" w:space="0" w:color="FFFFFF" w:themeColor="background1"/>
            </w:tcBorders>
            <w:shd w:val="clear" w:color="auto" w:fill="F2F2F2"/>
          </w:tcPr>
          <w:p w14:paraId="6F6DF0B4" w14:textId="77777777" w:rsidR="00231C93" w:rsidRPr="00231C93" w:rsidRDefault="00231C93" w:rsidP="00231C93">
            <w:pPr>
              <w:keepNext/>
              <w:adjustRightInd w:val="0"/>
              <w:jc w:val="right"/>
              <w:cnfStyle w:val="000000010000" w:firstRow="0" w:lastRow="0" w:firstColumn="0" w:lastColumn="0" w:oddVBand="0" w:evenVBand="0" w:oddHBand="0" w:evenHBand="1" w:firstRowFirstColumn="0" w:firstRowLastColumn="0" w:lastRowFirstColumn="0" w:lastRowLastColumn="0"/>
            </w:pPr>
          </w:p>
        </w:tc>
      </w:tr>
      <w:tr w:rsidR="00231C93" w:rsidRPr="00231C93" w14:paraId="39689819" w14:textId="77777777" w:rsidTr="0009420F">
        <w:tc>
          <w:tcPr>
            <w:cnfStyle w:val="001000000000" w:firstRow="0" w:lastRow="0" w:firstColumn="1" w:lastColumn="0" w:oddVBand="0" w:evenVBand="0" w:oddHBand="0" w:evenHBand="0" w:firstRowFirstColumn="0" w:firstRowLastColumn="0" w:lastRowFirstColumn="0" w:lastRowLastColumn="0"/>
            <w:tcW w:w="1587" w:type="pct"/>
            <w:tcBorders>
              <w:top w:val="single" w:sz="4" w:space="0" w:color="FFFFFF" w:themeColor="background1"/>
              <w:bottom w:val="single" w:sz="8" w:space="0" w:color="002C77" w:themeColor="text1"/>
            </w:tcBorders>
            <w:shd w:val="clear" w:color="auto" w:fill="F2F2F2"/>
          </w:tcPr>
          <w:p w14:paraId="1B018D5B" w14:textId="4CDCE923" w:rsidR="00231C93" w:rsidRPr="00231C93" w:rsidRDefault="00231C93" w:rsidP="00231C93">
            <w:pPr>
              <w:pStyle w:val="TableText"/>
              <w:rPr>
                <w:b w:val="0"/>
              </w:rPr>
            </w:pPr>
            <w:r w:rsidRPr="00231C93">
              <w:rPr>
                <w:b w:val="0"/>
              </w:rPr>
              <w:t>Building Owned</w:t>
            </w:r>
          </w:p>
        </w:tc>
        <w:tc>
          <w:tcPr>
            <w:tcW w:w="744" w:type="pct"/>
            <w:tcBorders>
              <w:top w:val="single" w:sz="4" w:space="0" w:color="FFFFFF" w:themeColor="background1"/>
              <w:bottom w:val="single" w:sz="8" w:space="0" w:color="002C77" w:themeColor="text1"/>
            </w:tcBorders>
            <w:shd w:val="clear" w:color="auto" w:fill="F2F2F2"/>
          </w:tcPr>
          <w:p w14:paraId="25989F59" w14:textId="77777777" w:rsidR="00231C93" w:rsidRPr="00231C93" w:rsidRDefault="00231C93" w:rsidP="00231C93">
            <w:pPr>
              <w:adjustRightInd w:val="0"/>
              <w:cnfStyle w:val="000000000000" w:firstRow="0" w:lastRow="0" w:firstColumn="0" w:lastColumn="0" w:oddVBand="0" w:evenVBand="0" w:oddHBand="0" w:evenHBand="0" w:firstRowFirstColumn="0" w:firstRowLastColumn="0" w:lastRowFirstColumn="0" w:lastRowLastColumn="0"/>
            </w:pPr>
            <w:r w:rsidRPr="00231C93">
              <w:t>Yes</w:t>
            </w:r>
          </w:p>
        </w:tc>
        <w:tc>
          <w:tcPr>
            <w:tcW w:w="695" w:type="pct"/>
            <w:tcBorders>
              <w:top w:val="single" w:sz="4" w:space="0" w:color="FFFFFF" w:themeColor="background1"/>
              <w:bottom w:val="single" w:sz="8" w:space="0" w:color="002C77" w:themeColor="text1"/>
            </w:tcBorders>
            <w:shd w:val="clear" w:color="auto" w:fill="F2F2F2"/>
          </w:tcPr>
          <w:p w14:paraId="6B25D127" w14:textId="125917DC" w:rsidR="00231C93" w:rsidRPr="00231C93" w:rsidRDefault="00231C93" w:rsidP="00231C93">
            <w:pPr>
              <w:keepNext/>
              <w:adjustRightInd w:val="0"/>
              <w:jc w:val="right"/>
              <w:cnfStyle w:val="000000000000" w:firstRow="0" w:lastRow="0" w:firstColumn="0" w:lastColumn="0" w:oddVBand="0" w:evenVBand="0" w:oddHBand="0" w:evenHBand="0" w:firstRowFirstColumn="0" w:firstRowLastColumn="0" w:lastRowFirstColumn="0" w:lastRowLastColumn="0"/>
            </w:pPr>
            <w:r w:rsidRPr="00231C93">
              <w:t>1.12</w:t>
            </w:r>
          </w:p>
        </w:tc>
        <w:tc>
          <w:tcPr>
            <w:tcW w:w="731" w:type="pct"/>
            <w:tcBorders>
              <w:top w:val="single" w:sz="4" w:space="0" w:color="FFFFFF" w:themeColor="background1"/>
              <w:bottom w:val="single" w:sz="8" w:space="0" w:color="002C77" w:themeColor="text1"/>
            </w:tcBorders>
            <w:shd w:val="clear" w:color="auto" w:fill="F2F2F2"/>
          </w:tcPr>
          <w:p w14:paraId="24D5AB5F" w14:textId="194285E2" w:rsidR="00231C93" w:rsidRPr="00231C93" w:rsidRDefault="00231C93" w:rsidP="00231C93">
            <w:pPr>
              <w:keepNext/>
              <w:adjustRightInd w:val="0"/>
              <w:jc w:val="right"/>
              <w:cnfStyle w:val="000000000000" w:firstRow="0" w:lastRow="0" w:firstColumn="0" w:lastColumn="0" w:oddVBand="0" w:evenVBand="0" w:oddHBand="0" w:evenHBand="0" w:firstRowFirstColumn="0" w:firstRowLastColumn="0" w:lastRowFirstColumn="0" w:lastRowLastColumn="0"/>
            </w:pPr>
            <w:r w:rsidRPr="00231C93">
              <w:t>0.90</w:t>
            </w:r>
          </w:p>
        </w:tc>
        <w:tc>
          <w:tcPr>
            <w:tcW w:w="723" w:type="pct"/>
            <w:tcBorders>
              <w:top w:val="single" w:sz="4" w:space="0" w:color="FFFFFF" w:themeColor="background1"/>
              <w:bottom w:val="single" w:sz="8" w:space="0" w:color="002C77" w:themeColor="text1"/>
            </w:tcBorders>
            <w:shd w:val="clear" w:color="auto" w:fill="F2F2F2"/>
          </w:tcPr>
          <w:p w14:paraId="341C2C10" w14:textId="1496F00E" w:rsidR="00231C93" w:rsidRPr="00231C93" w:rsidRDefault="00231C93" w:rsidP="00231C93">
            <w:pPr>
              <w:keepNext/>
              <w:adjustRightInd w:val="0"/>
              <w:jc w:val="right"/>
              <w:cnfStyle w:val="000000000000" w:firstRow="0" w:lastRow="0" w:firstColumn="0" w:lastColumn="0" w:oddVBand="0" w:evenVBand="0" w:oddHBand="0" w:evenHBand="0" w:firstRowFirstColumn="0" w:firstRowLastColumn="0" w:lastRowFirstColumn="0" w:lastRowLastColumn="0"/>
            </w:pPr>
            <w:r w:rsidRPr="00231C93">
              <w:t>1.39</w:t>
            </w:r>
          </w:p>
        </w:tc>
        <w:tc>
          <w:tcPr>
            <w:tcW w:w="520" w:type="pct"/>
            <w:tcBorders>
              <w:top w:val="single" w:sz="4" w:space="0" w:color="FFFFFF" w:themeColor="background1"/>
              <w:bottom w:val="single" w:sz="8" w:space="0" w:color="002C77" w:themeColor="text1"/>
            </w:tcBorders>
            <w:shd w:val="clear" w:color="auto" w:fill="F2F2F2"/>
          </w:tcPr>
          <w:p w14:paraId="37D31F68" w14:textId="4F038960" w:rsidR="00231C93" w:rsidRPr="00231C93" w:rsidRDefault="00231C93" w:rsidP="00231C93">
            <w:pPr>
              <w:keepNext/>
              <w:adjustRightInd w:val="0"/>
              <w:jc w:val="right"/>
              <w:cnfStyle w:val="000000000000" w:firstRow="0" w:lastRow="0" w:firstColumn="0" w:lastColumn="0" w:oddVBand="0" w:evenVBand="0" w:oddHBand="0" w:evenHBand="0" w:firstRowFirstColumn="0" w:firstRowLastColumn="0" w:lastRowFirstColumn="0" w:lastRowLastColumn="0"/>
            </w:pPr>
            <w:r w:rsidRPr="00231C93">
              <w:t>NS</w:t>
            </w:r>
          </w:p>
        </w:tc>
      </w:tr>
      <w:tr w:rsidR="00231C93" w:rsidRPr="00231C93" w14:paraId="601C7DFC" w14:textId="77777777" w:rsidTr="0009420F">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587" w:type="pct"/>
            <w:tcBorders>
              <w:top w:val="single" w:sz="8" w:space="0" w:color="002C77" w:themeColor="text1"/>
              <w:bottom w:val="single" w:sz="4" w:space="0" w:color="FFFFFF" w:themeColor="background1"/>
            </w:tcBorders>
            <w:shd w:val="clear" w:color="auto" w:fill="F2F2F2"/>
          </w:tcPr>
          <w:p w14:paraId="7C9FBD36" w14:textId="77777777" w:rsidR="00231C93" w:rsidRPr="00231C93" w:rsidRDefault="00231C93" w:rsidP="00231C93">
            <w:pPr>
              <w:pStyle w:val="TableText"/>
              <w:rPr>
                <w:b w:val="0"/>
              </w:rPr>
            </w:pPr>
            <w:r w:rsidRPr="00231C93">
              <w:rPr>
                <w:b w:val="0"/>
              </w:rPr>
              <w:t>Open 24 Hours Emergency</w:t>
            </w:r>
          </w:p>
        </w:tc>
        <w:tc>
          <w:tcPr>
            <w:tcW w:w="744" w:type="pct"/>
            <w:tcBorders>
              <w:top w:val="single" w:sz="8" w:space="0" w:color="002C77" w:themeColor="text1"/>
              <w:bottom w:val="single" w:sz="4" w:space="0" w:color="FFFFFF" w:themeColor="background1"/>
            </w:tcBorders>
            <w:shd w:val="clear" w:color="auto" w:fill="F2F2F2"/>
          </w:tcPr>
          <w:p w14:paraId="172AC16C" w14:textId="1B75A067" w:rsidR="00231C93" w:rsidRPr="00231C93" w:rsidRDefault="00231C93" w:rsidP="00231C93">
            <w:pPr>
              <w:keepNext/>
              <w:adjustRightInd w:val="0"/>
              <w:cnfStyle w:val="000000010000" w:firstRow="0" w:lastRow="0" w:firstColumn="0" w:lastColumn="0" w:oddVBand="0" w:evenVBand="0" w:oddHBand="0" w:evenHBand="1" w:firstRowFirstColumn="0" w:firstRowLastColumn="0" w:lastRowFirstColumn="0" w:lastRowLastColumn="0"/>
            </w:pPr>
            <w:r w:rsidRPr="00231C93">
              <w:t>No</w:t>
            </w:r>
          </w:p>
        </w:tc>
        <w:tc>
          <w:tcPr>
            <w:tcW w:w="695" w:type="pct"/>
            <w:tcBorders>
              <w:top w:val="single" w:sz="8" w:space="0" w:color="002C77" w:themeColor="text1"/>
              <w:bottom w:val="single" w:sz="4" w:space="0" w:color="FFFFFF" w:themeColor="background1"/>
            </w:tcBorders>
            <w:shd w:val="clear" w:color="auto" w:fill="F2F2F2"/>
          </w:tcPr>
          <w:p w14:paraId="5E4B0900" w14:textId="2C89F338" w:rsidR="00231C93" w:rsidRPr="00231C93" w:rsidRDefault="00231C93" w:rsidP="00231C93">
            <w:pPr>
              <w:keepNext/>
              <w:adjustRightInd w:val="0"/>
              <w:jc w:val="right"/>
              <w:cnfStyle w:val="000000010000" w:firstRow="0" w:lastRow="0" w:firstColumn="0" w:lastColumn="0" w:oddVBand="0" w:evenVBand="0" w:oddHBand="0" w:evenHBand="1" w:firstRowFirstColumn="0" w:firstRowLastColumn="0" w:lastRowFirstColumn="0" w:lastRowLastColumn="0"/>
            </w:pPr>
            <w:r w:rsidRPr="00231C93">
              <w:t>Base</w:t>
            </w:r>
          </w:p>
        </w:tc>
        <w:tc>
          <w:tcPr>
            <w:tcW w:w="731" w:type="pct"/>
            <w:tcBorders>
              <w:top w:val="single" w:sz="8" w:space="0" w:color="002C77" w:themeColor="text1"/>
              <w:bottom w:val="single" w:sz="4" w:space="0" w:color="FFFFFF" w:themeColor="background1"/>
            </w:tcBorders>
            <w:shd w:val="clear" w:color="auto" w:fill="F2F2F2"/>
          </w:tcPr>
          <w:p w14:paraId="7FA52AC0" w14:textId="3731C830" w:rsidR="00231C93" w:rsidRPr="00231C93" w:rsidRDefault="00231C93" w:rsidP="00231C93">
            <w:pPr>
              <w:keepNext/>
              <w:adjustRightInd w:val="0"/>
              <w:jc w:val="right"/>
              <w:cnfStyle w:val="000000010000" w:firstRow="0" w:lastRow="0" w:firstColumn="0" w:lastColumn="0" w:oddVBand="0" w:evenVBand="0" w:oddHBand="0" w:evenHBand="1" w:firstRowFirstColumn="0" w:firstRowLastColumn="0" w:lastRowFirstColumn="0" w:lastRowLastColumn="0"/>
            </w:pPr>
            <w:r w:rsidRPr="00231C93">
              <w:t>1.00</w:t>
            </w:r>
          </w:p>
        </w:tc>
        <w:tc>
          <w:tcPr>
            <w:tcW w:w="723" w:type="pct"/>
            <w:tcBorders>
              <w:top w:val="single" w:sz="8" w:space="0" w:color="002C77" w:themeColor="text1"/>
              <w:bottom w:val="single" w:sz="4" w:space="0" w:color="FFFFFF" w:themeColor="background1"/>
            </w:tcBorders>
            <w:shd w:val="clear" w:color="auto" w:fill="F2F2F2"/>
          </w:tcPr>
          <w:p w14:paraId="7E65FB36" w14:textId="361F063D" w:rsidR="00231C93" w:rsidRPr="00231C93" w:rsidRDefault="00231C93" w:rsidP="00231C93">
            <w:pPr>
              <w:keepNext/>
              <w:adjustRightInd w:val="0"/>
              <w:jc w:val="right"/>
              <w:cnfStyle w:val="000000010000" w:firstRow="0" w:lastRow="0" w:firstColumn="0" w:lastColumn="0" w:oddVBand="0" w:evenVBand="0" w:oddHBand="0" w:evenHBand="1" w:firstRowFirstColumn="0" w:firstRowLastColumn="0" w:lastRowFirstColumn="0" w:lastRowLastColumn="0"/>
            </w:pPr>
            <w:r w:rsidRPr="00231C93">
              <w:t>1.00</w:t>
            </w:r>
          </w:p>
        </w:tc>
        <w:tc>
          <w:tcPr>
            <w:tcW w:w="520" w:type="pct"/>
            <w:tcBorders>
              <w:top w:val="single" w:sz="8" w:space="0" w:color="002C77" w:themeColor="text1"/>
              <w:bottom w:val="single" w:sz="4" w:space="0" w:color="FFFFFF" w:themeColor="background1"/>
            </w:tcBorders>
            <w:shd w:val="clear" w:color="auto" w:fill="F2F2F2"/>
          </w:tcPr>
          <w:p w14:paraId="29634360" w14:textId="77777777" w:rsidR="00231C93" w:rsidRPr="00231C93" w:rsidRDefault="00231C93" w:rsidP="00231C93">
            <w:pPr>
              <w:keepNext/>
              <w:adjustRightInd w:val="0"/>
              <w:jc w:val="right"/>
              <w:cnfStyle w:val="000000010000" w:firstRow="0" w:lastRow="0" w:firstColumn="0" w:lastColumn="0" w:oddVBand="0" w:evenVBand="0" w:oddHBand="0" w:evenHBand="1" w:firstRowFirstColumn="0" w:firstRowLastColumn="0" w:lastRowFirstColumn="0" w:lastRowLastColumn="0"/>
            </w:pPr>
          </w:p>
        </w:tc>
      </w:tr>
      <w:tr w:rsidR="00231C93" w:rsidRPr="00231C93" w14:paraId="309BE0B8" w14:textId="77777777" w:rsidTr="0009420F">
        <w:trPr>
          <w:trHeight w:val="144"/>
        </w:trPr>
        <w:tc>
          <w:tcPr>
            <w:cnfStyle w:val="001000000000" w:firstRow="0" w:lastRow="0" w:firstColumn="1" w:lastColumn="0" w:oddVBand="0" w:evenVBand="0" w:oddHBand="0" w:evenHBand="0" w:firstRowFirstColumn="0" w:firstRowLastColumn="0" w:lastRowFirstColumn="0" w:lastRowLastColumn="0"/>
            <w:tcW w:w="1587" w:type="pct"/>
            <w:tcBorders>
              <w:top w:val="single" w:sz="4" w:space="0" w:color="FFFFFF" w:themeColor="background1"/>
              <w:bottom w:val="single" w:sz="8" w:space="0" w:color="002C77" w:themeColor="text1"/>
            </w:tcBorders>
            <w:shd w:val="clear" w:color="auto" w:fill="F2F2F2"/>
          </w:tcPr>
          <w:p w14:paraId="401A0AA8" w14:textId="3CC6E0DC" w:rsidR="00231C93" w:rsidRPr="00231C93" w:rsidRDefault="00231C93" w:rsidP="00231C93">
            <w:pPr>
              <w:pStyle w:val="TableText"/>
              <w:rPr>
                <w:b w:val="0"/>
              </w:rPr>
            </w:pPr>
            <w:r w:rsidRPr="00231C93">
              <w:rPr>
                <w:b w:val="0"/>
              </w:rPr>
              <w:t>Open 24 Hours Emergency</w:t>
            </w:r>
          </w:p>
        </w:tc>
        <w:tc>
          <w:tcPr>
            <w:tcW w:w="744" w:type="pct"/>
            <w:tcBorders>
              <w:top w:val="single" w:sz="4" w:space="0" w:color="FFFFFF" w:themeColor="background1"/>
              <w:bottom w:val="single" w:sz="8" w:space="0" w:color="002C77" w:themeColor="text1"/>
            </w:tcBorders>
            <w:shd w:val="clear" w:color="auto" w:fill="F2F2F2"/>
          </w:tcPr>
          <w:p w14:paraId="4217AE44" w14:textId="36EEA559" w:rsidR="00231C93" w:rsidRPr="00231C93" w:rsidRDefault="00231C93" w:rsidP="00231C93">
            <w:pPr>
              <w:adjustRightInd w:val="0"/>
              <w:cnfStyle w:val="000000000000" w:firstRow="0" w:lastRow="0" w:firstColumn="0" w:lastColumn="0" w:oddVBand="0" w:evenVBand="0" w:oddHBand="0" w:evenHBand="0" w:firstRowFirstColumn="0" w:firstRowLastColumn="0" w:lastRowFirstColumn="0" w:lastRowLastColumn="0"/>
            </w:pPr>
            <w:r w:rsidRPr="00231C93">
              <w:t>Yes</w:t>
            </w:r>
          </w:p>
        </w:tc>
        <w:tc>
          <w:tcPr>
            <w:tcW w:w="695" w:type="pct"/>
            <w:tcBorders>
              <w:top w:val="single" w:sz="4" w:space="0" w:color="FFFFFF" w:themeColor="background1"/>
              <w:bottom w:val="single" w:sz="8" w:space="0" w:color="002C77" w:themeColor="text1"/>
            </w:tcBorders>
            <w:shd w:val="clear" w:color="auto" w:fill="F2F2F2"/>
          </w:tcPr>
          <w:p w14:paraId="21853B60" w14:textId="13B9027F" w:rsidR="00231C93" w:rsidRPr="00231C93" w:rsidRDefault="00231C93" w:rsidP="00231C93">
            <w:pPr>
              <w:keepNext/>
              <w:adjustRightInd w:val="0"/>
              <w:jc w:val="right"/>
              <w:cnfStyle w:val="000000000000" w:firstRow="0" w:lastRow="0" w:firstColumn="0" w:lastColumn="0" w:oddVBand="0" w:evenVBand="0" w:oddHBand="0" w:evenHBand="0" w:firstRowFirstColumn="0" w:firstRowLastColumn="0" w:lastRowFirstColumn="0" w:lastRowLastColumn="0"/>
            </w:pPr>
            <w:r w:rsidRPr="00231C93">
              <w:t>1.14</w:t>
            </w:r>
          </w:p>
        </w:tc>
        <w:tc>
          <w:tcPr>
            <w:tcW w:w="731" w:type="pct"/>
            <w:tcBorders>
              <w:top w:val="single" w:sz="4" w:space="0" w:color="FFFFFF" w:themeColor="background1"/>
              <w:bottom w:val="single" w:sz="8" w:space="0" w:color="002C77" w:themeColor="text1"/>
            </w:tcBorders>
            <w:shd w:val="clear" w:color="auto" w:fill="F2F2F2"/>
          </w:tcPr>
          <w:p w14:paraId="0F438F18" w14:textId="3DCAA6F5" w:rsidR="00231C93" w:rsidRPr="00231C93" w:rsidRDefault="00231C93" w:rsidP="00231C93">
            <w:pPr>
              <w:keepNext/>
              <w:adjustRightInd w:val="0"/>
              <w:jc w:val="right"/>
              <w:cnfStyle w:val="000000000000" w:firstRow="0" w:lastRow="0" w:firstColumn="0" w:lastColumn="0" w:oddVBand="0" w:evenVBand="0" w:oddHBand="0" w:evenHBand="0" w:firstRowFirstColumn="0" w:firstRowLastColumn="0" w:lastRowFirstColumn="0" w:lastRowLastColumn="0"/>
            </w:pPr>
            <w:r w:rsidRPr="00231C93">
              <w:t>0.87</w:t>
            </w:r>
          </w:p>
        </w:tc>
        <w:tc>
          <w:tcPr>
            <w:tcW w:w="723" w:type="pct"/>
            <w:tcBorders>
              <w:top w:val="single" w:sz="4" w:space="0" w:color="FFFFFF" w:themeColor="background1"/>
              <w:bottom w:val="single" w:sz="8" w:space="0" w:color="002C77" w:themeColor="text1"/>
            </w:tcBorders>
            <w:shd w:val="clear" w:color="auto" w:fill="F2F2F2"/>
          </w:tcPr>
          <w:p w14:paraId="2DD54E8E" w14:textId="4ED79D11" w:rsidR="00231C93" w:rsidRPr="00231C93" w:rsidRDefault="00231C93" w:rsidP="00231C93">
            <w:pPr>
              <w:keepNext/>
              <w:adjustRightInd w:val="0"/>
              <w:jc w:val="right"/>
              <w:cnfStyle w:val="000000000000" w:firstRow="0" w:lastRow="0" w:firstColumn="0" w:lastColumn="0" w:oddVBand="0" w:evenVBand="0" w:oddHBand="0" w:evenHBand="0" w:firstRowFirstColumn="0" w:firstRowLastColumn="0" w:lastRowFirstColumn="0" w:lastRowLastColumn="0"/>
            </w:pPr>
            <w:r w:rsidRPr="00231C93">
              <w:t>1.50</w:t>
            </w:r>
          </w:p>
        </w:tc>
        <w:tc>
          <w:tcPr>
            <w:tcW w:w="520" w:type="pct"/>
            <w:tcBorders>
              <w:top w:val="single" w:sz="4" w:space="0" w:color="FFFFFF" w:themeColor="background1"/>
              <w:bottom w:val="single" w:sz="8" w:space="0" w:color="002C77" w:themeColor="text1"/>
            </w:tcBorders>
            <w:shd w:val="clear" w:color="auto" w:fill="F2F2F2"/>
          </w:tcPr>
          <w:p w14:paraId="6B337852" w14:textId="73D708C9" w:rsidR="00231C93" w:rsidRPr="00231C93" w:rsidRDefault="00231C93" w:rsidP="00231C93">
            <w:pPr>
              <w:keepNext/>
              <w:adjustRightInd w:val="0"/>
              <w:jc w:val="right"/>
              <w:cnfStyle w:val="000000000000" w:firstRow="0" w:lastRow="0" w:firstColumn="0" w:lastColumn="0" w:oddVBand="0" w:evenVBand="0" w:oddHBand="0" w:evenHBand="0" w:firstRowFirstColumn="0" w:firstRowLastColumn="0" w:lastRowFirstColumn="0" w:lastRowLastColumn="0"/>
            </w:pPr>
            <w:r w:rsidRPr="00231C93">
              <w:t>NS</w:t>
            </w:r>
          </w:p>
        </w:tc>
      </w:tr>
      <w:tr w:rsidR="00231C93" w:rsidRPr="00231C93" w14:paraId="18961DDC" w14:textId="77777777" w:rsidTr="000942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7" w:type="pct"/>
            <w:tcBorders>
              <w:top w:val="single" w:sz="8" w:space="0" w:color="002C77" w:themeColor="text1"/>
              <w:bottom w:val="single" w:sz="4" w:space="0" w:color="FFFFFF" w:themeColor="background1"/>
            </w:tcBorders>
            <w:shd w:val="clear" w:color="auto" w:fill="F2F2F2"/>
          </w:tcPr>
          <w:p w14:paraId="6708C14B" w14:textId="7C6ACB13" w:rsidR="00231C93" w:rsidRPr="00231C93" w:rsidRDefault="00231C93" w:rsidP="00231C93">
            <w:pPr>
              <w:pStyle w:val="TableText"/>
              <w:rPr>
                <w:b w:val="0"/>
              </w:rPr>
            </w:pPr>
            <w:r w:rsidRPr="00231C93">
              <w:rPr>
                <w:b w:val="0"/>
              </w:rPr>
              <w:t>Percent</w:t>
            </w:r>
            <w:r>
              <w:rPr>
                <w:b w:val="0"/>
              </w:rPr>
              <w:t>age</w:t>
            </w:r>
            <w:r w:rsidRPr="00231C93">
              <w:rPr>
                <w:b w:val="0"/>
              </w:rPr>
              <w:t xml:space="preserve"> Prescriptions Medicaid</w:t>
            </w:r>
          </w:p>
        </w:tc>
        <w:tc>
          <w:tcPr>
            <w:tcW w:w="744" w:type="pct"/>
            <w:tcBorders>
              <w:top w:val="single" w:sz="8" w:space="0" w:color="002C77" w:themeColor="text1"/>
              <w:bottom w:val="single" w:sz="4" w:space="0" w:color="FFFFFF" w:themeColor="background1"/>
            </w:tcBorders>
            <w:shd w:val="clear" w:color="auto" w:fill="F2F2F2"/>
          </w:tcPr>
          <w:p w14:paraId="55EC3AE7" w14:textId="51ACEB42" w:rsidR="00231C93" w:rsidRPr="00231C93" w:rsidRDefault="00231C93" w:rsidP="00231C93">
            <w:pPr>
              <w:keepNext/>
              <w:adjustRightInd w:val="0"/>
              <w:cnfStyle w:val="000000010000" w:firstRow="0" w:lastRow="0" w:firstColumn="0" w:lastColumn="0" w:oddVBand="0" w:evenVBand="0" w:oddHBand="0" w:evenHBand="1" w:firstRowFirstColumn="0" w:firstRowLastColumn="0" w:lastRowFirstColumn="0" w:lastRowLastColumn="0"/>
            </w:pPr>
            <w:r w:rsidRPr="00231C93">
              <w:t>0–19.99%</w:t>
            </w:r>
          </w:p>
        </w:tc>
        <w:tc>
          <w:tcPr>
            <w:tcW w:w="695" w:type="pct"/>
            <w:tcBorders>
              <w:top w:val="single" w:sz="8" w:space="0" w:color="002C77" w:themeColor="text1"/>
              <w:bottom w:val="single" w:sz="4" w:space="0" w:color="FFFFFF" w:themeColor="background1"/>
            </w:tcBorders>
            <w:shd w:val="clear" w:color="auto" w:fill="F2F2F2"/>
          </w:tcPr>
          <w:p w14:paraId="629C95E5" w14:textId="346EB840" w:rsidR="00231C93" w:rsidRPr="00231C93" w:rsidRDefault="00231C93" w:rsidP="00231C93">
            <w:pPr>
              <w:keepNext/>
              <w:adjustRightInd w:val="0"/>
              <w:jc w:val="right"/>
              <w:cnfStyle w:val="000000010000" w:firstRow="0" w:lastRow="0" w:firstColumn="0" w:lastColumn="0" w:oddVBand="0" w:evenVBand="0" w:oddHBand="0" w:evenHBand="1" w:firstRowFirstColumn="0" w:firstRowLastColumn="0" w:lastRowFirstColumn="0" w:lastRowLastColumn="0"/>
            </w:pPr>
            <w:r w:rsidRPr="00231C93">
              <w:t>Base</w:t>
            </w:r>
          </w:p>
        </w:tc>
        <w:tc>
          <w:tcPr>
            <w:tcW w:w="731" w:type="pct"/>
            <w:tcBorders>
              <w:top w:val="single" w:sz="8" w:space="0" w:color="002C77" w:themeColor="text1"/>
              <w:bottom w:val="single" w:sz="4" w:space="0" w:color="FFFFFF" w:themeColor="background1"/>
            </w:tcBorders>
            <w:shd w:val="clear" w:color="auto" w:fill="F2F2F2"/>
          </w:tcPr>
          <w:p w14:paraId="2C2F5433" w14:textId="78D4DCBD" w:rsidR="00231C93" w:rsidRPr="00231C93" w:rsidRDefault="00231C93" w:rsidP="00231C93">
            <w:pPr>
              <w:keepNext/>
              <w:adjustRightInd w:val="0"/>
              <w:jc w:val="right"/>
              <w:cnfStyle w:val="000000010000" w:firstRow="0" w:lastRow="0" w:firstColumn="0" w:lastColumn="0" w:oddVBand="0" w:evenVBand="0" w:oddHBand="0" w:evenHBand="1" w:firstRowFirstColumn="0" w:firstRowLastColumn="0" w:lastRowFirstColumn="0" w:lastRowLastColumn="0"/>
            </w:pPr>
            <w:r w:rsidRPr="00231C93">
              <w:t>1.00</w:t>
            </w:r>
          </w:p>
        </w:tc>
        <w:tc>
          <w:tcPr>
            <w:tcW w:w="723" w:type="pct"/>
            <w:tcBorders>
              <w:top w:val="single" w:sz="8" w:space="0" w:color="002C77" w:themeColor="text1"/>
              <w:bottom w:val="single" w:sz="4" w:space="0" w:color="FFFFFF" w:themeColor="background1"/>
            </w:tcBorders>
            <w:shd w:val="clear" w:color="auto" w:fill="F2F2F2"/>
          </w:tcPr>
          <w:p w14:paraId="2EBDF27C" w14:textId="43AA6450" w:rsidR="00231C93" w:rsidRPr="00231C93" w:rsidRDefault="00231C93" w:rsidP="00231C93">
            <w:pPr>
              <w:keepNext/>
              <w:adjustRightInd w:val="0"/>
              <w:jc w:val="right"/>
              <w:cnfStyle w:val="000000010000" w:firstRow="0" w:lastRow="0" w:firstColumn="0" w:lastColumn="0" w:oddVBand="0" w:evenVBand="0" w:oddHBand="0" w:evenHBand="1" w:firstRowFirstColumn="0" w:firstRowLastColumn="0" w:lastRowFirstColumn="0" w:lastRowLastColumn="0"/>
            </w:pPr>
            <w:r w:rsidRPr="00231C93">
              <w:t>1.00</w:t>
            </w:r>
          </w:p>
        </w:tc>
        <w:tc>
          <w:tcPr>
            <w:tcW w:w="520" w:type="pct"/>
            <w:tcBorders>
              <w:top w:val="single" w:sz="8" w:space="0" w:color="002C77" w:themeColor="text1"/>
              <w:bottom w:val="single" w:sz="4" w:space="0" w:color="FFFFFF" w:themeColor="background1"/>
            </w:tcBorders>
            <w:shd w:val="clear" w:color="auto" w:fill="F2F2F2"/>
          </w:tcPr>
          <w:p w14:paraId="480C3D3D" w14:textId="77777777" w:rsidR="00231C93" w:rsidRPr="00231C93" w:rsidRDefault="00231C93" w:rsidP="00231C93">
            <w:pPr>
              <w:keepNext/>
              <w:adjustRightInd w:val="0"/>
              <w:jc w:val="right"/>
              <w:cnfStyle w:val="000000010000" w:firstRow="0" w:lastRow="0" w:firstColumn="0" w:lastColumn="0" w:oddVBand="0" w:evenVBand="0" w:oddHBand="0" w:evenHBand="1" w:firstRowFirstColumn="0" w:firstRowLastColumn="0" w:lastRowFirstColumn="0" w:lastRowLastColumn="0"/>
            </w:pPr>
          </w:p>
        </w:tc>
      </w:tr>
      <w:tr w:rsidR="00231C93" w:rsidRPr="00231C93" w14:paraId="6ED1F7C9" w14:textId="77777777" w:rsidTr="0009420F">
        <w:tc>
          <w:tcPr>
            <w:cnfStyle w:val="001000000000" w:firstRow="0" w:lastRow="0" w:firstColumn="1" w:lastColumn="0" w:oddVBand="0" w:evenVBand="0" w:oddHBand="0" w:evenHBand="0" w:firstRowFirstColumn="0" w:firstRowLastColumn="0" w:lastRowFirstColumn="0" w:lastRowLastColumn="0"/>
            <w:tcW w:w="1587" w:type="pct"/>
            <w:tcBorders>
              <w:top w:val="single" w:sz="4" w:space="0" w:color="FFFFFF" w:themeColor="background1"/>
              <w:bottom w:val="single" w:sz="8" w:space="0" w:color="002C77" w:themeColor="text1"/>
            </w:tcBorders>
            <w:shd w:val="clear" w:color="auto" w:fill="F2F2F2"/>
          </w:tcPr>
          <w:p w14:paraId="52044C73" w14:textId="63EF1D91" w:rsidR="00231C93" w:rsidRPr="00231C93" w:rsidRDefault="00231C93" w:rsidP="00231C93">
            <w:pPr>
              <w:pStyle w:val="TableText"/>
              <w:rPr>
                <w:b w:val="0"/>
              </w:rPr>
            </w:pPr>
            <w:r w:rsidRPr="00231C93">
              <w:rPr>
                <w:b w:val="0"/>
              </w:rPr>
              <w:lastRenderedPageBreak/>
              <w:t>Percent</w:t>
            </w:r>
            <w:r>
              <w:rPr>
                <w:b w:val="0"/>
              </w:rPr>
              <w:t>age</w:t>
            </w:r>
            <w:r w:rsidRPr="00231C93">
              <w:rPr>
                <w:b w:val="0"/>
              </w:rPr>
              <w:t xml:space="preserve"> Prescriptions Medicaid</w:t>
            </w:r>
          </w:p>
        </w:tc>
        <w:tc>
          <w:tcPr>
            <w:tcW w:w="744" w:type="pct"/>
            <w:tcBorders>
              <w:top w:val="single" w:sz="4" w:space="0" w:color="FFFFFF" w:themeColor="background1"/>
              <w:bottom w:val="single" w:sz="8" w:space="0" w:color="002C77" w:themeColor="text1"/>
            </w:tcBorders>
            <w:shd w:val="clear" w:color="auto" w:fill="F2F2F2"/>
          </w:tcPr>
          <w:p w14:paraId="09F5B537" w14:textId="39DCFFC6" w:rsidR="00231C93" w:rsidRPr="00231C93" w:rsidRDefault="00231C93" w:rsidP="00231C93">
            <w:pPr>
              <w:adjustRightInd w:val="0"/>
              <w:cnfStyle w:val="000000000000" w:firstRow="0" w:lastRow="0" w:firstColumn="0" w:lastColumn="0" w:oddVBand="0" w:evenVBand="0" w:oddHBand="0" w:evenHBand="0" w:firstRowFirstColumn="0" w:firstRowLastColumn="0" w:lastRowFirstColumn="0" w:lastRowLastColumn="0"/>
            </w:pPr>
            <w:r w:rsidRPr="00231C93">
              <w:t>20% or more</w:t>
            </w:r>
          </w:p>
        </w:tc>
        <w:tc>
          <w:tcPr>
            <w:tcW w:w="695" w:type="pct"/>
            <w:tcBorders>
              <w:top w:val="single" w:sz="4" w:space="0" w:color="FFFFFF" w:themeColor="background1"/>
              <w:bottom w:val="single" w:sz="8" w:space="0" w:color="002C77" w:themeColor="text1"/>
            </w:tcBorders>
            <w:shd w:val="clear" w:color="auto" w:fill="F2F2F2"/>
          </w:tcPr>
          <w:p w14:paraId="3235C5DD" w14:textId="2B145769" w:rsidR="00231C93" w:rsidRPr="00231C93" w:rsidRDefault="00231C93" w:rsidP="00231C93">
            <w:pPr>
              <w:keepNext/>
              <w:adjustRightInd w:val="0"/>
              <w:jc w:val="right"/>
              <w:cnfStyle w:val="000000000000" w:firstRow="0" w:lastRow="0" w:firstColumn="0" w:lastColumn="0" w:oddVBand="0" w:evenVBand="0" w:oddHBand="0" w:evenHBand="0" w:firstRowFirstColumn="0" w:firstRowLastColumn="0" w:lastRowFirstColumn="0" w:lastRowLastColumn="0"/>
            </w:pPr>
            <w:r w:rsidRPr="00231C93">
              <w:t>0.97</w:t>
            </w:r>
          </w:p>
        </w:tc>
        <w:tc>
          <w:tcPr>
            <w:tcW w:w="731" w:type="pct"/>
            <w:tcBorders>
              <w:top w:val="single" w:sz="4" w:space="0" w:color="FFFFFF" w:themeColor="background1"/>
              <w:bottom w:val="single" w:sz="8" w:space="0" w:color="002C77" w:themeColor="text1"/>
            </w:tcBorders>
            <w:shd w:val="clear" w:color="auto" w:fill="F2F2F2"/>
          </w:tcPr>
          <w:p w14:paraId="53F482AE" w14:textId="71E350DB" w:rsidR="00231C93" w:rsidRPr="00231C93" w:rsidRDefault="00231C93" w:rsidP="00231C93">
            <w:pPr>
              <w:keepNext/>
              <w:adjustRightInd w:val="0"/>
              <w:jc w:val="right"/>
              <w:cnfStyle w:val="000000000000" w:firstRow="0" w:lastRow="0" w:firstColumn="0" w:lastColumn="0" w:oddVBand="0" w:evenVBand="0" w:oddHBand="0" w:evenHBand="0" w:firstRowFirstColumn="0" w:firstRowLastColumn="0" w:lastRowFirstColumn="0" w:lastRowLastColumn="0"/>
            </w:pPr>
            <w:r w:rsidRPr="00231C93">
              <w:t>0.74</w:t>
            </w:r>
          </w:p>
        </w:tc>
        <w:tc>
          <w:tcPr>
            <w:tcW w:w="723" w:type="pct"/>
            <w:tcBorders>
              <w:top w:val="single" w:sz="4" w:space="0" w:color="FFFFFF" w:themeColor="background1"/>
              <w:bottom w:val="single" w:sz="8" w:space="0" w:color="002C77" w:themeColor="text1"/>
            </w:tcBorders>
            <w:shd w:val="clear" w:color="auto" w:fill="F2F2F2"/>
          </w:tcPr>
          <w:p w14:paraId="66462D6B" w14:textId="3364DE59" w:rsidR="00231C93" w:rsidRPr="00231C93" w:rsidRDefault="00231C93" w:rsidP="00231C93">
            <w:pPr>
              <w:keepNext/>
              <w:adjustRightInd w:val="0"/>
              <w:jc w:val="right"/>
              <w:cnfStyle w:val="000000000000" w:firstRow="0" w:lastRow="0" w:firstColumn="0" w:lastColumn="0" w:oddVBand="0" w:evenVBand="0" w:oddHBand="0" w:evenHBand="0" w:firstRowFirstColumn="0" w:firstRowLastColumn="0" w:lastRowFirstColumn="0" w:lastRowLastColumn="0"/>
            </w:pPr>
            <w:r w:rsidRPr="00231C93">
              <w:t>1.27</w:t>
            </w:r>
          </w:p>
        </w:tc>
        <w:tc>
          <w:tcPr>
            <w:tcW w:w="520" w:type="pct"/>
            <w:tcBorders>
              <w:top w:val="single" w:sz="4" w:space="0" w:color="FFFFFF" w:themeColor="background1"/>
              <w:bottom w:val="single" w:sz="8" w:space="0" w:color="002C77" w:themeColor="text1"/>
            </w:tcBorders>
            <w:shd w:val="clear" w:color="auto" w:fill="F2F2F2"/>
          </w:tcPr>
          <w:p w14:paraId="2D494467" w14:textId="4B3F429D" w:rsidR="00231C93" w:rsidRPr="00231C93" w:rsidRDefault="00231C93" w:rsidP="00231C93">
            <w:pPr>
              <w:keepNext/>
              <w:adjustRightInd w:val="0"/>
              <w:jc w:val="right"/>
              <w:cnfStyle w:val="000000000000" w:firstRow="0" w:lastRow="0" w:firstColumn="0" w:lastColumn="0" w:oddVBand="0" w:evenVBand="0" w:oddHBand="0" w:evenHBand="0" w:firstRowFirstColumn="0" w:firstRowLastColumn="0" w:lastRowFirstColumn="0" w:lastRowLastColumn="0"/>
            </w:pPr>
            <w:r w:rsidRPr="00231C93">
              <w:t>NS</w:t>
            </w:r>
          </w:p>
        </w:tc>
      </w:tr>
      <w:tr w:rsidR="00231C93" w:rsidRPr="00231C93" w14:paraId="4085AF61" w14:textId="77777777" w:rsidTr="000942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7" w:type="pct"/>
            <w:tcBorders>
              <w:top w:val="single" w:sz="8" w:space="0" w:color="002C77" w:themeColor="text1"/>
            </w:tcBorders>
            <w:shd w:val="clear" w:color="auto" w:fill="F2F2F2"/>
          </w:tcPr>
          <w:p w14:paraId="081BC818" w14:textId="260670DB" w:rsidR="00231C93" w:rsidRPr="00231C93" w:rsidRDefault="00231C93" w:rsidP="00231C93">
            <w:pPr>
              <w:pStyle w:val="TableText"/>
              <w:rPr>
                <w:b w:val="0"/>
              </w:rPr>
            </w:pPr>
            <w:r w:rsidRPr="00231C93">
              <w:rPr>
                <w:b w:val="0"/>
              </w:rPr>
              <w:t>Percent</w:t>
            </w:r>
            <w:r>
              <w:rPr>
                <w:b w:val="0"/>
              </w:rPr>
              <w:t>age</w:t>
            </w:r>
            <w:r w:rsidRPr="00231C93">
              <w:rPr>
                <w:b w:val="0"/>
              </w:rPr>
              <w:t xml:space="preserve"> Prescriptions Compounded</w:t>
            </w:r>
          </w:p>
        </w:tc>
        <w:tc>
          <w:tcPr>
            <w:tcW w:w="744" w:type="pct"/>
            <w:tcBorders>
              <w:top w:val="single" w:sz="8" w:space="0" w:color="002C77" w:themeColor="text1"/>
            </w:tcBorders>
            <w:shd w:val="clear" w:color="auto" w:fill="F2F2F2"/>
          </w:tcPr>
          <w:p w14:paraId="2CD7EDC1" w14:textId="0E1F8EE3" w:rsidR="00231C93" w:rsidRPr="00231C93" w:rsidRDefault="00231C93" w:rsidP="00231C93">
            <w:pPr>
              <w:keepNext/>
              <w:adjustRightInd w:val="0"/>
              <w:cnfStyle w:val="000000010000" w:firstRow="0" w:lastRow="0" w:firstColumn="0" w:lastColumn="0" w:oddVBand="0" w:evenVBand="0" w:oddHBand="0" w:evenHBand="1" w:firstRowFirstColumn="0" w:firstRowLastColumn="0" w:lastRowFirstColumn="0" w:lastRowLastColumn="0"/>
            </w:pPr>
            <w:r w:rsidRPr="00231C93">
              <w:t>0–0.099%</w:t>
            </w:r>
          </w:p>
        </w:tc>
        <w:tc>
          <w:tcPr>
            <w:tcW w:w="695" w:type="pct"/>
            <w:tcBorders>
              <w:top w:val="single" w:sz="8" w:space="0" w:color="002C77" w:themeColor="text1"/>
            </w:tcBorders>
            <w:shd w:val="clear" w:color="auto" w:fill="F2F2F2"/>
          </w:tcPr>
          <w:p w14:paraId="72C8BEF5" w14:textId="6FE8E45E" w:rsidR="00231C93" w:rsidRPr="00231C93" w:rsidRDefault="00231C93" w:rsidP="00231C93">
            <w:pPr>
              <w:keepNext/>
              <w:adjustRightInd w:val="0"/>
              <w:jc w:val="right"/>
              <w:cnfStyle w:val="000000010000" w:firstRow="0" w:lastRow="0" w:firstColumn="0" w:lastColumn="0" w:oddVBand="0" w:evenVBand="0" w:oddHBand="0" w:evenHBand="1" w:firstRowFirstColumn="0" w:firstRowLastColumn="0" w:lastRowFirstColumn="0" w:lastRowLastColumn="0"/>
            </w:pPr>
            <w:r w:rsidRPr="00231C93">
              <w:t>0.82</w:t>
            </w:r>
          </w:p>
        </w:tc>
        <w:tc>
          <w:tcPr>
            <w:tcW w:w="731" w:type="pct"/>
            <w:tcBorders>
              <w:top w:val="single" w:sz="8" w:space="0" w:color="002C77" w:themeColor="text1"/>
            </w:tcBorders>
            <w:shd w:val="clear" w:color="auto" w:fill="F2F2F2"/>
          </w:tcPr>
          <w:p w14:paraId="1A529F8A" w14:textId="6178D205" w:rsidR="00231C93" w:rsidRPr="00231C93" w:rsidRDefault="00231C93" w:rsidP="00231C93">
            <w:pPr>
              <w:keepNext/>
              <w:adjustRightInd w:val="0"/>
              <w:jc w:val="right"/>
              <w:cnfStyle w:val="000000010000" w:firstRow="0" w:lastRow="0" w:firstColumn="0" w:lastColumn="0" w:oddVBand="0" w:evenVBand="0" w:oddHBand="0" w:evenHBand="1" w:firstRowFirstColumn="0" w:firstRowLastColumn="0" w:lastRowFirstColumn="0" w:lastRowLastColumn="0"/>
            </w:pPr>
            <w:r w:rsidRPr="00231C93">
              <w:t>0.40</w:t>
            </w:r>
          </w:p>
        </w:tc>
        <w:tc>
          <w:tcPr>
            <w:tcW w:w="723" w:type="pct"/>
            <w:tcBorders>
              <w:top w:val="single" w:sz="8" w:space="0" w:color="002C77" w:themeColor="text1"/>
            </w:tcBorders>
            <w:shd w:val="clear" w:color="auto" w:fill="F2F2F2"/>
          </w:tcPr>
          <w:p w14:paraId="6EBF1F36" w14:textId="5E993FD8" w:rsidR="00231C93" w:rsidRPr="00231C93" w:rsidRDefault="00231C93" w:rsidP="00231C93">
            <w:pPr>
              <w:keepNext/>
              <w:adjustRightInd w:val="0"/>
              <w:jc w:val="right"/>
              <w:cnfStyle w:val="000000010000" w:firstRow="0" w:lastRow="0" w:firstColumn="0" w:lastColumn="0" w:oddVBand="0" w:evenVBand="0" w:oddHBand="0" w:evenHBand="1" w:firstRowFirstColumn="0" w:firstRowLastColumn="0" w:lastRowFirstColumn="0" w:lastRowLastColumn="0"/>
            </w:pPr>
            <w:r w:rsidRPr="00231C93">
              <w:t>1.69</w:t>
            </w:r>
          </w:p>
        </w:tc>
        <w:tc>
          <w:tcPr>
            <w:tcW w:w="520" w:type="pct"/>
            <w:tcBorders>
              <w:top w:val="single" w:sz="8" w:space="0" w:color="002C77" w:themeColor="text1"/>
            </w:tcBorders>
            <w:shd w:val="clear" w:color="auto" w:fill="F2F2F2"/>
          </w:tcPr>
          <w:p w14:paraId="351D4FA8" w14:textId="38333B61" w:rsidR="00231C93" w:rsidRPr="00231C93" w:rsidRDefault="00231C93" w:rsidP="00231C93">
            <w:pPr>
              <w:keepNext/>
              <w:adjustRightInd w:val="0"/>
              <w:jc w:val="right"/>
              <w:cnfStyle w:val="000000010000" w:firstRow="0" w:lastRow="0" w:firstColumn="0" w:lastColumn="0" w:oddVBand="0" w:evenVBand="0" w:oddHBand="0" w:evenHBand="1" w:firstRowFirstColumn="0" w:firstRowLastColumn="0" w:lastRowFirstColumn="0" w:lastRowLastColumn="0"/>
            </w:pPr>
            <w:r w:rsidRPr="00231C93">
              <w:t>NS</w:t>
            </w:r>
          </w:p>
        </w:tc>
      </w:tr>
      <w:tr w:rsidR="00231C93" w:rsidRPr="00231C93" w14:paraId="1EC6C439" w14:textId="77777777" w:rsidTr="0009420F">
        <w:tc>
          <w:tcPr>
            <w:cnfStyle w:val="001000000000" w:firstRow="0" w:lastRow="0" w:firstColumn="1" w:lastColumn="0" w:oddVBand="0" w:evenVBand="0" w:oddHBand="0" w:evenHBand="0" w:firstRowFirstColumn="0" w:firstRowLastColumn="0" w:lastRowFirstColumn="0" w:lastRowLastColumn="0"/>
            <w:tcW w:w="1587" w:type="pct"/>
            <w:tcBorders>
              <w:bottom w:val="single" w:sz="4" w:space="0" w:color="FFFFFF" w:themeColor="background1"/>
            </w:tcBorders>
            <w:shd w:val="clear" w:color="auto" w:fill="F2F2F2"/>
          </w:tcPr>
          <w:p w14:paraId="753DB9D2" w14:textId="340D88E4" w:rsidR="00231C93" w:rsidRPr="00231C93" w:rsidRDefault="00231C93" w:rsidP="00231C93">
            <w:pPr>
              <w:pStyle w:val="TableText"/>
              <w:rPr>
                <w:b w:val="0"/>
              </w:rPr>
            </w:pPr>
            <w:r w:rsidRPr="00231C93">
              <w:rPr>
                <w:b w:val="0"/>
              </w:rPr>
              <w:t>Percent</w:t>
            </w:r>
            <w:r>
              <w:rPr>
                <w:b w:val="0"/>
              </w:rPr>
              <w:t>age</w:t>
            </w:r>
            <w:r w:rsidRPr="00231C93">
              <w:rPr>
                <w:b w:val="0"/>
              </w:rPr>
              <w:t xml:space="preserve"> Prescriptions Compounded</w:t>
            </w:r>
          </w:p>
        </w:tc>
        <w:tc>
          <w:tcPr>
            <w:tcW w:w="744" w:type="pct"/>
            <w:tcBorders>
              <w:bottom w:val="single" w:sz="4" w:space="0" w:color="FFFFFF" w:themeColor="background1"/>
            </w:tcBorders>
            <w:shd w:val="clear" w:color="auto" w:fill="F2F2F2"/>
          </w:tcPr>
          <w:p w14:paraId="5C0E9883" w14:textId="33C7F857" w:rsidR="00231C93" w:rsidRPr="00231C93" w:rsidRDefault="00231C93" w:rsidP="00231C93">
            <w:pPr>
              <w:keepNext/>
              <w:adjustRightInd w:val="0"/>
              <w:cnfStyle w:val="000000000000" w:firstRow="0" w:lastRow="0" w:firstColumn="0" w:lastColumn="0" w:oddVBand="0" w:evenVBand="0" w:oddHBand="0" w:evenHBand="0" w:firstRowFirstColumn="0" w:firstRowLastColumn="0" w:lastRowFirstColumn="0" w:lastRowLastColumn="0"/>
            </w:pPr>
            <w:r w:rsidRPr="00231C93">
              <w:t>0.1–0.99%</w:t>
            </w:r>
          </w:p>
        </w:tc>
        <w:tc>
          <w:tcPr>
            <w:tcW w:w="695" w:type="pct"/>
            <w:tcBorders>
              <w:bottom w:val="single" w:sz="4" w:space="0" w:color="FFFFFF" w:themeColor="background1"/>
            </w:tcBorders>
            <w:shd w:val="clear" w:color="auto" w:fill="F2F2F2"/>
          </w:tcPr>
          <w:p w14:paraId="36FDB0BB" w14:textId="2079C006" w:rsidR="00231C93" w:rsidRPr="00231C93" w:rsidRDefault="00231C93" w:rsidP="00231C93">
            <w:pPr>
              <w:keepNext/>
              <w:adjustRightInd w:val="0"/>
              <w:jc w:val="right"/>
              <w:cnfStyle w:val="000000000000" w:firstRow="0" w:lastRow="0" w:firstColumn="0" w:lastColumn="0" w:oddVBand="0" w:evenVBand="0" w:oddHBand="0" w:evenHBand="0" w:firstRowFirstColumn="0" w:firstRowLastColumn="0" w:lastRowFirstColumn="0" w:lastRowLastColumn="0"/>
            </w:pPr>
            <w:r w:rsidRPr="00231C93">
              <w:t>Base</w:t>
            </w:r>
          </w:p>
        </w:tc>
        <w:tc>
          <w:tcPr>
            <w:tcW w:w="731" w:type="pct"/>
            <w:tcBorders>
              <w:bottom w:val="single" w:sz="4" w:space="0" w:color="FFFFFF" w:themeColor="background1"/>
            </w:tcBorders>
            <w:shd w:val="clear" w:color="auto" w:fill="F2F2F2"/>
          </w:tcPr>
          <w:p w14:paraId="3D71D94A" w14:textId="79C85A1A" w:rsidR="00231C93" w:rsidRPr="00231C93" w:rsidRDefault="00231C93" w:rsidP="00231C93">
            <w:pPr>
              <w:keepNext/>
              <w:adjustRightInd w:val="0"/>
              <w:jc w:val="right"/>
              <w:cnfStyle w:val="000000000000" w:firstRow="0" w:lastRow="0" w:firstColumn="0" w:lastColumn="0" w:oddVBand="0" w:evenVBand="0" w:oddHBand="0" w:evenHBand="0" w:firstRowFirstColumn="0" w:firstRowLastColumn="0" w:lastRowFirstColumn="0" w:lastRowLastColumn="0"/>
            </w:pPr>
            <w:r w:rsidRPr="00231C93">
              <w:t>1.00</w:t>
            </w:r>
          </w:p>
        </w:tc>
        <w:tc>
          <w:tcPr>
            <w:tcW w:w="723" w:type="pct"/>
            <w:tcBorders>
              <w:bottom w:val="single" w:sz="4" w:space="0" w:color="FFFFFF" w:themeColor="background1"/>
            </w:tcBorders>
            <w:shd w:val="clear" w:color="auto" w:fill="F2F2F2"/>
          </w:tcPr>
          <w:p w14:paraId="53A9C02D" w14:textId="163592EE" w:rsidR="00231C93" w:rsidRPr="00231C93" w:rsidRDefault="00231C93" w:rsidP="00231C93">
            <w:pPr>
              <w:keepNext/>
              <w:adjustRightInd w:val="0"/>
              <w:jc w:val="right"/>
              <w:cnfStyle w:val="000000000000" w:firstRow="0" w:lastRow="0" w:firstColumn="0" w:lastColumn="0" w:oddVBand="0" w:evenVBand="0" w:oddHBand="0" w:evenHBand="0" w:firstRowFirstColumn="0" w:firstRowLastColumn="0" w:lastRowFirstColumn="0" w:lastRowLastColumn="0"/>
            </w:pPr>
            <w:r w:rsidRPr="00231C93">
              <w:t>1.00</w:t>
            </w:r>
          </w:p>
        </w:tc>
        <w:tc>
          <w:tcPr>
            <w:tcW w:w="520" w:type="pct"/>
            <w:tcBorders>
              <w:bottom w:val="single" w:sz="4" w:space="0" w:color="FFFFFF" w:themeColor="background1"/>
            </w:tcBorders>
            <w:shd w:val="clear" w:color="auto" w:fill="F2F2F2"/>
          </w:tcPr>
          <w:p w14:paraId="323E6573" w14:textId="77777777" w:rsidR="00231C93" w:rsidRPr="00231C93" w:rsidRDefault="00231C93" w:rsidP="00231C93">
            <w:pPr>
              <w:keepNext/>
              <w:adjustRightInd w:val="0"/>
              <w:jc w:val="right"/>
              <w:cnfStyle w:val="000000000000" w:firstRow="0" w:lastRow="0" w:firstColumn="0" w:lastColumn="0" w:oddVBand="0" w:evenVBand="0" w:oddHBand="0" w:evenHBand="0" w:firstRowFirstColumn="0" w:firstRowLastColumn="0" w:lastRowFirstColumn="0" w:lastRowLastColumn="0"/>
            </w:pPr>
          </w:p>
        </w:tc>
      </w:tr>
      <w:tr w:rsidR="00231C93" w:rsidRPr="00231C93" w14:paraId="7178165A" w14:textId="77777777" w:rsidTr="000942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7" w:type="pct"/>
            <w:tcBorders>
              <w:top w:val="single" w:sz="4" w:space="0" w:color="FFFFFF" w:themeColor="background1"/>
              <w:bottom w:val="single" w:sz="8" w:space="0" w:color="002C77" w:themeColor="text1"/>
            </w:tcBorders>
            <w:shd w:val="clear" w:color="auto" w:fill="F2F2F2"/>
          </w:tcPr>
          <w:p w14:paraId="63A603CA" w14:textId="0BF08DAB" w:rsidR="00231C93" w:rsidRPr="00231C93" w:rsidRDefault="00231C93" w:rsidP="00231C93">
            <w:pPr>
              <w:pStyle w:val="TableText"/>
              <w:rPr>
                <w:b w:val="0"/>
              </w:rPr>
            </w:pPr>
            <w:r w:rsidRPr="00231C93">
              <w:rPr>
                <w:b w:val="0"/>
              </w:rPr>
              <w:t>Percent</w:t>
            </w:r>
            <w:r>
              <w:rPr>
                <w:b w:val="0"/>
              </w:rPr>
              <w:t>age</w:t>
            </w:r>
            <w:r w:rsidRPr="00231C93">
              <w:rPr>
                <w:b w:val="0"/>
              </w:rPr>
              <w:t xml:space="preserve"> Prescriptions Compounded</w:t>
            </w:r>
          </w:p>
        </w:tc>
        <w:tc>
          <w:tcPr>
            <w:tcW w:w="744" w:type="pct"/>
            <w:tcBorders>
              <w:top w:val="single" w:sz="4" w:space="0" w:color="FFFFFF" w:themeColor="background1"/>
              <w:bottom w:val="single" w:sz="8" w:space="0" w:color="002C77" w:themeColor="text1"/>
            </w:tcBorders>
            <w:shd w:val="clear" w:color="auto" w:fill="F2F2F2"/>
          </w:tcPr>
          <w:p w14:paraId="72EC3745" w14:textId="154296E8" w:rsidR="00231C93" w:rsidRPr="00231C93" w:rsidRDefault="00231C93" w:rsidP="00231C93">
            <w:pPr>
              <w:adjustRightInd w:val="0"/>
              <w:cnfStyle w:val="000000010000" w:firstRow="0" w:lastRow="0" w:firstColumn="0" w:lastColumn="0" w:oddVBand="0" w:evenVBand="0" w:oddHBand="0" w:evenHBand="1" w:firstRowFirstColumn="0" w:firstRowLastColumn="0" w:lastRowFirstColumn="0" w:lastRowLastColumn="0"/>
            </w:pPr>
            <w:r w:rsidRPr="00231C93">
              <w:t>1% or more</w:t>
            </w:r>
          </w:p>
        </w:tc>
        <w:tc>
          <w:tcPr>
            <w:tcW w:w="695" w:type="pct"/>
            <w:tcBorders>
              <w:top w:val="single" w:sz="4" w:space="0" w:color="FFFFFF" w:themeColor="background1"/>
              <w:bottom w:val="single" w:sz="8" w:space="0" w:color="002C77" w:themeColor="text1"/>
            </w:tcBorders>
            <w:shd w:val="clear" w:color="auto" w:fill="F2F2F2"/>
          </w:tcPr>
          <w:p w14:paraId="6B113891" w14:textId="16641D1A" w:rsidR="00231C93" w:rsidRPr="00231C93" w:rsidRDefault="00231C93" w:rsidP="00231C93">
            <w:pPr>
              <w:keepNext/>
              <w:adjustRightInd w:val="0"/>
              <w:jc w:val="right"/>
              <w:cnfStyle w:val="000000010000" w:firstRow="0" w:lastRow="0" w:firstColumn="0" w:lastColumn="0" w:oddVBand="0" w:evenVBand="0" w:oddHBand="0" w:evenHBand="1" w:firstRowFirstColumn="0" w:firstRowLastColumn="0" w:lastRowFirstColumn="0" w:lastRowLastColumn="0"/>
            </w:pPr>
            <w:r w:rsidRPr="00231C93">
              <w:t>1.65</w:t>
            </w:r>
          </w:p>
        </w:tc>
        <w:tc>
          <w:tcPr>
            <w:tcW w:w="731" w:type="pct"/>
            <w:tcBorders>
              <w:top w:val="single" w:sz="4" w:space="0" w:color="FFFFFF" w:themeColor="background1"/>
              <w:bottom w:val="single" w:sz="8" w:space="0" w:color="002C77" w:themeColor="text1"/>
            </w:tcBorders>
            <w:shd w:val="clear" w:color="auto" w:fill="F2F2F2"/>
          </w:tcPr>
          <w:p w14:paraId="0EB3FF1A" w14:textId="0843E6FA" w:rsidR="00231C93" w:rsidRPr="00231C93" w:rsidRDefault="00231C93" w:rsidP="00231C93">
            <w:pPr>
              <w:keepNext/>
              <w:adjustRightInd w:val="0"/>
              <w:jc w:val="right"/>
              <w:cnfStyle w:val="000000010000" w:firstRow="0" w:lastRow="0" w:firstColumn="0" w:lastColumn="0" w:oddVBand="0" w:evenVBand="0" w:oddHBand="0" w:evenHBand="1" w:firstRowFirstColumn="0" w:firstRowLastColumn="0" w:lastRowFirstColumn="0" w:lastRowLastColumn="0"/>
            </w:pPr>
            <w:r w:rsidRPr="00231C93">
              <w:t>0.68</w:t>
            </w:r>
          </w:p>
        </w:tc>
        <w:tc>
          <w:tcPr>
            <w:tcW w:w="723" w:type="pct"/>
            <w:tcBorders>
              <w:top w:val="single" w:sz="4" w:space="0" w:color="FFFFFF" w:themeColor="background1"/>
              <w:bottom w:val="single" w:sz="8" w:space="0" w:color="002C77" w:themeColor="text1"/>
            </w:tcBorders>
            <w:shd w:val="clear" w:color="auto" w:fill="F2F2F2"/>
          </w:tcPr>
          <w:p w14:paraId="2A4E35A1" w14:textId="29686DBA" w:rsidR="00231C93" w:rsidRPr="00231C93" w:rsidRDefault="00231C93" w:rsidP="00231C93">
            <w:pPr>
              <w:keepNext/>
              <w:adjustRightInd w:val="0"/>
              <w:jc w:val="right"/>
              <w:cnfStyle w:val="000000010000" w:firstRow="0" w:lastRow="0" w:firstColumn="0" w:lastColumn="0" w:oddVBand="0" w:evenVBand="0" w:oddHBand="0" w:evenHBand="1" w:firstRowFirstColumn="0" w:firstRowLastColumn="0" w:lastRowFirstColumn="0" w:lastRowLastColumn="0"/>
            </w:pPr>
            <w:r w:rsidRPr="00231C93">
              <w:t>4.01</w:t>
            </w:r>
          </w:p>
        </w:tc>
        <w:tc>
          <w:tcPr>
            <w:tcW w:w="520" w:type="pct"/>
            <w:tcBorders>
              <w:top w:val="single" w:sz="4" w:space="0" w:color="FFFFFF" w:themeColor="background1"/>
              <w:bottom w:val="single" w:sz="8" w:space="0" w:color="002C77" w:themeColor="text1"/>
            </w:tcBorders>
            <w:shd w:val="clear" w:color="auto" w:fill="F2F2F2"/>
          </w:tcPr>
          <w:p w14:paraId="156C2946" w14:textId="718CA68F" w:rsidR="00231C93" w:rsidRPr="00231C93" w:rsidRDefault="00231C93" w:rsidP="00231C93">
            <w:pPr>
              <w:keepNext/>
              <w:adjustRightInd w:val="0"/>
              <w:jc w:val="right"/>
              <w:cnfStyle w:val="000000010000" w:firstRow="0" w:lastRow="0" w:firstColumn="0" w:lastColumn="0" w:oddVBand="0" w:evenVBand="0" w:oddHBand="0" w:evenHBand="1" w:firstRowFirstColumn="0" w:firstRowLastColumn="0" w:lastRowFirstColumn="0" w:lastRowLastColumn="0"/>
            </w:pPr>
            <w:r w:rsidRPr="00231C93">
              <w:t>NS</w:t>
            </w:r>
          </w:p>
        </w:tc>
      </w:tr>
      <w:tr w:rsidR="00231C93" w:rsidRPr="00231C93" w14:paraId="15EA9EFB" w14:textId="77777777" w:rsidTr="0009420F">
        <w:tc>
          <w:tcPr>
            <w:cnfStyle w:val="001000000000" w:firstRow="0" w:lastRow="0" w:firstColumn="1" w:lastColumn="0" w:oddVBand="0" w:evenVBand="0" w:oddHBand="0" w:evenHBand="0" w:firstRowFirstColumn="0" w:firstRowLastColumn="0" w:lastRowFirstColumn="0" w:lastRowLastColumn="0"/>
            <w:tcW w:w="1587" w:type="pct"/>
            <w:tcBorders>
              <w:top w:val="single" w:sz="8" w:space="0" w:color="002C77" w:themeColor="text1"/>
              <w:bottom w:val="single" w:sz="4" w:space="0" w:color="FFFFFF" w:themeColor="background1"/>
            </w:tcBorders>
            <w:shd w:val="clear" w:color="auto" w:fill="F2F2F2"/>
          </w:tcPr>
          <w:p w14:paraId="26FE762E" w14:textId="4ECBDB21" w:rsidR="00231C93" w:rsidRPr="00231C93" w:rsidRDefault="00231C93" w:rsidP="00231C93">
            <w:pPr>
              <w:pStyle w:val="TableText"/>
              <w:rPr>
                <w:b w:val="0"/>
              </w:rPr>
            </w:pPr>
            <w:r w:rsidRPr="00231C93">
              <w:rPr>
                <w:b w:val="0"/>
              </w:rPr>
              <w:t>Prescriptions Delivered</w:t>
            </w:r>
          </w:p>
        </w:tc>
        <w:tc>
          <w:tcPr>
            <w:tcW w:w="744" w:type="pct"/>
            <w:tcBorders>
              <w:top w:val="single" w:sz="8" w:space="0" w:color="002C77" w:themeColor="text1"/>
              <w:bottom w:val="single" w:sz="4" w:space="0" w:color="FFFFFF" w:themeColor="background1"/>
            </w:tcBorders>
            <w:shd w:val="clear" w:color="auto" w:fill="F2F2F2"/>
          </w:tcPr>
          <w:p w14:paraId="0B088361" w14:textId="405902AE" w:rsidR="00231C93" w:rsidRPr="00231C93" w:rsidRDefault="00231C93" w:rsidP="00231C93">
            <w:pPr>
              <w:keepNext/>
              <w:adjustRightInd w:val="0"/>
              <w:cnfStyle w:val="000000000000" w:firstRow="0" w:lastRow="0" w:firstColumn="0" w:lastColumn="0" w:oddVBand="0" w:evenVBand="0" w:oddHBand="0" w:evenHBand="0" w:firstRowFirstColumn="0" w:firstRowLastColumn="0" w:lastRowFirstColumn="0" w:lastRowLastColumn="0"/>
            </w:pPr>
            <w:r w:rsidRPr="00231C93">
              <w:t>No</w:t>
            </w:r>
          </w:p>
        </w:tc>
        <w:tc>
          <w:tcPr>
            <w:tcW w:w="695" w:type="pct"/>
            <w:tcBorders>
              <w:top w:val="single" w:sz="8" w:space="0" w:color="002C77" w:themeColor="text1"/>
              <w:bottom w:val="single" w:sz="4" w:space="0" w:color="FFFFFF" w:themeColor="background1"/>
            </w:tcBorders>
            <w:shd w:val="clear" w:color="auto" w:fill="F2F2F2"/>
          </w:tcPr>
          <w:p w14:paraId="60A4CA59" w14:textId="314DB40C" w:rsidR="00231C93" w:rsidRPr="00231C93" w:rsidRDefault="00231C93" w:rsidP="00231C93">
            <w:pPr>
              <w:keepNext/>
              <w:adjustRightInd w:val="0"/>
              <w:jc w:val="right"/>
              <w:cnfStyle w:val="000000000000" w:firstRow="0" w:lastRow="0" w:firstColumn="0" w:lastColumn="0" w:oddVBand="0" w:evenVBand="0" w:oddHBand="0" w:evenHBand="0" w:firstRowFirstColumn="0" w:firstRowLastColumn="0" w:lastRowFirstColumn="0" w:lastRowLastColumn="0"/>
            </w:pPr>
            <w:r w:rsidRPr="00231C93">
              <w:t>1.16</w:t>
            </w:r>
          </w:p>
        </w:tc>
        <w:tc>
          <w:tcPr>
            <w:tcW w:w="731" w:type="pct"/>
            <w:tcBorders>
              <w:top w:val="single" w:sz="8" w:space="0" w:color="002C77" w:themeColor="text1"/>
              <w:bottom w:val="single" w:sz="4" w:space="0" w:color="FFFFFF" w:themeColor="background1"/>
            </w:tcBorders>
            <w:shd w:val="clear" w:color="auto" w:fill="F2F2F2"/>
          </w:tcPr>
          <w:p w14:paraId="2CF39552" w14:textId="7C447472" w:rsidR="00231C93" w:rsidRPr="00231C93" w:rsidRDefault="00231C93" w:rsidP="00231C93">
            <w:pPr>
              <w:keepNext/>
              <w:adjustRightInd w:val="0"/>
              <w:jc w:val="right"/>
              <w:cnfStyle w:val="000000000000" w:firstRow="0" w:lastRow="0" w:firstColumn="0" w:lastColumn="0" w:oddVBand="0" w:evenVBand="0" w:oddHBand="0" w:evenHBand="0" w:firstRowFirstColumn="0" w:firstRowLastColumn="0" w:lastRowFirstColumn="0" w:lastRowLastColumn="0"/>
            </w:pPr>
            <w:r w:rsidRPr="00231C93">
              <w:t>0.99</w:t>
            </w:r>
          </w:p>
        </w:tc>
        <w:tc>
          <w:tcPr>
            <w:tcW w:w="723" w:type="pct"/>
            <w:tcBorders>
              <w:top w:val="single" w:sz="8" w:space="0" w:color="002C77" w:themeColor="text1"/>
              <w:bottom w:val="single" w:sz="4" w:space="0" w:color="FFFFFF" w:themeColor="background1"/>
            </w:tcBorders>
            <w:shd w:val="clear" w:color="auto" w:fill="F2F2F2"/>
          </w:tcPr>
          <w:p w14:paraId="17B42E3A" w14:textId="12D85CA1" w:rsidR="00231C93" w:rsidRPr="00231C93" w:rsidRDefault="00231C93" w:rsidP="00231C93">
            <w:pPr>
              <w:keepNext/>
              <w:adjustRightInd w:val="0"/>
              <w:jc w:val="right"/>
              <w:cnfStyle w:val="000000000000" w:firstRow="0" w:lastRow="0" w:firstColumn="0" w:lastColumn="0" w:oddVBand="0" w:evenVBand="0" w:oddHBand="0" w:evenHBand="0" w:firstRowFirstColumn="0" w:firstRowLastColumn="0" w:lastRowFirstColumn="0" w:lastRowLastColumn="0"/>
            </w:pPr>
            <w:r w:rsidRPr="00231C93">
              <w:t>1.35</w:t>
            </w:r>
          </w:p>
        </w:tc>
        <w:tc>
          <w:tcPr>
            <w:tcW w:w="520" w:type="pct"/>
            <w:tcBorders>
              <w:top w:val="single" w:sz="8" w:space="0" w:color="002C77" w:themeColor="text1"/>
              <w:bottom w:val="single" w:sz="4" w:space="0" w:color="FFFFFF" w:themeColor="background1"/>
            </w:tcBorders>
            <w:shd w:val="clear" w:color="auto" w:fill="F2F2F2"/>
          </w:tcPr>
          <w:p w14:paraId="765E2CD3" w14:textId="1C9C424A" w:rsidR="00231C93" w:rsidRPr="00231C93" w:rsidRDefault="00231C93" w:rsidP="00231C93">
            <w:pPr>
              <w:keepNext/>
              <w:adjustRightInd w:val="0"/>
              <w:jc w:val="right"/>
              <w:cnfStyle w:val="000000000000" w:firstRow="0" w:lastRow="0" w:firstColumn="0" w:lastColumn="0" w:oddVBand="0" w:evenVBand="0" w:oddHBand="0" w:evenHBand="0" w:firstRowFirstColumn="0" w:firstRowLastColumn="0" w:lastRowFirstColumn="0" w:lastRowLastColumn="0"/>
            </w:pPr>
            <w:r w:rsidRPr="00231C93">
              <w:t>NS</w:t>
            </w:r>
          </w:p>
        </w:tc>
      </w:tr>
      <w:tr w:rsidR="00231C93" w:rsidRPr="00231C93" w14:paraId="2C79BAEA" w14:textId="77777777" w:rsidTr="000942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7" w:type="pct"/>
            <w:tcBorders>
              <w:top w:val="single" w:sz="4" w:space="0" w:color="FFFFFF" w:themeColor="background1"/>
              <w:bottom w:val="single" w:sz="8" w:space="0" w:color="002C77" w:themeColor="text1"/>
            </w:tcBorders>
            <w:shd w:val="clear" w:color="auto" w:fill="F2F2F2"/>
          </w:tcPr>
          <w:p w14:paraId="5676A8E1" w14:textId="720031CA" w:rsidR="00231C93" w:rsidRPr="00231C93" w:rsidRDefault="00231C93" w:rsidP="00231C93">
            <w:pPr>
              <w:pStyle w:val="TableText"/>
              <w:rPr>
                <w:b w:val="0"/>
              </w:rPr>
            </w:pPr>
            <w:r w:rsidRPr="00231C93">
              <w:rPr>
                <w:b w:val="0"/>
              </w:rPr>
              <w:t>Prescriptions Delivered</w:t>
            </w:r>
          </w:p>
        </w:tc>
        <w:tc>
          <w:tcPr>
            <w:tcW w:w="744" w:type="pct"/>
            <w:tcBorders>
              <w:top w:val="single" w:sz="4" w:space="0" w:color="FFFFFF" w:themeColor="background1"/>
              <w:bottom w:val="single" w:sz="8" w:space="0" w:color="002C77" w:themeColor="text1"/>
            </w:tcBorders>
            <w:shd w:val="clear" w:color="auto" w:fill="F2F2F2"/>
          </w:tcPr>
          <w:p w14:paraId="2139B35B" w14:textId="108741B2" w:rsidR="00231C93" w:rsidRPr="00231C93" w:rsidRDefault="00231C93" w:rsidP="00231C93">
            <w:pPr>
              <w:adjustRightInd w:val="0"/>
              <w:cnfStyle w:val="000000010000" w:firstRow="0" w:lastRow="0" w:firstColumn="0" w:lastColumn="0" w:oddVBand="0" w:evenVBand="0" w:oddHBand="0" w:evenHBand="1" w:firstRowFirstColumn="0" w:firstRowLastColumn="0" w:lastRowFirstColumn="0" w:lastRowLastColumn="0"/>
            </w:pPr>
            <w:r w:rsidRPr="00231C93">
              <w:t>Yes</w:t>
            </w:r>
          </w:p>
        </w:tc>
        <w:tc>
          <w:tcPr>
            <w:tcW w:w="695" w:type="pct"/>
            <w:tcBorders>
              <w:top w:val="single" w:sz="4" w:space="0" w:color="FFFFFF" w:themeColor="background1"/>
              <w:bottom w:val="single" w:sz="8" w:space="0" w:color="002C77" w:themeColor="text1"/>
            </w:tcBorders>
            <w:shd w:val="clear" w:color="auto" w:fill="F2F2F2"/>
          </w:tcPr>
          <w:p w14:paraId="3DA267F3" w14:textId="0FB4061A" w:rsidR="00231C93" w:rsidRPr="00231C93" w:rsidRDefault="00231C93" w:rsidP="00231C93">
            <w:pPr>
              <w:keepNext/>
              <w:adjustRightInd w:val="0"/>
              <w:jc w:val="right"/>
              <w:cnfStyle w:val="000000010000" w:firstRow="0" w:lastRow="0" w:firstColumn="0" w:lastColumn="0" w:oddVBand="0" w:evenVBand="0" w:oddHBand="0" w:evenHBand="1" w:firstRowFirstColumn="0" w:firstRowLastColumn="0" w:lastRowFirstColumn="0" w:lastRowLastColumn="0"/>
            </w:pPr>
            <w:r w:rsidRPr="00231C93">
              <w:t>Base</w:t>
            </w:r>
          </w:p>
        </w:tc>
        <w:tc>
          <w:tcPr>
            <w:tcW w:w="731" w:type="pct"/>
            <w:tcBorders>
              <w:top w:val="single" w:sz="4" w:space="0" w:color="FFFFFF" w:themeColor="background1"/>
              <w:bottom w:val="single" w:sz="8" w:space="0" w:color="002C77" w:themeColor="text1"/>
            </w:tcBorders>
            <w:shd w:val="clear" w:color="auto" w:fill="F2F2F2"/>
          </w:tcPr>
          <w:p w14:paraId="1A7AB078" w14:textId="1D2F41AD" w:rsidR="00231C93" w:rsidRPr="00231C93" w:rsidRDefault="00231C93" w:rsidP="00231C93">
            <w:pPr>
              <w:keepNext/>
              <w:adjustRightInd w:val="0"/>
              <w:jc w:val="right"/>
              <w:cnfStyle w:val="000000010000" w:firstRow="0" w:lastRow="0" w:firstColumn="0" w:lastColumn="0" w:oddVBand="0" w:evenVBand="0" w:oddHBand="0" w:evenHBand="1" w:firstRowFirstColumn="0" w:firstRowLastColumn="0" w:lastRowFirstColumn="0" w:lastRowLastColumn="0"/>
            </w:pPr>
            <w:r w:rsidRPr="00231C93">
              <w:t>1.00</w:t>
            </w:r>
          </w:p>
        </w:tc>
        <w:tc>
          <w:tcPr>
            <w:tcW w:w="723" w:type="pct"/>
            <w:tcBorders>
              <w:top w:val="single" w:sz="4" w:space="0" w:color="FFFFFF" w:themeColor="background1"/>
              <w:bottom w:val="single" w:sz="8" w:space="0" w:color="002C77" w:themeColor="text1"/>
            </w:tcBorders>
            <w:shd w:val="clear" w:color="auto" w:fill="F2F2F2"/>
          </w:tcPr>
          <w:p w14:paraId="6FD0A13D" w14:textId="03092786" w:rsidR="00231C93" w:rsidRPr="00231C93" w:rsidRDefault="00231C93" w:rsidP="00231C93">
            <w:pPr>
              <w:keepNext/>
              <w:adjustRightInd w:val="0"/>
              <w:jc w:val="right"/>
              <w:cnfStyle w:val="000000010000" w:firstRow="0" w:lastRow="0" w:firstColumn="0" w:lastColumn="0" w:oddVBand="0" w:evenVBand="0" w:oddHBand="0" w:evenHBand="1" w:firstRowFirstColumn="0" w:firstRowLastColumn="0" w:lastRowFirstColumn="0" w:lastRowLastColumn="0"/>
            </w:pPr>
            <w:r w:rsidRPr="00231C93">
              <w:t>1.00</w:t>
            </w:r>
          </w:p>
        </w:tc>
        <w:tc>
          <w:tcPr>
            <w:tcW w:w="520" w:type="pct"/>
            <w:tcBorders>
              <w:top w:val="single" w:sz="4" w:space="0" w:color="FFFFFF" w:themeColor="background1"/>
              <w:bottom w:val="single" w:sz="8" w:space="0" w:color="002C77" w:themeColor="text1"/>
            </w:tcBorders>
            <w:shd w:val="clear" w:color="auto" w:fill="F2F2F2"/>
          </w:tcPr>
          <w:p w14:paraId="31C6A376" w14:textId="113DE632" w:rsidR="00231C93" w:rsidRPr="00231C93" w:rsidRDefault="00231C93" w:rsidP="00231C93">
            <w:pPr>
              <w:keepNext/>
              <w:adjustRightInd w:val="0"/>
              <w:jc w:val="right"/>
              <w:cnfStyle w:val="000000010000" w:firstRow="0" w:lastRow="0" w:firstColumn="0" w:lastColumn="0" w:oddVBand="0" w:evenVBand="0" w:oddHBand="0" w:evenHBand="1" w:firstRowFirstColumn="0" w:firstRowLastColumn="0" w:lastRowFirstColumn="0" w:lastRowLastColumn="0"/>
            </w:pPr>
          </w:p>
        </w:tc>
      </w:tr>
      <w:tr w:rsidR="00231C93" w:rsidRPr="00231C93" w14:paraId="13F0F112" w14:textId="77777777" w:rsidTr="0009420F">
        <w:tc>
          <w:tcPr>
            <w:cnfStyle w:val="001000000000" w:firstRow="0" w:lastRow="0" w:firstColumn="1" w:lastColumn="0" w:oddVBand="0" w:evenVBand="0" w:oddHBand="0" w:evenHBand="0" w:firstRowFirstColumn="0" w:firstRowLastColumn="0" w:lastRowFirstColumn="0" w:lastRowLastColumn="0"/>
            <w:tcW w:w="1587" w:type="pct"/>
            <w:tcBorders>
              <w:top w:val="single" w:sz="8" w:space="0" w:color="002C77" w:themeColor="text1"/>
            </w:tcBorders>
            <w:shd w:val="clear" w:color="auto" w:fill="F2F2F2"/>
          </w:tcPr>
          <w:p w14:paraId="55045CB4" w14:textId="77777777" w:rsidR="00231C93" w:rsidRPr="00231C93" w:rsidRDefault="00231C93" w:rsidP="00231C93">
            <w:pPr>
              <w:pStyle w:val="TableText"/>
              <w:rPr>
                <w:b w:val="0"/>
              </w:rPr>
            </w:pPr>
            <w:r w:rsidRPr="00231C93">
              <w:rPr>
                <w:b w:val="0"/>
              </w:rPr>
              <w:t>Years In Business</w:t>
            </w:r>
          </w:p>
        </w:tc>
        <w:tc>
          <w:tcPr>
            <w:tcW w:w="744" w:type="pct"/>
            <w:tcBorders>
              <w:top w:val="single" w:sz="8" w:space="0" w:color="002C77" w:themeColor="text1"/>
            </w:tcBorders>
            <w:shd w:val="clear" w:color="auto" w:fill="F2F2F2"/>
          </w:tcPr>
          <w:p w14:paraId="236539FD" w14:textId="77777777" w:rsidR="00231C93" w:rsidRPr="00231C93" w:rsidRDefault="00231C93" w:rsidP="00231C93">
            <w:pPr>
              <w:keepNext/>
              <w:adjustRightInd w:val="0"/>
              <w:cnfStyle w:val="000000000000" w:firstRow="0" w:lastRow="0" w:firstColumn="0" w:lastColumn="0" w:oddVBand="0" w:evenVBand="0" w:oddHBand="0" w:evenHBand="0" w:firstRowFirstColumn="0" w:firstRowLastColumn="0" w:lastRowFirstColumn="0" w:lastRowLastColumn="0"/>
            </w:pPr>
            <w:r w:rsidRPr="00231C93">
              <w:t>0–11.99</w:t>
            </w:r>
          </w:p>
        </w:tc>
        <w:tc>
          <w:tcPr>
            <w:tcW w:w="695" w:type="pct"/>
            <w:tcBorders>
              <w:top w:val="single" w:sz="8" w:space="0" w:color="002C77" w:themeColor="text1"/>
            </w:tcBorders>
            <w:shd w:val="clear" w:color="auto" w:fill="F2F2F2"/>
          </w:tcPr>
          <w:p w14:paraId="7D6E5528" w14:textId="02825DBA" w:rsidR="00231C93" w:rsidRPr="00231C93" w:rsidRDefault="00231C93" w:rsidP="00231C93">
            <w:pPr>
              <w:keepNext/>
              <w:adjustRightInd w:val="0"/>
              <w:jc w:val="right"/>
              <w:cnfStyle w:val="000000000000" w:firstRow="0" w:lastRow="0" w:firstColumn="0" w:lastColumn="0" w:oddVBand="0" w:evenVBand="0" w:oddHBand="0" w:evenHBand="0" w:firstRowFirstColumn="0" w:firstRowLastColumn="0" w:lastRowFirstColumn="0" w:lastRowLastColumn="0"/>
            </w:pPr>
            <w:r w:rsidRPr="00231C93">
              <w:t>1.03</w:t>
            </w:r>
          </w:p>
        </w:tc>
        <w:tc>
          <w:tcPr>
            <w:tcW w:w="731" w:type="pct"/>
            <w:tcBorders>
              <w:top w:val="single" w:sz="8" w:space="0" w:color="002C77" w:themeColor="text1"/>
            </w:tcBorders>
            <w:shd w:val="clear" w:color="auto" w:fill="F2F2F2"/>
          </w:tcPr>
          <w:p w14:paraId="0CC5CCDB" w14:textId="196B40FC" w:rsidR="00231C93" w:rsidRPr="00231C93" w:rsidRDefault="00231C93" w:rsidP="00231C93">
            <w:pPr>
              <w:keepNext/>
              <w:adjustRightInd w:val="0"/>
              <w:jc w:val="right"/>
              <w:cnfStyle w:val="000000000000" w:firstRow="0" w:lastRow="0" w:firstColumn="0" w:lastColumn="0" w:oddVBand="0" w:evenVBand="0" w:oddHBand="0" w:evenHBand="0" w:firstRowFirstColumn="0" w:firstRowLastColumn="0" w:lastRowFirstColumn="0" w:lastRowLastColumn="0"/>
            </w:pPr>
            <w:r w:rsidRPr="00231C93">
              <w:t>0.85</w:t>
            </w:r>
          </w:p>
        </w:tc>
        <w:tc>
          <w:tcPr>
            <w:tcW w:w="723" w:type="pct"/>
            <w:tcBorders>
              <w:top w:val="single" w:sz="8" w:space="0" w:color="002C77" w:themeColor="text1"/>
            </w:tcBorders>
            <w:shd w:val="clear" w:color="auto" w:fill="F2F2F2"/>
          </w:tcPr>
          <w:p w14:paraId="1B50A1A3" w14:textId="5DE6CE53" w:rsidR="00231C93" w:rsidRPr="00231C93" w:rsidRDefault="00231C93" w:rsidP="00231C93">
            <w:pPr>
              <w:keepNext/>
              <w:adjustRightInd w:val="0"/>
              <w:jc w:val="right"/>
              <w:cnfStyle w:val="000000000000" w:firstRow="0" w:lastRow="0" w:firstColumn="0" w:lastColumn="0" w:oddVBand="0" w:evenVBand="0" w:oddHBand="0" w:evenHBand="0" w:firstRowFirstColumn="0" w:firstRowLastColumn="0" w:lastRowFirstColumn="0" w:lastRowLastColumn="0"/>
            </w:pPr>
            <w:r w:rsidRPr="00231C93">
              <w:t>1.24</w:t>
            </w:r>
          </w:p>
        </w:tc>
        <w:tc>
          <w:tcPr>
            <w:tcW w:w="520" w:type="pct"/>
            <w:tcBorders>
              <w:top w:val="single" w:sz="8" w:space="0" w:color="002C77" w:themeColor="text1"/>
            </w:tcBorders>
            <w:shd w:val="clear" w:color="auto" w:fill="F2F2F2"/>
          </w:tcPr>
          <w:p w14:paraId="7F55A6E7" w14:textId="07D675D1" w:rsidR="00231C93" w:rsidRPr="00231C93" w:rsidRDefault="00231C93" w:rsidP="00231C93">
            <w:pPr>
              <w:keepNext/>
              <w:adjustRightInd w:val="0"/>
              <w:jc w:val="right"/>
              <w:cnfStyle w:val="000000000000" w:firstRow="0" w:lastRow="0" w:firstColumn="0" w:lastColumn="0" w:oddVBand="0" w:evenVBand="0" w:oddHBand="0" w:evenHBand="0" w:firstRowFirstColumn="0" w:firstRowLastColumn="0" w:lastRowFirstColumn="0" w:lastRowLastColumn="0"/>
            </w:pPr>
            <w:r w:rsidRPr="00231C93">
              <w:t>NS</w:t>
            </w:r>
          </w:p>
        </w:tc>
      </w:tr>
      <w:tr w:rsidR="00231C93" w:rsidRPr="00231C93" w14:paraId="31307208" w14:textId="77777777" w:rsidTr="000942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7" w:type="pct"/>
            <w:tcBorders>
              <w:bottom w:val="single" w:sz="4" w:space="0" w:color="FFFFFF" w:themeColor="background1"/>
            </w:tcBorders>
            <w:shd w:val="clear" w:color="auto" w:fill="F2F2F2"/>
          </w:tcPr>
          <w:p w14:paraId="1D5CEA7A" w14:textId="330AA33F" w:rsidR="00231C93" w:rsidRPr="00231C93" w:rsidRDefault="00231C93" w:rsidP="00231C93">
            <w:pPr>
              <w:pStyle w:val="TableText"/>
              <w:rPr>
                <w:b w:val="0"/>
              </w:rPr>
            </w:pPr>
            <w:r w:rsidRPr="00231C93">
              <w:rPr>
                <w:b w:val="0"/>
              </w:rPr>
              <w:t>Years In Business</w:t>
            </w:r>
          </w:p>
        </w:tc>
        <w:tc>
          <w:tcPr>
            <w:tcW w:w="744" w:type="pct"/>
            <w:tcBorders>
              <w:bottom w:val="single" w:sz="4" w:space="0" w:color="FFFFFF" w:themeColor="background1"/>
            </w:tcBorders>
            <w:shd w:val="clear" w:color="auto" w:fill="F2F2F2"/>
          </w:tcPr>
          <w:p w14:paraId="109C00DF" w14:textId="77777777" w:rsidR="00231C93" w:rsidRPr="00231C93" w:rsidRDefault="00231C93" w:rsidP="00231C93">
            <w:pPr>
              <w:keepNext/>
              <w:adjustRightInd w:val="0"/>
              <w:cnfStyle w:val="000000010000" w:firstRow="0" w:lastRow="0" w:firstColumn="0" w:lastColumn="0" w:oddVBand="0" w:evenVBand="0" w:oddHBand="0" w:evenHBand="1" w:firstRowFirstColumn="0" w:firstRowLastColumn="0" w:lastRowFirstColumn="0" w:lastRowLastColumn="0"/>
            </w:pPr>
            <w:r w:rsidRPr="00231C93">
              <w:t>12–24.99</w:t>
            </w:r>
          </w:p>
        </w:tc>
        <w:tc>
          <w:tcPr>
            <w:tcW w:w="695" w:type="pct"/>
            <w:tcBorders>
              <w:bottom w:val="single" w:sz="4" w:space="0" w:color="FFFFFF" w:themeColor="background1"/>
            </w:tcBorders>
            <w:shd w:val="clear" w:color="auto" w:fill="F2F2F2"/>
          </w:tcPr>
          <w:p w14:paraId="4BDA277A" w14:textId="4C07D328" w:rsidR="00231C93" w:rsidRPr="00231C93" w:rsidRDefault="00231C93" w:rsidP="00231C93">
            <w:pPr>
              <w:keepNext/>
              <w:adjustRightInd w:val="0"/>
              <w:jc w:val="right"/>
              <w:cnfStyle w:val="000000010000" w:firstRow="0" w:lastRow="0" w:firstColumn="0" w:lastColumn="0" w:oddVBand="0" w:evenVBand="0" w:oddHBand="0" w:evenHBand="1" w:firstRowFirstColumn="0" w:firstRowLastColumn="0" w:lastRowFirstColumn="0" w:lastRowLastColumn="0"/>
            </w:pPr>
            <w:r w:rsidRPr="00231C93">
              <w:t>Base</w:t>
            </w:r>
          </w:p>
        </w:tc>
        <w:tc>
          <w:tcPr>
            <w:tcW w:w="731" w:type="pct"/>
            <w:tcBorders>
              <w:bottom w:val="single" w:sz="4" w:space="0" w:color="FFFFFF" w:themeColor="background1"/>
            </w:tcBorders>
            <w:shd w:val="clear" w:color="auto" w:fill="F2F2F2"/>
          </w:tcPr>
          <w:p w14:paraId="0B296391" w14:textId="21B2FF69" w:rsidR="00231C93" w:rsidRPr="00231C93" w:rsidRDefault="00231C93" w:rsidP="00231C93">
            <w:pPr>
              <w:keepNext/>
              <w:adjustRightInd w:val="0"/>
              <w:jc w:val="right"/>
              <w:cnfStyle w:val="000000010000" w:firstRow="0" w:lastRow="0" w:firstColumn="0" w:lastColumn="0" w:oddVBand="0" w:evenVBand="0" w:oddHBand="0" w:evenHBand="1" w:firstRowFirstColumn="0" w:firstRowLastColumn="0" w:lastRowFirstColumn="0" w:lastRowLastColumn="0"/>
            </w:pPr>
            <w:r w:rsidRPr="00231C93">
              <w:t>1.00</w:t>
            </w:r>
          </w:p>
        </w:tc>
        <w:tc>
          <w:tcPr>
            <w:tcW w:w="723" w:type="pct"/>
            <w:tcBorders>
              <w:bottom w:val="single" w:sz="4" w:space="0" w:color="FFFFFF" w:themeColor="background1"/>
            </w:tcBorders>
            <w:shd w:val="clear" w:color="auto" w:fill="F2F2F2"/>
          </w:tcPr>
          <w:p w14:paraId="4DDD68E6" w14:textId="0E607A28" w:rsidR="00231C93" w:rsidRPr="00231C93" w:rsidRDefault="00231C93" w:rsidP="00231C93">
            <w:pPr>
              <w:keepNext/>
              <w:adjustRightInd w:val="0"/>
              <w:jc w:val="right"/>
              <w:cnfStyle w:val="000000010000" w:firstRow="0" w:lastRow="0" w:firstColumn="0" w:lastColumn="0" w:oddVBand="0" w:evenVBand="0" w:oddHBand="0" w:evenHBand="1" w:firstRowFirstColumn="0" w:firstRowLastColumn="0" w:lastRowFirstColumn="0" w:lastRowLastColumn="0"/>
            </w:pPr>
            <w:r w:rsidRPr="00231C93">
              <w:t>1.00</w:t>
            </w:r>
          </w:p>
        </w:tc>
        <w:tc>
          <w:tcPr>
            <w:tcW w:w="520" w:type="pct"/>
            <w:tcBorders>
              <w:bottom w:val="single" w:sz="4" w:space="0" w:color="FFFFFF" w:themeColor="background1"/>
            </w:tcBorders>
            <w:shd w:val="clear" w:color="auto" w:fill="F2F2F2"/>
          </w:tcPr>
          <w:p w14:paraId="420E1460" w14:textId="77777777" w:rsidR="00231C93" w:rsidRPr="00231C93" w:rsidRDefault="00231C93" w:rsidP="00231C93">
            <w:pPr>
              <w:keepNext/>
              <w:adjustRightInd w:val="0"/>
              <w:jc w:val="right"/>
              <w:cnfStyle w:val="000000010000" w:firstRow="0" w:lastRow="0" w:firstColumn="0" w:lastColumn="0" w:oddVBand="0" w:evenVBand="0" w:oddHBand="0" w:evenHBand="1" w:firstRowFirstColumn="0" w:firstRowLastColumn="0" w:lastRowFirstColumn="0" w:lastRowLastColumn="0"/>
            </w:pPr>
          </w:p>
        </w:tc>
      </w:tr>
      <w:tr w:rsidR="00231C93" w:rsidRPr="00231C93" w14:paraId="0D22D07E" w14:textId="77777777" w:rsidTr="0009420F">
        <w:tc>
          <w:tcPr>
            <w:cnfStyle w:val="001000000000" w:firstRow="0" w:lastRow="0" w:firstColumn="1" w:lastColumn="0" w:oddVBand="0" w:evenVBand="0" w:oddHBand="0" w:evenHBand="0" w:firstRowFirstColumn="0" w:firstRowLastColumn="0" w:lastRowFirstColumn="0" w:lastRowLastColumn="0"/>
            <w:tcW w:w="1587" w:type="pct"/>
            <w:tcBorders>
              <w:top w:val="single" w:sz="4" w:space="0" w:color="FFFFFF" w:themeColor="background1"/>
              <w:bottom w:val="single" w:sz="8" w:space="0" w:color="002C77" w:themeColor="text1"/>
            </w:tcBorders>
            <w:shd w:val="clear" w:color="auto" w:fill="F2F2F2"/>
          </w:tcPr>
          <w:p w14:paraId="2A935780" w14:textId="08B5B557" w:rsidR="00231C93" w:rsidRPr="00231C93" w:rsidRDefault="00231C93" w:rsidP="00231C93">
            <w:pPr>
              <w:pStyle w:val="TableText"/>
              <w:rPr>
                <w:b w:val="0"/>
              </w:rPr>
            </w:pPr>
            <w:r w:rsidRPr="00231C93">
              <w:rPr>
                <w:b w:val="0"/>
              </w:rPr>
              <w:t>Years In Business</w:t>
            </w:r>
          </w:p>
        </w:tc>
        <w:tc>
          <w:tcPr>
            <w:tcW w:w="744" w:type="pct"/>
            <w:tcBorders>
              <w:top w:val="single" w:sz="4" w:space="0" w:color="FFFFFF" w:themeColor="background1"/>
              <w:bottom w:val="single" w:sz="8" w:space="0" w:color="002C77" w:themeColor="text1"/>
            </w:tcBorders>
            <w:shd w:val="clear" w:color="auto" w:fill="F2F2F2"/>
          </w:tcPr>
          <w:p w14:paraId="7190A4FC" w14:textId="77777777" w:rsidR="00231C93" w:rsidRPr="00231C93" w:rsidRDefault="00231C93" w:rsidP="00231C93">
            <w:pPr>
              <w:adjustRightInd w:val="0"/>
              <w:cnfStyle w:val="000000000000" w:firstRow="0" w:lastRow="0" w:firstColumn="0" w:lastColumn="0" w:oddVBand="0" w:evenVBand="0" w:oddHBand="0" w:evenHBand="0" w:firstRowFirstColumn="0" w:firstRowLastColumn="0" w:lastRowFirstColumn="0" w:lastRowLastColumn="0"/>
            </w:pPr>
            <w:r w:rsidRPr="00231C93">
              <w:t>25 or more</w:t>
            </w:r>
          </w:p>
        </w:tc>
        <w:tc>
          <w:tcPr>
            <w:tcW w:w="695" w:type="pct"/>
            <w:tcBorders>
              <w:top w:val="single" w:sz="4" w:space="0" w:color="FFFFFF" w:themeColor="background1"/>
              <w:bottom w:val="single" w:sz="8" w:space="0" w:color="002C77" w:themeColor="text1"/>
            </w:tcBorders>
            <w:shd w:val="clear" w:color="auto" w:fill="F2F2F2"/>
          </w:tcPr>
          <w:p w14:paraId="55164F6E" w14:textId="3F8EA3FD" w:rsidR="00231C93" w:rsidRPr="00231C93" w:rsidRDefault="00231C93" w:rsidP="00231C93">
            <w:pPr>
              <w:keepNext/>
              <w:adjustRightInd w:val="0"/>
              <w:jc w:val="right"/>
              <w:cnfStyle w:val="000000000000" w:firstRow="0" w:lastRow="0" w:firstColumn="0" w:lastColumn="0" w:oddVBand="0" w:evenVBand="0" w:oddHBand="0" w:evenHBand="0" w:firstRowFirstColumn="0" w:firstRowLastColumn="0" w:lastRowFirstColumn="0" w:lastRowLastColumn="0"/>
            </w:pPr>
            <w:r w:rsidRPr="00231C93">
              <w:t>0.95</w:t>
            </w:r>
          </w:p>
        </w:tc>
        <w:tc>
          <w:tcPr>
            <w:tcW w:w="731" w:type="pct"/>
            <w:tcBorders>
              <w:top w:val="single" w:sz="4" w:space="0" w:color="FFFFFF" w:themeColor="background1"/>
              <w:bottom w:val="single" w:sz="8" w:space="0" w:color="002C77" w:themeColor="text1"/>
            </w:tcBorders>
            <w:shd w:val="clear" w:color="auto" w:fill="F2F2F2"/>
          </w:tcPr>
          <w:p w14:paraId="53F220C7" w14:textId="55914410" w:rsidR="00231C93" w:rsidRPr="00231C93" w:rsidRDefault="00231C93" w:rsidP="00231C93">
            <w:pPr>
              <w:keepNext/>
              <w:adjustRightInd w:val="0"/>
              <w:jc w:val="right"/>
              <w:cnfStyle w:val="000000000000" w:firstRow="0" w:lastRow="0" w:firstColumn="0" w:lastColumn="0" w:oddVBand="0" w:evenVBand="0" w:oddHBand="0" w:evenHBand="0" w:firstRowFirstColumn="0" w:firstRowLastColumn="0" w:lastRowFirstColumn="0" w:lastRowLastColumn="0"/>
            </w:pPr>
            <w:r w:rsidRPr="00231C93">
              <w:t>0.80</w:t>
            </w:r>
          </w:p>
        </w:tc>
        <w:tc>
          <w:tcPr>
            <w:tcW w:w="723" w:type="pct"/>
            <w:tcBorders>
              <w:top w:val="single" w:sz="4" w:space="0" w:color="FFFFFF" w:themeColor="background1"/>
              <w:bottom w:val="single" w:sz="8" w:space="0" w:color="002C77" w:themeColor="text1"/>
            </w:tcBorders>
            <w:shd w:val="clear" w:color="auto" w:fill="F2F2F2"/>
          </w:tcPr>
          <w:p w14:paraId="0AE048C4" w14:textId="5DF89794" w:rsidR="00231C93" w:rsidRPr="00231C93" w:rsidRDefault="00231C93" w:rsidP="00231C93">
            <w:pPr>
              <w:keepNext/>
              <w:adjustRightInd w:val="0"/>
              <w:jc w:val="right"/>
              <w:cnfStyle w:val="000000000000" w:firstRow="0" w:lastRow="0" w:firstColumn="0" w:lastColumn="0" w:oddVBand="0" w:evenVBand="0" w:oddHBand="0" w:evenHBand="0" w:firstRowFirstColumn="0" w:firstRowLastColumn="0" w:lastRowFirstColumn="0" w:lastRowLastColumn="0"/>
            </w:pPr>
            <w:r w:rsidRPr="00231C93">
              <w:t>1.13</w:t>
            </w:r>
          </w:p>
        </w:tc>
        <w:tc>
          <w:tcPr>
            <w:tcW w:w="520" w:type="pct"/>
            <w:tcBorders>
              <w:top w:val="single" w:sz="4" w:space="0" w:color="FFFFFF" w:themeColor="background1"/>
              <w:bottom w:val="single" w:sz="8" w:space="0" w:color="002C77" w:themeColor="text1"/>
            </w:tcBorders>
            <w:shd w:val="clear" w:color="auto" w:fill="F2F2F2"/>
          </w:tcPr>
          <w:p w14:paraId="59542BD8" w14:textId="25B04208" w:rsidR="00231C93" w:rsidRPr="00231C93" w:rsidRDefault="00231C93" w:rsidP="00231C93">
            <w:pPr>
              <w:keepNext/>
              <w:adjustRightInd w:val="0"/>
              <w:jc w:val="right"/>
              <w:cnfStyle w:val="000000000000" w:firstRow="0" w:lastRow="0" w:firstColumn="0" w:lastColumn="0" w:oddVBand="0" w:evenVBand="0" w:oddHBand="0" w:evenHBand="0" w:firstRowFirstColumn="0" w:firstRowLastColumn="0" w:lastRowFirstColumn="0" w:lastRowLastColumn="0"/>
            </w:pPr>
            <w:r w:rsidRPr="00231C93">
              <w:t>NS</w:t>
            </w:r>
          </w:p>
        </w:tc>
      </w:tr>
      <w:tr w:rsidR="00231C93" w:rsidRPr="00231C93" w14:paraId="4E2D9FC1" w14:textId="77777777" w:rsidTr="000942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7" w:type="pct"/>
            <w:tcBorders>
              <w:top w:val="single" w:sz="8" w:space="0" w:color="002C77" w:themeColor="text1"/>
            </w:tcBorders>
            <w:shd w:val="clear" w:color="auto" w:fill="F2F2F2"/>
          </w:tcPr>
          <w:p w14:paraId="0BA52F25" w14:textId="77777777" w:rsidR="00231C93" w:rsidRPr="00231C93" w:rsidRDefault="00231C93" w:rsidP="00231C93">
            <w:pPr>
              <w:pStyle w:val="TableText"/>
              <w:rPr>
                <w:b w:val="0"/>
              </w:rPr>
            </w:pPr>
            <w:r w:rsidRPr="00231C93">
              <w:rPr>
                <w:b w:val="0"/>
              </w:rPr>
              <w:t>Hours Per Week</w:t>
            </w:r>
          </w:p>
        </w:tc>
        <w:tc>
          <w:tcPr>
            <w:tcW w:w="744" w:type="pct"/>
            <w:tcBorders>
              <w:top w:val="single" w:sz="8" w:space="0" w:color="002C77" w:themeColor="text1"/>
            </w:tcBorders>
            <w:shd w:val="clear" w:color="auto" w:fill="F2F2F2"/>
          </w:tcPr>
          <w:p w14:paraId="5B0E48D9" w14:textId="77777777" w:rsidR="00231C93" w:rsidRPr="00231C93" w:rsidRDefault="00231C93" w:rsidP="00231C93">
            <w:pPr>
              <w:keepNext/>
              <w:adjustRightInd w:val="0"/>
              <w:cnfStyle w:val="000000010000" w:firstRow="0" w:lastRow="0" w:firstColumn="0" w:lastColumn="0" w:oddVBand="0" w:evenVBand="0" w:oddHBand="0" w:evenHBand="1" w:firstRowFirstColumn="0" w:firstRowLastColumn="0" w:lastRowFirstColumn="0" w:lastRowLastColumn="0"/>
            </w:pPr>
            <w:r w:rsidRPr="00231C93">
              <w:t>0–69.99</w:t>
            </w:r>
          </w:p>
        </w:tc>
        <w:tc>
          <w:tcPr>
            <w:tcW w:w="695" w:type="pct"/>
            <w:tcBorders>
              <w:top w:val="single" w:sz="8" w:space="0" w:color="002C77" w:themeColor="text1"/>
            </w:tcBorders>
            <w:shd w:val="clear" w:color="auto" w:fill="F2F2F2"/>
          </w:tcPr>
          <w:p w14:paraId="4E0DA5B1" w14:textId="6C02B590" w:rsidR="00231C93" w:rsidRPr="00231C93" w:rsidRDefault="00231C93" w:rsidP="00231C93">
            <w:pPr>
              <w:keepNext/>
              <w:adjustRightInd w:val="0"/>
              <w:jc w:val="right"/>
              <w:cnfStyle w:val="000000010000" w:firstRow="0" w:lastRow="0" w:firstColumn="0" w:lastColumn="0" w:oddVBand="0" w:evenVBand="0" w:oddHBand="0" w:evenHBand="1" w:firstRowFirstColumn="0" w:firstRowLastColumn="0" w:lastRowFirstColumn="0" w:lastRowLastColumn="0"/>
            </w:pPr>
            <w:r w:rsidRPr="00231C93">
              <w:t>1.36</w:t>
            </w:r>
          </w:p>
        </w:tc>
        <w:tc>
          <w:tcPr>
            <w:tcW w:w="731" w:type="pct"/>
            <w:tcBorders>
              <w:top w:val="single" w:sz="8" w:space="0" w:color="002C77" w:themeColor="text1"/>
            </w:tcBorders>
            <w:shd w:val="clear" w:color="auto" w:fill="F2F2F2"/>
          </w:tcPr>
          <w:p w14:paraId="7C9A509D" w14:textId="6C7B9366" w:rsidR="00231C93" w:rsidRPr="00231C93" w:rsidRDefault="00231C93" w:rsidP="00231C93">
            <w:pPr>
              <w:keepNext/>
              <w:adjustRightInd w:val="0"/>
              <w:jc w:val="right"/>
              <w:cnfStyle w:val="000000010000" w:firstRow="0" w:lastRow="0" w:firstColumn="0" w:lastColumn="0" w:oddVBand="0" w:evenVBand="0" w:oddHBand="0" w:evenHBand="1" w:firstRowFirstColumn="0" w:firstRowLastColumn="0" w:lastRowFirstColumn="0" w:lastRowLastColumn="0"/>
            </w:pPr>
            <w:r w:rsidRPr="00231C93">
              <w:t>1.16</w:t>
            </w:r>
          </w:p>
        </w:tc>
        <w:tc>
          <w:tcPr>
            <w:tcW w:w="723" w:type="pct"/>
            <w:tcBorders>
              <w:top w:val="single" w:sz="8" w:space="0" w:color="002C77" w:themeColor="text1"/>
            </w:tcBorders>
            <w:shd w:val="clear" w:color="auto" w:fill="F2F2F2"/>
          </w:tcPr>
          <w:p w14:paraId="471384A8" w14:textId="37D87E51" w:rsidR="00231C93" w:rsidRPr="00231C93" w:rsidRDefault="00231C93" w:rsidP="00231C93">
            <w:pPr>
              <w:keepNext/>
              <w:adjustRightInd w:val="0"/>
              <w:jc w:val="right"/>
              <w:cnfStyle w:val="000000010000" w:firstRow="0" w:lastRow="0" w:firstColumn="0" w:lastColumn="0" w:oddVBand="0" w:evenVBand="0" w:oddHBand="0" w:evenHBand="1" w:firstRowFirstColumn="0" w:firstRowLastColumn="0" w:lastRowFirstColumn="0" w:lastRowLastColumn="0"/>
            </w:pPr>
            <w:r w:rsidRPr="00231C93">
              <w:t>1.59</w:t>
            </w:r>
          </w:p>
        </w:tc>
        <w:tc>
          <w:tcPr>
            <w:tcW w:w="520" w:type="pct"/>
            <w:tcBorders>
              <w:top w:val="single" w:sz="8" w:space="0" w:color="002C77" w:themeColor="text1"/>
            </w:tcBorders>
            <w:shd w:val="clear" w:color="auto" w:fill="F2F2F2"/>
          </w:tcPr>
          <w:p w14:paraId="52D4F0FB" w14:textId="54AC2810" w:rsidR="00231C93" w:rsidRPr="00231C93" w:rsidRDefault="00231C93" w:rsidP="00231C93">
            <w:pPr>
              <w:keepNext/>
              <w:adjustRightInd w:val="0"/>
              <w:jc w:val="right"/>
              <w:cnfStyle w:val="000000010000" w:firstRow="0" w:lastRow="0" w:firstColumn="0" w:lastColumn="0" w:oddVBand="0" w:evenVBand="0" w:oddHBand="0" w:evenHBand="1" w:firstRowFirstColumn="0" w:firstRowLastColumn="0" w:lastRowFirstColumn="0" w:lastRowLastColumn="0"/>
            </w:pPr>
            <w:r w:rsidRPr="00231C93">
              <w:t>***</w:t>
            </w:r>
          </w:p>
        </w:tc>
      </w:tr>
      <w:tr w:rsidR="00231C93" w:rsidRPr="00231C93" w14:paraId="6249355B" w14:textId="77777777" w:rsidTr="0009420F">
        <w:tc>
          <w:tcPr>
            <w:cnfStyle w:val="001000000000" w:firstRow="0" w:lastRow="0" w:firstColumn="1" w:lastColumn="0" w:oddVBand="0" w:evenVBand="0" w:oddHBand="0" w:evenHBand="0" w:firstRowFirstColumn="0" w:firstRowLastColumn="0" w:lastRowFirstColumn="0" w:lastRowLastColumn="0"/>
            <w:tcW w:w="1587" w:type="pct"/>
            <w:tcBorders>
              <w:bottom w:val="single" w:sz="4" w:space="0" w:color="FFFFFF" w:themeColor="background1"/>
            </w:tcBorders>
            <w:shd w:val="clear" w:color="auto" w:fill="F2F2F2"/>
          </w:tcPr>
          <w:p w14:paraId="47568F65" w14:textId="59355C94" w:rsidR="00231C93" w:rsidRPr="00231C93" w:rsidRDefault="00231C93" w:rsidP="00231C93">
            <w:pPr>
              <w:pStyle w:val="TableText"/>
              <w:rPr>
                <w:b w:val="0"/>
              </w:rPr>
            </w:pPr>
            <w:r w:rsidRPr="00231C93">
              <w:rPr>
                <w:b w:val="0"/>
              </w:rPr>
              <w:t>Hours Per Week</w:t>
            </w:r>
          </w:p>
        </w:tc>
        <w:tc>
          <w:tcPr>
            <w:tcW w:w="744" w:type="pct"/>
            <w:tcBorders>
              <w:bottom w:val="single" w:sz="4" w:space="0" w:color="FFFFFF" w:themeColor="background1"/>
            </w:tcBorders>
            <w:shd w:val="clear" w:color="auto" w:fill="F2F2F2"/>
          </w:tcPr>
          <w:p w14:paraId="5EC7FF30" w14:textId="77777777" w:rsidR="00231C93" w:rsidRPr="00231C93" w:rsidRDefault="00231C93" w:rsidP="00231C93">
            <w:pPr>
              <w:keepNext/>
              <w:adjustRightInd w:val="0"/>
              <w:cnfStyle w:val="000000000000" w:firstRow="0" w:lastRow="0" w:firstColumn="0" w:lastColumn="0" w:oddVBand="0" w:evenVBand="0" w:oddHBand="0" w:evenHBand="0" w:firstRowFirstColumn="0" w:firstRowLastColumn="0" w:lastRowFirstColumn="0" w:lastRowLastColumn="0"/>
            </w:pPr>
            <w:r w:rsidRPr="00231C93">
              <w:t>70–79.99</w:t>
            </w:r>
          </w:p>
        </w:tc>
        <w:tc>
          <w:tcPr>
            <w:tcW w:w="695" w:type="pct"/>
            <w:tcBorders>
              <w:bottom w:val="single" w:sz="4" w:space="0" w:color="FFFFFF" w:themeColor="background1"/>
            </w:tcBorders>
            <w:shd w:val="clear" w:color="auto" w:fill="F2F2F2"/>
          </w:tcPr>
          <w:p w14:paraId="3995CB0D" w14:textId="1E6712BB" w:rsidR="00231C93" w:rsidRPr="00231C93" w:rsidRDefault="00231C93" w:rsidP="00231C93">
            <w:pPr>
              <w:keepNext/>
              <w:adjustRightInd w:val="0"/>
              <w:jc w:val="right"/>
              <w:cnfStyle w:val="000000000000" w:firstRow="0" w:lastRow="0" w:firstColumn="0" w:lastColumn="0" w:oddVBand="0" w:evenVBand="0" w:oddHBand="0" w:evenHBand="0" w:firstRowFirstColumn="0" w:firstRowLastColumn="0" w:lastRowFirstColumn="0" w:lastRowLastColumn="0"/>
            </w:pPr>
            <w:r w:rsidRPr="00231C93">
              <w:t>Base</w:t>
            </w:r>
          </w:p>
        </w:tc>
        <w:tc>
          <w:tcPr>
            <w:tcW w:w="731" w:type="pct"/>
            <w:tcBorders>
              <w:bottom w:val="single" w:sz="4" w:space="0" w:color="FFFFFF" w:themeColor="background1"/>
            </w:tcBorders>
            <w:shd w:val="clear" w:color="auto" w:fill="F2F2F2"/>
          </w:tcPr>
          <w:p w14:paraId="429B79CE" w14:textId="6E07319A" w:rsidR="00231C93" w:rsidRPr="00231C93" w:rsidRDefault="00231C93" w:rsidP="00231C93">
            <w:pPr>
              <w:keepNext/>
              <w:adjustRightInd w:val="0"/>
              <w:jc w:val="right"/>
              <w:cnfStyle w:val="000000000000" w:firstRow="0" w:lastRow="0" w:firstColumn="0" w:lastColumn="0" w:oddVBand="0" w:evenVBand="0" w:oddHBand="0" w:evenHBand="0" w:firstRowFirstColumn="0" w:firstRowLastColumn="0" w:lastRowFirstColumn="0" w:lastRowLastColumn="0"/>
            </w:pPr>
            <w:r w:rsidRPr="00231C93">
              <w:t>1.00</w:t>
            </w:r>
          </w:p>
        </w:tc>
        <w:tc>
          <w:tcPr>
            <w:tcW w:w="723" w:type="pct"/>
            <w:tcBorders>
              <w:bottom w:val="single" w:sz="4" w:space="0" w:color="FFFFFF" w:themeColor="background1"/>
            </w:tcBorders>
            <w:shd w:val="clear" w:color="auto" w:fill="F2F2F2"/>
          </w:tcPr>
          <w:p w14:paraId="619CA3A2" w14:textId="10D364C4" w:rsidR="00231C93" w:rsidRPr="00231C93" w:rsidRDefault="00231C93" w:rsidP="00231C93">
            <w:pPr>
              <w:keepNext/>
              <w:adjustRightInd w:val="0"/>
              <w:jc w:val="right"/>
              <w:cnfStyle w:val="000000000000" w:firstRow="0" w:lastRow="0" w:firstColumn="0" w:lastColumn="0" w:oddVBand="0" w:evenVBand="0" w:oddHBand="0" w:evenHBand="0" w:firstRowFirstColumn="0" w:firstRowLastColumn="0" w:lastRowFirstColumn="0" w:lastRowLastColumn="0"/>
            </w:pPr>
            <w:r w:rsidRPr="00231C93">
              <w:t>1.00</w:t>
            </w:r>
          </w:p>
        </w:tc>
        <w:tc>
          <w:tcPr>
            <w:tcW w:w="520" w:type="pct"/>
            <w:tcBorders>
              <w:bottom w:val="single" w:sz="4" w:space="0" w:color="FFFFFF" w:themeColor="background1"/>
            </w:tcBorders>
            <w:shd w:val="clear" w:color="auto" w:fill="F2F2F2"/>
          </w:tcPr>
          <w:p w14:paraId="513E68D9" w14:textId="77777777" w:rsidR="00231C93" w:rsidRPr="00231C93" w:rsidRDefault="00231C93" w:rsidP="00231C93">
            <w:pPr>
              <w:keepNext/>
              <w:adjustRightInd w:val="0"/>
              <w:jc w:val="right"/>
              <w:cnfStyle w:val="000000000000" w:firstRow="0" w:lastRow="0" w:firstColumn="0" w:lastColumn="0" w:oddVBand="0" w:evenVBand="0" w:oddHBand="0" w:evenHBand="0" w:firstRowFirstColumn="0" w:firstRowLastColumn="0" w:lastRowFirstColumn="0" w:lastRowLastColumn="0"/>
            </w:pPr>
          </w:p>
        </w:tc>
      </w:tr>
      <w:tr w:rsidR="00231C93" w:rsidRPr="00231C93" w14:paraId="56DFD284" w14:textId="77777777" w:rsidTr="000942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7" w:type="pct"/>
            <w:tcBorders>
              <w:top w:val="single" w:sz="4" w:space="0" w:color="FFFFFF" w:themeColor="background1"/>
              <w:bottom w:val="single" w:sz="8" w:space="0" w:color="002C77" w:themeColor="text1"/>
            </w:tcBorders>
            <w:shd w:val="clear" w:color="auto" w:fill="F2F2F2"/>
          </w:tcPr>
          <w:p w14:paraId="2D90CCCF" w14:textId="6E0D64A4" w:rsidR="00231C93" w:rsidRPr="00231C93" w:rsidRDefault="00231C93" w:rsidP="00231C93">
            <w:pPr>
              <w:pStyle w:val="TableText"/>
              <w:rPr>
                <w:b w:val="0"/>
              </w:rPr>
            </w:pPr>
            <w:r w:rsidRPr="00231C93">
              <w:rPr>
                <w:b w:val="0"/>
              </w:rPr>
              <w:t>Hours Per Week</w:t>
            </w:r>
          </w:p>
        </w:tc>
        <w:tc>
          <w:tcPr>
            <w:tcW w:w="744" w:type="pct"/>
            <w:tcBorders>
              <w:top w:val="single" w:sz="4" w:space="0" w:color="FFFFFF" w:themeColor="background1"/>
              <w:bottom w:val="single" w:sz="8" w:space="0" w:color="002C77" w:themeColor="text1"/>
            </w:tcBorders>
            <w:shd w:val="clear" w:color="auto" w:fill="F2F2F2"/>
          </w:tcPr>
          <w:p w14:paraId="270DF87E" w14:textId="77777777" w:rsidR="00231C93" w:rsidRPr="00231C93" w:rsidRDefault="00231C93" w:rsidP="00231C93">
            <w:pPr>
              <w:adjustRightInd w:val="0"/>
              <w:cnfStyle w:val="000000010000" w:firstRow="0" w:lastRow="0" w:firstColumn="0" w:lastColumn="0" w:oddVBand="0" w:evenVBand="0" w:oddHBand="0" w:evenHBand="1" w:firstRowFirstColumn="0" w:firstRowLastColumn="0" w:lastRowFirstColumn="0" w:lastRowLastColumn="0"/>
            </w:pPr>
            <w:r w:rsidRPr="00231C93">
              <w:t>80 or more</w:t>
            </w:r>
          </w:p>
        </w:tc>
        <w:tc>
          <w:tcPr>
            <w:tcW w:w="695" w:type="pct"/>
            <w:tcBorders>
              <w:top w:val="single" w:sz="4" w:space="0" w:color="FFFFFF" w:themeColor="background1"/>
              <w:bottom w:val="single" w:sz="8" w:space="0" w:color="002C77" w:themeColor="text1"/>
            </w:tcBorders>
            <w:shd w:val="clear" w:color="auto" w:fill="F2F2F2"/>
          </w:tcPr>
          <w:p w14:paraId="5E02C4B3" w14:textId="1C560276" w:rsidR="00231C93" w:rsidRPr="00231C93" w:rsidRDefault="00231C93" w:rsidP="00231C93">
            <w:pPr>
              <w:keepNext/>
              <w:adjustRightInd w:val="0"/>
              <w:jc w:val="right"/>
              <w:cnfStyle w:val="000000010000" w:firstRow="0" w:lastRow="0" w:firstColumn="0" w:lastColumn="0" w:oddVBand="0" w:evenVBand="0" w:oddHBand="0" w:evenHBand="1" w:firstRowFirstColumn="0" w:firstRowLastColumn="0" w:lastRowFirstColumn="0" w:lastRowLastColumn="0"/>
            </w:pPr>
            <w:r w:rsidRPr="00231C93">
              <w:t>0.90</w:t>
            </w:r>
          </w:p>
        </w:tc>
        <w:tc>
          <w:tcPr>
            <w:tcW w:w="731" w:type="pct"/>
            <w:tcBorders>
              <w:top w:val="single" w:sz="4" w:space="0" w:color="FFFFFF" w:themeColor="background1"/>
              <w:bottom w:val="single" w:sz="8" w:space="0" w:color="002C77" w:themeColor="text1"/>
            </w:tcBorders>
            <w:shd w:val="clear" w:color="auto" w:fill="F2F2F2"/>
          </w:tcPr>
          <w:p w14:paraId="2B40F972" w14:textId="36ADF6C0" w:rsidR="00231C93" w:rsidRPr="00231C93" w:rsidRDefault="00231C93" w:rsidP="00231C93">
            <w:pPr>
              <w:keepNext/>
              <w:adjustRightInd w:val="0"/>
              <w:jc w:val="right"/>
              <w:cnfStyle w:val="000000010000" w:firstRow="0" w:lastRow="0" w:firstColumn="0" w:lastColumn="0" w:oddVBand="0" w:evenVBand="0" w:oddHBand="0" w:evenHBand="1" w:firstRowFirstColumn="0" w:firstRowLastColumn="0" w:lastRowFirstColumn="0" w:lastRowLastColumn="0"/>
            </w:pPr>
            <w:r w:rsidRPr="00231C93">
              <w:t>0.71</w:t>
            </w:r>
          </w:p>
        </w:tc>
        <w:tc>
          <w:tcPr>
            <w:tcW w:w="723" w:type="pct"/>
            <w:tcBorders>
              <w:top w:val="single" w:sz="4" w:space="0" w:color="FFFFFF" w:themeColor="background1"/>
              <w:bottom w:val="single" w:sz="8" w:space="0" w:color="002C77" w:themeColor="text1"/>
            </w:tcBorders>
            <w:shd w:val="clear" w:color="auto" w:fill="F2F2F2"/>
          </w:tcPr>
          <w:p w14:paraId="76AE4BE6" w14:textId="0DEAFD36" w:rsidR="00231C93" w:rsidRPr="00231C93" w:rsidRDefault="00231C93" w:rsidP="00231C93">
            <w:pPr>
              <w:keepNext/>
              <w:adjustRightInd w:val="0"/>
              <w:jc w:val="right"/>
              <w:cnfStyle w:val="000000010000" w:firstRow="0" w:lastRow="0" w:firstColumn="0" w:lastColumn="0" w:oddVBand="0" w:evenVBand="0" w:oddHBand="0" w:evenHBand="1" w:firstRowFirstColumn="0" w:firstRowLastColumn="0" w:lastRowFirstColumn="0" w:lastRowLastColumn="0"/>
            </w:pPr>
            <w:r w:rsidRPr="00231C93">
              <w:t>1.13</w:t>
            </w:r>
          </w:p>
        </w:tc>
        <w:tc>
          <w:tcPr>
            <w:tcW w:w="520" w:type="pct"/>
            <w:tcBorders>
              <w:top w:val="single" w:sz="4" w:space="0" w:color="FFFFFF" w:themeColor="background1"/>
              <w:bottom w:val="single" w:sz="8" w:space="0" w:color="002C77" w:themeColor="text1"/>
            </w:tcBorders>
            <w:shd w:val="clear" w:color="auto" w:fill="F2F2F2"/>
          </w:tcPr>
          <w:p w14:paraId="17A2AD52" w14:textId="374014EA" w:rsidR="00231C93" w:rsidRPr="00231C93" w:rsidRDefault="00231C93" w:rsidP="00231C93">
            <w:pPr>
              <w:keepNext/>
              <w:adjustRightInd w:val="0"/>
              <w:jc w:val="right"/>
              <w:cnfStyle w:val="000000010000" w:firstRow="0" w:lastRow="0" w:firstColumn="0" w:lastColumn="0" w:oddVBand="0" w:evenVBand="0" w:oddHBand="0" w:evenHBand="1" w:firstRowFirstColumn="0" w:firstRowLastColumn="0" w:lastRowFirstColumn="0" w:lastRowLastColumn="0"/>
            </w:pPr>
            <w:r w:rsidRPr="00231C93">
              <w:t>NS</w:t>
            </w:r>
          </w:p>
        </w:tc>
      </w:tr>
      <w:tr w:rsidR="00231C93" w:rsidRPr="00231C93" w14:paraId="70F4974E" w14:textId="77777777" w:rsidTr="0009420F">
        <w:tc>
          <w:tcPr>
            <w:cnfStyle w:val="001000000000" w:firstRow="0" w:lastRow="0" w:firstColumn="1" w:lastColumn="0" w:oddVBand="0" w:evenVBand="0" w:oddHBand="0" w:evenHBand="0" w:firstRowFirstColumn="0" w:firstRowLastColumn="0" w:lastRowFirstColumn="0" w:lastRowLastColumn="0"/>
            <w:tcW w:w="1587" w:type="pct"/>
            <w:tcBorders>
              <w:top w:val="single" w:sz="8" w:space="0" w:color="002C77" w:themeColor="text1"/>
            </w:tcBorders>
            <w:shd w:val="clear" w:color="auto" w:fill="F2F2F2"/>
          </w:tcPr>
          <w:p w14:paraId="639C06D7" w14:textId="6308EAF2" w:rsidR="00231C93" w:rsidRPr="00231C93" w:rsidRDefault="00231C93" w:rsidP="00231C93">
            <w:pPr>
              <w:pStyle w:val="TableText"/>
              <w:rPr>
                <w:b w:val="0"/>
              </w:rPr>
            </w:pPr>
            <w:r w:rsidRPr="00231C93">
              <w:rPr>
                <w:b w:val="0"/>
              </w:rPr>
              <w:t>County Type</w:t>
            </w:r>
          </w:p>
        </w:tc>
        <w:tc>
          <w:tcPr>
            <w:tcW w:w="744" w:type="pct"/>
            <w:tcBorders>
              <w:top w:val="single" w:sz="8" w:space="0" w:color="002C77" w:themeColor="text1"/>
            </w:tcBorders>
            <w:shd w:val="clear" w:color="auto" w:fill="F2F2F2"/>
          </w:tcPr>
          <w:p w14:paraId="73BF4DBA" w14:textId="2063980D" w:rsidR="00231C93" w:rsidRPr="00231C93" w:rsidRDefault="00231C93" w:rsidP="00231C93">
            <w:pPr>
              <w:keepNext/>
              <w:adjustRightInd w:val="0"/>
              <w:cnfStyle w:val="000000000000" w:firstRow="0" w:lastRow="0" w:firstColumn="0" w:lastColumn="0" w:oddVBand="0" w:evenVBand="0" w:oddHBand="0" w:evenHBand="0" w:firstRowFirstColumn="0" w:firstRowLastColumn="0" w:lastRowFirstColumn="0" w:lastRowLastColumn="0"/>
            </w:pPr>
            <w:r w:rsidRPr="00231C93">
              <w:t>Rural</w:t>
            </w:r>
          </w:p>
        </w:tc>
        <w:tc>
          <w:tcPr>
            <w:tcW w:w="695" w:type="pct"/>
            <w:tcBorders>
              <w:top w:val="single" w:sz="8" w:space="0" w:color="002C77" w:themeColor="text1"/>
            </w:tcBorders>
            <w:shd w:val="clear" w:color="auto" w:fill="F2F2F2"/>
          </w:tcPr>
          <w:p w14:paraId="0D15E0CB" w14:textId="18CE1A0F" w:rsidR="00231C93" w:rsidRPr="00231C93" w:rsidRDefault="00231C93" w:rsidP="00231C93">
            <w:pPr>
              <w:keepNext/>
              <w:adjustRightInd w:val="0"/>
              <w:jc w:val="right"/>
              <w:cnfStyle w:val="000000000000" w:firstRow="0" w:lastRow="0" w:firstColumn="0" w:lastColumn="0" w:oddVBand="0" w:evenVBand="0" w:oddHBand="0" w:evenHBand="0" w:firstRowFirstColumn="0" w:firstRowLastColumn="0" w:lastRowFirstColumn="0" w:lastRowLastColumn="0"/>
            </w:pPr>
            <w:r w:rsidRPr="00231C93">
              <w:t>0.79</w:t>
            </w:r>
          </w:p>
        </w:tc>
        <w:tc>
          <w:tcPr>
            <w:tcW w:w="731" w:type="pct"/>
            <w:tcBorders>
              <w:top w:val="single" w:sz="8" w:space="0" w:color="002C77" w:themeColor="text1"/>
            </w:tcBorders>
            <w:shd w:val="clear" w:color="auto" w:fill="F2F2F2"/>
          </w:tcPr>
          <w:p w14:paraId="1B5D87EB" w14:textId="2FB43399" w:rsidR="00231C93" w:rsidRPr="00231C93" w:rsidRDefault="00231C93" w:rsidP="00231C93">
            <w:pPr>
              <w:keepNext/>
              <w:adjustRightInd w:val="0"/>
              <w:jc w:val="right"/>
              <w:cnfStyle w:val="000000000000" w:firstRow="0" w:lastRow="0" w:firstColumn="0" w:lastColumn="0" w:oddVBand="0" w:evenVBand="0" w:oddHBand="0" w:evenHBand="0" w:firstRowFirstColumn="0" w:firstRowLastColumn="0" w:lastRowFirstColumn="0" w:lastRowLastColumn="0"/>
            </w:pPr>
            <w:r w:rsidRPr="00231C93">
              <w:t>0.25</w:t>
            </w:r>
          </w:p>
        </w:tc>
        <w:tc>
          <w:tcPr>
            <w:tcW w:w="723" w:type="pct"/>
            <w:tcBorders>
              <w:top w:val="single" w:sz="8" w:space="0" w:color="002C77" w:themeColor="text1"/>
            </w:tcBorders>
            <w:shd w:val="clear" w:color="auto" w:fill="F2F2F2"/>
          </w:tcPr>
          <w:p w14:paraId="6E33F060" w14:textId="52A98CD1" w:rsidR="00231C93" w:rsidRPr="00231C93" w:rsidRDefault="00231C93" w:rsidP="00231C93">
            <w:pPr>
              <w:keepNext/>
              <w:adjustRightInd w:val="0"/>
              <w:jc w:val="right"/>
              <w:cnfStyle w:val="000000000000" w:firstRow="0" w:lastRow="0" w:firstColumn="0" w:lastColumn="0" w:oddVBand="0" w:evenVBand="0" w:oddHBand="0" w:evenHBand="0" w:firstRowFirstColumn="0" w:firstRowLastColumn="0" w:lastRowFirstColumn="0" w:lastRowLastColumn="0"/>
            </w:pPr>
            <w:r w:rsidRPr="00231C93">
              <w:t>2.49</w:t>
            </w:r>
          </w:p>
        </w:tc>
        <w:tc>
          <w:tcPr>
            <w:tcW w:w="520" w:type="pct"/>
            <w:tcBorders>
              <w:top w:val="single" w:sz="8" w:space="0" w:color="002C77" w:themeColor="text1"/>
            </w:tcBorders>
            <w:shd w:val="clear" w:color="auto" w:fill="F2F2F2"/>
          </w:tcPr>
          <w:p w14:paraId="599980F2" w14:textId="4D8C1F24" w:rsidR="00231C93" w:rsidRPr="00231C93" w:rsidRDefault="00231C93" w:rsidP="00231C93">
            <w:pPr>
              <w:keepNext/>
              <w:adjustRightInd w:val="0"/>
              <w:jc w:val="right"/>
              <w:cnfStyle w:val="000000000000" w:firstRow="0" w:lastRow="0" w:firstColumn="0" w:lastColumn="0" w:oddVBand="0" w:evenVBand="0" w:oddHBand="0" w:evenHBand="0" w:firstRowFirstColumn="0" w:firstRowLastColumn="0" w:lastRowFirstColumn="0" w:lastRowLastColumn="0"/>
            </w:pPr>
            <w:r w:rsidRPr="00231C93">
              <w:t>NS</w:t>
            </w:r>
          </w:p>
        </w:tc>
      </w:tr>
      <w:tr w:rsidR="00231C93" w:rsidRPr="00231C93" w14:paraId="338C6D39" w14:textId="77777777" w:rsidTr="00FF43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7" w:type="pct"/>
            <w:shd w:val="clear" w:color="auto" w:fill="F2F2F2"/>
          </w:tcPr>
          <w:p w14:paraId="725D91E8" w14:textId="3B5914FA" w:rsidR="00231C93" w:rsidRPr="00231C93" w:rsidRDefault="00231C93" w:rsidP="00231C93">
            <w:pPr>
              <w:pStyle w:val="TableText"/>
              <w:rPr>
                <w:b w:val="0"/>
              </w:rPr>
            </w:pPr>
            <w:r>
              <w:rPr>
                <w:b w:val="0"/>
              </w:rPr>
              <w:t>County Type</w:t>
            </w:r>
          </w:p>
        </w:tc>
        <w:tc>
          <w:tcPr>
            <w:tcW w:w="744" w:type="pct"/>
            <w:shd w:val="clear" w:color="auto" w:fill="F2F2F2"/>
          </w:tcPr>
          <w:p w14:paraId="0AB353D1" w14:textId="3BE0A418" w:rsidR="00231C93" w:rsidRPr="00231C93" w:rsidRDefault="00231C93" w:rsidP="00231C93">
            <w:pPr>
              <w:keepNext/>
              <w:adjustRightInd w:val="0"/>
              <w:cnfStyle w:val="000000010000" w:firstRow="0" w:lastRow="0" w:firstColumn="0" w:lastColumn="0" w:oddVBand="0" w:evenVBand="0" w:oddHBand="0" w:evenHBand="1" w:firstRowFirstColumn="0" w:firstRowLastColumn="0" w:lastRowFirstColumn="0" w:lastRowLastColumn="0"/>
            </w:pPr>
            <w:r w:rsidRPr="00231C93">
              <w:t>Urban</w:t>
            </w:r>
          </w:p>
        </w:tc>
        <w:tc>
          <w:tcPr>
            <w:tcW w:w="695" w:type="pct"/>
            <w:shd w:val="clear" w:color="auto" w:fill="F2F2F2"/>
          </w:tcPr>
          <w:p w14:paraId="1CA32702" w14:textId="1F8F67A7" w:rsidR="00231C93" w:rsidRPr="00231C93" w:rsidRDefault="00231C93" w:rsidP="00231C93">
            <w:pPr>
              <w:keepNext/>
              <w:adjustRightInd w:val="0"/>
              <w:jc w:val="right"/>
              <w:cnfStyle w:val="000000010000" w:firstRow="0" w:lastRow="0" w:firstColumn="0" w:lastColumn="0" w:oddVBand="0" w:evenVBand="0" w:oddHBand="0" w:evenHBand="1" w:firstRowFirstColumn="0" w:firstRowLastColumn="0" w:lastRowFirstColumn="0" w:lastRowLastColumn="0"/>
            </w:pPr>
            <w:r w:rsidRPr="00231C93">
              <w:t>Base</w:t>
            </w:r>
          </w:p>
        </w:tc>
        <w:tc>
          <w:tcPr>
            <w:tcW w:w="731" w:type="pct"/>
            <w:shd w:val="clear" w:color="auto" w:fill="F2F2F2"/>
          </w:tcPr>
          <w:p w14:paraId="3A1C4667" w14:textId="154CFCD8" w:rsidR="00231C93" w:rsidRPr="00231C93" w:rsidRDefault="00231C93" w:rsidP="00231C93">
            <w:pPr>
              <w:keepNext/>
              <w:adjustRightInd w:val="0"/>
              <w:jc w:val="right"/>
              <w:cnfStyle w:val="000000010000" w:firstRow="0" w:lastRow="0" w:firstColumn="0" w:lastColumn="0" w:oddVBand="0" w:evenVBand="0" w:oddHBand="0" w:evenHBand="1" w:firstRowFirstColumn="0" w:firstRowLastColumn="0" w:lastRowFirstColumn="0" w:lastRowLastColumn="0"/>
            </w:pPr>
            <w:r w:rsidRPr="00231C93">
              <w:t>1.00</w:t>
            </w:r>
          </w:p>
        </w:tc>
        <w:tc>
          <w:tcPr>
            <w:tcW w:w="723" w:type="pct"/>
            <w:shd w:val="clear" w:color="auto" w:fill="F2F2F2"/>
          </w:tcPr>
          <w:p w14:paraId="69C5AC9D" w14:textId="3EED3A94" w:rsidR="00231C93" w:rsidRPr="00231C93" w:rsidRDefault="00231C93" w:rsidP="00231C93">
            <w:pPr>
              <w:keepNext/>
              <w:adjustRightInd w:val="0"/>
              <w:jc w:val="right"/>
              <w:cnfStyle w:val="000000010000" w:firstRow="0" w:lastRow="0" w:firstColumn="0" w:lastColumn="0" w:oddVBand="0" w:evenVBand="0" w:oddHBand="0" w:evenHBand="1" w:firstRowFirstColumn="0" w:firstRowLastColumn="0" w:lastRowFirstColumn="0" w:lastRowLastColumn="0"/>
            </w:pPr>
            <w:r w:rsidRPr="00231C93">
              <w:t>1.00</w:t>
            </w:r>
          </w:p>
        </w:tc>
        <w:tc>
          <w:tcPr>
            <w:tcW w:w="520" w:type="pct"/>
            <w:shd w:val="clear" w:color="auto" w:fill="F2F2F2"/>
          </w:tcPr>
          <w:p w14:paraId="5F7C0303" w14:textId="2DED0C7E" w:rsidR="00231C93" w:rsidRPr="00231C93" w:rsidRDefault="00231C93" w:rsidP="00231C93">
            <w:pPr>
              <w:keepNext/>
              <w:adjustRightInd w:val="0"/>
              <w:jc w:val="right"/>
              <w:cnfStyle w:val="000000010000" w:firstRow="0" w:lastRow="0" w:firstColumn="0" w:lastColumn="0" w:oddVBand="0" w:evenVBand="0" w:oddHBand="0" w:evenHBand="1" w:firstRowFirstColumn="0" w:firstRowLastColumn="0" w:lastRowFirstColumn="0" w:lastRowLastColumn="0"/>
            </w:pPr>
          </w:p>
        </w:tc>
      </w:tr>
    </w:tbl>
    <w:p w14:paraId="11B479B2" w14:textId="614FA392" w:rsidR="00231C93" w:rsidRDefault="00231C93" w:rsidP="00231C93">
      <w:bookmarkStart w:id="74" w:name="_Toc22640789"/>
      <w:r w:rsidRPr="00231C93">
        <w:t>* Indicates that p &lt; 0.05</w:t>
      </w:r>
      <w:r w:rsidRPr="00231C93">
        <w:br/>
        <w:t>** Indicates that p &lt; 0.01</w:t>
      </w:r>
      <w:r w:rsidRPr="00231C93">
        <w:br/>
        <w:t>*** Indicates that p &lt; 0.001</w:t>
      </w:r>
      <w:r w:rsidRPr="00231C93">
        <w:br/>
        <w:t>NS indicates that the characteristic is not significant</w:t>
      </w:r>
    </w:p>
    <w:p w14:paraId="7DE99AB6" w14:textId="4B0B75D6" w:rsidR="00FB493A" w:rsidRPr="000F69D7" w:rsidRDefault="00FB493A" w:rsidP="00231C93">
      <w:pPr>
        <w:pStyle w:val="Heading2"/>
      </w:pPr>
      <w:bookmarkStart w:id="75" w:name="_Toc179536100"/>
      <w:r w:rsidRPr="000F69D7">
        <w:t>Specialty Pharmacy Analysis</w:t>
      </w:r>
      <w:bookmarkEnd w:id="74"/>
      <w:bookmarkEnd w:id="75"/>
    </w:p>
    <w:p w14:paraId="5647C67A" w14:textId="6C028DCA" w:rsidR="006965AB" w:rsidRDefault="006965AB" w:rsidP="00231C93">
      <w:r>
        <w:t xml:space="preserve">Mercer identified Specialty pharmacies as pharmacies with greater than 25% of prescriptions categorized as </w:t>
      </w:r>
      <w:r w:rsidR="00FF4345">
        <w:t>Specialty</w:t>
      </w:r>
      <w:r w:rsidR="00687CB1">
        <w:t>.</w:t>
      </w:r>
      <w:r w:rsidR="00A660E6">
        <w:t xml:space="preserve"> </w:t>
      </w:r>
      <w:r>
        <w:t xml:space="preserve">With only </w:t>
      </w:r>
      <w:r w:rsidR="00FF4345">
        <w:t xml:space="preserve">10 </w:t>
      </w:r>
      <w:r>
        <w:t xml:space="preserve">Specialty pharmacies responding to the survey with usable </w:t>
      </w:r>
      <w:r w:rsidR="00E46CF7">
        <w:t>data and</w:t>
      </w:r>
      <w:r>
        <w:t xml:space="preserve"> based on the variability of cost of dispensing prescriptions in the Specialty responses, </w:t>
      </w:r>
      <w:r w:rsidR="00FF4345">
        <w:t>Mercer does not consider there to be</w:t>
      </w:r>
      <w:r>
        <w:t xml:space="preserve"> enough information to recommend a differential professional dispensing fee for specialty pharmacies. The data from </w:t>
      </w:r>
      <w:r w:rsidR="00F63A2E">
        <w:t>10</w:t>
      </w:r>
      <w:r>
        <w:t xml:space="preserve"> Specialty pharmacies is presented in Table A3 (in Appendix A). </w:t>
      </w:r>
    </w:p>
    <w:p w14:paraId="62A1AA01" w14:textId="3CB47C33" w:rsidR="003F38FA" w:rsidRDefault="003F38FA" w:rsidP="003F38FA">
      <w:pPr>
        <w:sectPr w:rsidR="003F38FA" w:rsidSect="00D43CA9">
          <w:headerReference w:type="even" r:id="rId15"/>
          <w:headerReference w:type="default" r:id="rId16"/>
          <w:footerReference w:type="default" r:id="rId17"/>
          <w:headerReference w:type="first" r:id="rId18"/>
          <w:footerReference w:type="first" r:id="rId19"/>
          <w:pgSz w:w="12240" w:h="15840" w:code="9"/>
          <w:pgMar w:top="1985" w:right="1751" w:bottom="702" w:left="1418" w:header="766" w:footer="567" w:gutter="0"/>
          <w:pgNumType w:start="1"/>
          <w:cols w:space="708"/>
          <w:docGrid w:linePitch="360"/>
        </w:sectPr>
      </w:pPr>
    </w:p>
    <w:p w14:paraId="43F2EDE6" w14:textId="599D727C" w:rsidR="003F38FA" w:rsidRDefault="003F38FA" w:rsidP="003F38FA">
      <w:pPr>
        <w:pStyle w:val="AppendixStart"/>
      </w:pPr>
    </w:p>
    <w:p w14:paraId="083DE866" w14:textId="257D3BC5" w:rsidR="003F38FA" w:rsidRDefault="003F38FA" w:rsidP="003F38FA">
      <w:pPr>
        <w:pStyle w:val="AppendixHeading1"/>
      </w:pPr>
      <w:bookmarkStart w:id="77" w:name="_Toc179536101"/>
      <w:r>
        <w:t>Pharmacy Characteristics and Average Cost of Dispensing Prescription</w:t>
      </w:r>
      <w:bookmarkEnd w:id="77"/>
    </w:p>
    <w:p w14:paraId="1DCAD4F6" w14:textId="42624E03" w:rsidR="009E3B60" w:rsidRDefault="00B45D14" w:rsidP="003F38FA">
      <w:r>
        <w:t xml:space="preserve">Please see embedded file below for Appendix A tables. The link below will </w:t>
      </w:r>
      <w:proofErr w:type="gramStart"/>
      <w:r>
        <w:t>open up</w:t>
      </w:r>
      <w:proofErr w:type="gramEnd"/>
      <w:r>
        <w:t xml:space="preserve"> a separate Excel file.</w:t>
      </w:r>
    </w:p>
    <w:p w14:paraId="4CC3ACA6" w14:textId="4E7104EF" w:rsidR="00482817" w:rsidRDefault="003D6D63" w:rsidP="003F38FA">
      <w:r>
        <w:object w:dxaOrig="1504" w:dyaOrig="982" w14:anchorId="385E56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ppendix A (XLS)" style="width:75pt;height:49pt" o:ole="">
            <v:imagedata r:id="rId20" o:title=""/>
          </v:shape>
          <o:OLEObject Type="Embed" ProgID="Excel.Sheet.12" ShapeID="_x0000_i1025" DrawAspect="Icon" ObjectID="_1790496879" r:id="rId21"/>
        </w:object>
      </w:r>
    </w:p>
    <w:p w14:paraId="23E05D3B" w14:textId="0BE3C30A" w:rsidR="003F38FA" w:rsidRDefault="003F38FA" w:rsidP="003F38FA">
      <w:pPr>
        <w:pStyle w:val="AppendixStart"/>
      </w:pPr>
    </w:p>
    <w:p w14:paraId="3BBE1520" w14:textId="33734A5F" w:rsidR="003F38FA" w:rsidRDefault="003F38FA" w:rsidP="003F38FA">
      <w:pPr>
        <w:pStyle w:val="AppendixHeading1"/>
      </w:pPr>
      <w:bookmarkStart w:id="78" w:name="_Toc179536102"/>
      <w:r>
        <w:t>Cost of Dispensing Survey</w:t>
      </w:r>
      <w:bookmarkEnd w:id="78"/>
    </w:p>
    <w:p w14:paraId="2C7140C4" w14:textId="2FFF7E6E" w:rsidR="00D105BA" w:rsidRDefault="00FF4345" w:rsidP="00D105BA">
      <w:r>
        <w:t>T</w:t>
      </w:r>
      <w:r w:rsidR="00D105BA">
        <w:t>he COD survey</w:t>
      </w:r>
      <w:r>
        <w:t xml:space="preserve"> is below for reference.</w:t>
      </w:r>
    </w:p>
    <w:tbl>
      <w:tblPr>
        <w:tblStyle w:val="MMCTable"/>
        <w:tblW w:w="5000" w:type="pct"/>
        <w:tblBorders>
          <w:insideH w:val="single" w:sz="4" w:space="0" w:color="FFFFFF" w:themeColor="background1"/>
          <w:insideV w:val="single" w:sz="4" w:space="0" w:color="FFFFFF" w:themeColor="background1"/>
        </w:tblBorders>
        <w:shd w:val="clear" w:color="auto" w:fill="F2F2F2"/>
        <w:tblLook w:val="04A0" w:firstRow="1" w:lastRow="0" w:firstColumn="1" w:lastColumn="0" w:noHBand="0" w:noVBand="1"/>
      </w:tblPr>
      <w:tblGrid>
        <w:gridCol w:w="2070"/>
        <w:gridCol w:w="7001"/>
      </w:tblGrid>
      <w:tr w:rsidR="00957D45" w:rsidRPr="008021D1" w14:paraId="6BF7E23A" w14:textId="77777777" w:rsidTr="00B45D14">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141"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2C77" w:themeFill="text1"/>
            <w:noWrap/>
            <w:vAlign w:val="top"/>
            <w:hideMark/>
          </w:tcPr>
          <w:p w14:paraId="4DCB9FF7" w14:textId="2A12AE92" w:rsidR="00957D45" w:rsidRPr="008021D1" w:rsidRDefault="00957D45" w:rsidP="00C73584">
            <w:pPr>
              <w:rPr>
                <w:bCs/>
              </w:rPr>
            </w:pPr>
            <w:r w:rsidRPr="008021D1">
              <w:rPr>
                <w:bCs/>
              </w:rPr>
              <w:t>Question Number</w:t>
            </w:r>
          </w:p>
        </w:tc>
        <w:tc>
          <w:tcPr>
            <w:tcW w:w="3859"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2C77" w:themeFill="text1"/>
            <w:hideMark/>
          </w:tcPr>
          <w:p w14:paraId="17C49795" w14:textId="1E71B02B" w:rsidR="00957D45" w:rsidRPr="008021D1" w:rsidRDefault="00957D45" w:rsidP="008021D1">
            <w:pPr>
              <w:cnfStyle w:val="100000000000" w:firstRow="1" w:lastRow="0" w:firstColumn="0" w:lastColumn="0" w:oddVBand="0" w:evenVBand="0" w:oddHBand="0" w:evenHBand="0" w:firstRowFirstColumn="0" w:firstRowLastColumn="0" w:lastRowFirstColumn="0" w:lastRowLastColumn="0"/>
              <w:rPr>
                <w:bCs/>
              </w:rPr>
            </w:pPr>
            <w:r w:rsidRPr="008021D1">
              <w:rPr>
                <w:bCs/>
              </w:rPr>
              <w:t>Question Description</w:t>
            </w:r>
          </w:p>
        </w:tc>
      </w:tr>
      <w:tr w:rsidR="00957D45" w:rsidRPr="008021D1" w14:paraId="14540F7D" w14:textId="77777777" w:rsidTr="00B45D14">
        <w:trPr>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1FAEC6A1" w14:textId="77777777" w:rsidR="00957D45" w:rsidRPr="008021D1" w:rsidRDefault="00957D45" w:rsidP="008021D1">
            <w:r w:rsidRPr="008021D1">
              <w:t>1</w:t>
            </w:r>
          </w:p>
        </w:tc>
        <w:tc>
          <w:tcPr>
            <w:tcW w:w="3859" w:type="pct"/>
            <w:shd w:val="clear" w:color="auto" w:fill="F2F2F2"/>
            <w:hideMark/>
          </w:tcPr>
          <w:p w14:paraId="0F06D633" w14:textId="77777777" w:rsidR="00957D45" w:rsidRPr="008021D1" w:rsidRDefault="00957D45" w:rsidP="008021D1">
            <w:pPr>
              <w:cnfStyle w:val="000000000000" w:firstRow="0" w:lastRow="0" w:firstColumn="0" w:lastColumn="0" w:oddVBand="0" w:evenVBand="0" w:oddHBand="0" w:evenHBand="0" w:firstRowFirstColumn="0" w:firstRowLastColumn="0" w:lastRowFirstColumn="0" w:lastRowLastColumn="0"/>
            </w:pPr>
            <w:r w:rsidRPr="008021D1">
              <w:t>National Provider Identifier (NPI) (10 digits)</w:t>
            </w:r>
          </w:p>
        </w:tc>
      </w:tr>
      <w:tr w:rsidR="00957D45" w:rsidRPr="008021D1" w14:paraId="7CE63020" w14:textId="77777777" w:rsidTr="00B45D1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77E2E149" w14:textId="77777777" w:rsidR="00957D45" w:rsidRPr="008021D1" w:rsidRDefault="00957D45" w:rsidP="008021D1">
            <w:r w:rsidRPr="008021D1">
              <w:t>2</w:t>
            </w:r>
          </w:p>
        </w:tc>
        <w:tc>
          <w:tcPr>
            <w:tcW w:w="3859" w:type="pct"/>
            <w:shd w:val="clear" w:color="auto" w:fill="F2F2F2"/>
            <w:hideMark/>
          </w:tcPr>
          <w:p w14:paraId="55E9942C" w14:textId="77777777" w:rsidR="00957D45" w:rsidRPr="008021D1" w:rsidRDefault="00957D45" w:rsidP="008021D1">
            <w:pPr>
              <w:cnfStyle w:val="000000010000" w:firstRow="0" w:lastRow="0" w:firstColumn="0" w:lastColumn="0" w:oddVBand="0" w:evenVBand="0" w:oddHBand="0" w:evenHBand="1" w:firstRowFirstColumn="0" w:firstRowLastColumn="0" w:lastRowFirstColumn="0" w:lastRowLastColumn="0"/>
            </w:pPr>
            <w:r w:rsidRPr="008021D1">
              <w:t>NCPDP Provider Number (if known)</w:t>
            </w:r>
          </w:p>
        </w:tc>
      </w:tr>
      <w:tr w:rsidR="00957D45" w:rsidRPr="008021D1" w14:paraId="6700110D" w14:textId="77777777" w:rsidTr="00B45D14">
        <w:trPr>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25D13B28" w14:textId="77777777" w:rsidR="00957D45" w:rsidRPr="008021D1" w:rsidRDefault="00957D45" w:rsidP="008021D1">
            <w:r w:rsidRPr="008021D1">
              <w:t>3</w:t>
            </w:r>
          </w:p>
        </w:tc>
        <w:tc>
          <w:tcPr>
            <w:tcW w:w="3859" w:type="pct"/>
            <w:shd w:val="clear" w:color="auto" w:fill="F2F2F2"/>
            <w:hideMark/>
          </w:tcPr>
          <w:p w14:paraId="66D72700" w14:textId="77777777" w:rsidR="00957D45" w:rsidRPr="008021D1" w:rsidRDefault="00957D45" w:rsidP="008021D1">
            <w:pPr>
              <w:cnfStyle w:val="000000000000" w:firstRow="0" w:lastRow="0" w:firstColumn="0" w:lastColumn="0" w:oddVBand="0" w:evenVBand="0" w:oddHBand="0" w:evenHBand="0" w:firstRowFirstColumn="0" w:firstRowLastColumn="0" w:lastRowFirstColumn="0" w:lastRowLastColumn="0"/>
            </w:pPr>
            <w:r w:rsidRPr="008021D1">
              <w:t>Provider name</w:t>
            </w:r>
          </w:p>
        </w:tc>
      </w:tr>
      <w:tr w:rsidR="00957D45" w:rsidRPr="008021D1" w14:paraId="07C15CDB" w14:textId="77777777" w:rsidTr="00B45D1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089B08B3" w14:textId="77777777" w:rsidR="00957D45" w:rsidRPr="008021D1" w:rsidRDefault="00957D45" w:rsidP="008021D1">
            <w:r w:rsidRPr="008021D1">
              <w:t>4</w:t>
            </w:r>
          </w:p>
        </w:tc>
        <w:tc>
          <w:tcPr>
            <w:tcW w:w="3859" w:type="pct"/>
            <w:shd w:val="clear" w:color="auto" w:fill="F2F2F2"/>
            <w:hideMark/>
          </w:tcPr>
          <w:p w14:paraId="3EA980DC" w14:textId="77777777" w:rsidR="00957D45" w:rsidRPr="008021D1" w:rsidRDefault="00957D45" w:rsidP="008021D1">
            <w:pPr>
              <w:cnfStyle w:val="000000010000" w:firstRow="0" w:lastRow="0" w:firstColumn="0" w:lastColumn="0" w:oddVBand="0" w:evenVBand="0" w:oddHBand="0" w:evenHBand="1" w:firstRowFirstColumn="0" w:firstRowLastColumn="0" w:lastRowFirstColumn="0" w:lastRowLastColumn="0"/>
            </w:pPr>
            <w:r w:rsidRPr="008021D1">
              <w:t>Street address</w:t>
            </w:r>
          </w:p>
        </w:tc>
      </w:tr>
      <w:tr w:rsidR="00957D45" w:rsidRPr="008021D1" w14:paraId="74AB8A6A" w14:textId="77777777" w:rsidTr="00B45D14">
        <w:trPr>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2013E460" w14:textId="77777777" w:rsidR="00957D45" w:rsidRPr="008021D1" w:rsidRDefault="00957D45" w:rsidP="008021D1">
            <w:r w:rsidRPr="008021D1">
              <w:t>5</w:t>
            </w:r>
          </w:p>
        </w:tc>
        <w:tc>
          <w:tcPr>
            <w:tcW w:w="3859" w:type="pct"/>
            <w:shd w:val="clear" w:color="auto" w:fill="F2F2F2"/>
            <w:hideMark/>
          </w:tcPr>
          <w:p w14:paraId="362CEDCC" w14:textId="77777777" w:rsidR="00957D45" w:rsidRPr="008021D1" w:rsidRDefault="00957D45" w:rsidP="008021D1">
            <w:pPr>
              <w:cnfStyle w:val="000000000000" w:firstRow="0" w:lastRow="0" w:firstColumn="0" w:lastColumn="0" w:oddVBand="0" w:evenVBand="0" w:oddHBand="0" w:evenHBand="0" w:firstRowFirstColumn="0" w:firstRowLastColumn="0" w:lastRowFirstColumn="0" w:lastRowLastColumn="0"/>
            </w:pPr>
            <w:r w:rsidRPr="008021D1">
              <w:t>Street address (additional)</w:t>
            </w:r>
          </w:p>
        </w:tc>
      </w:tr>
      <w:tr w:rsidR="00957D45" w:rsidRPr="008021D1" w14:paraId="06736B19" w14:textId="77777777" w:rsidTr="00B45D1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73EA0681" w14:textId="77777777" w:rsidR="00957D45" w:rsidRPr="008021D1" w:rsidRDefault="00957D45" w:rsidP="008021D1">
            <w:r w:rsidRPr="008021D1">
              <w:t>6</w:t>
            </w:r>
          </w:p>
        </w:tc>
        <w:tc>
          <w:tcPr>
            <w:tcW w:w="3859" w:type="pct"/>
            <w:shd w:val="clear" w:color="auto" w:fill="F2F2F2"/>
            <w:hideMark/>
          </w:tcPr>
          <w:p w14:paraId="740888C2" w14:textId="77777777" w:rsidR="00957D45" w:rsidRPr="008021D1" w:rsidRDefault="00957D45" w:rsidP="008021D1">
            <w:pPr>
              <w:cnfStyle w:val="000000010000" w:firstRow="0" w:lastRow="0" w:firstColumn="0" w:lastColumn="0" w:oddVBand="0" w:evenVBand="0" w:oddHBand="0" w:evenHBand="1" w:firstRowFirstColumn="0" w:firstRowLastColumn="0" w:lastRowFirstColumn="0" w:lastRowLastColumn="0"/>
            </w:pPr>
            <w:r w:rsidRPr="008021D1">
              <w:t>City</w:t>
            </w:r>
          </w:p>
        </w:tc>
      </w:tr>
      <w:tr w:rsidR="00957D45" w:rsidRPr="008021D1" w14:paraId="33F5D0B7" w14:textId="77777777" w:rsidTr="00B45D14">
        <w:trPr>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14E051DC" w14:textId="77777777" w:rsidR="00957D45" w:rsidRPr="008021D1" w:rsidRDefault="00957D45" w:rsidP="008021D1">
            <w:r w:rsidRPr="008021D1">
              <w:t>7</w:t>
            </w:r>
          </w:p>
        </w:tc>
        <w:tc>
          <w:tcPr>
            <w:tcW w:w="3859" w:type="pct"/>
            <w:shd w:val="clear" w:color="auto" w:fill="F2F2F2"/>
            <w:hideMark/>
          </w:tcPr>
          <w:p w14:paraId="7CB12C1A" w14:textId="77777777" w:rsidR="00957D45" w:rsidRPr="008021D1" w:rsidRDefault="00957D45" w:rsidP="008021D1">
            <w:pPr>
              <w:cnfStyle w:val="000000000000" w:firstRow="0" w:lastRow="0" w:firstColumn="0" w:lastColumn="0" w:oddVBand="0" w:evenVBand="0" w:oddHBand="0" w:evenHBand="0" w:firstRowFirstColumn="0" w:firstRowLastColumn="0" w:lastRowFirstColumn="0" w:lastRowLastColumn="0"/>
            </w:pPr>
            <w:r w:rsidRPr="008021D1">
              <w:t>State</w:t>
            </w:r>
          </w:p>
        </w:tc>
      </w:tr>
      <w:tr w:rsidR="00957D45" w:rsidRPr="008021D1" w14:paraId="3AFDEFE9" w14:textId="77777777" w:rsidTr="00B45D1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7854CC47" w14:textId="77777777" w:rsidR="00957D45" w:rsidRPr="008021D1" w:rsidRDefault="00957D45" w:rsidP="008021D1">
            <w:r w:rsidRPr="008021D1">
              <w:t>8</w:t>
            </w:r>
          </w:p>
        </w:tc>
        <w:tc>
          <w:tcPr>
            <w:tcW w:w="3859" w:type="pct"/>
            <w:shd w:val="clear" w:color="auto" w:fill="F2F2F2"/>
            <w:hideMark/>
          </w:tcPr>
          <w:p w14:paraId="682DAACA" w14:textId="77777777" w:rsidR="00957D45" w:rsidRPr="008021D1" w:rsidRDefault="00957D45" w:rsidP="008021D1">
            <w:pPr>
              <w:cnfStyle w:val="000000010000" w:firstRow="0" w:lastRow="0" w:firstColumn="0" w:lastColumn="0" w:oddVBand="0" w:evenVBand="0" w:oddHBand="0" w:evenHBand="1" w:firstRowFirstColumn="0" w:firstRowLastColumn="0" w:lastRowFirstColumn="0" w:lastRowLastColumn="0"/>
            </w:pPr>
            <w:r w:rsidRPr="008021D1">
              <w:t>ZIP code</w:t>
            </w:r>
          </w:p>
        </w:tc>
      </w:tr>
      <w:tr w:rsidR="00957D45" w:rsidRPr="008021D1" w14:paraId="297F9175" w14:textId="77777777" w:rsidTr="00B45D14">
        <w:trPr>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3AE98008" w14:textId="77777777" w:rsidR="00957D45" w:rsidRPr="008021D1" w:rsidRDefault="00957D45" w:rsidP="008021D1">
            <w:r w:rsidRPr="008021D1">
              <w:t>9</w:t>
            </w:r>
          </w:p>
        </w:tc>
        <w:tc>
          <w:tcPr>
            <w:tcW w:w="3859" w:type="pct"/>
            <w:shd w:val="clear" w:color="auto" w:fill="F2F2F2"/>
            <w:hideMark/>
          </w:tcPr>
          <w:p w14:paraId="2AE18A33" w14:textId="77777777" w:rsidR="00957D45" w:rsidRPr="008021D1" w:rsidRDefault="00957D45" w:rsidP="008021D1">
            <w:pPr>
              <w:cnfStyle w:val="000000000000" w:firstRow="0" w:lastRow="0" w:firstColumn="0" w:lastColumn="0" w:oddVBand="0" w:evenVBand="0" w:oddHBand="0" w:evenHBand="0" w:firstRowFirstColumn="0" w:firstRowLastColumn="0" w:lastRowFirstColumn="0" w:lastRowLastColumn="0"/>
            </w:pPr>
            <w:r w:rsidRPr="008021D1">
              <w:t>County</w:t>
            </w:r>
          </w:p>
        </w:tc>
      </w:tr>
      <w:tr w:rsidR="00957D45" w:rsidRPr="008021D1" w14:paraId="601C7515" w14:textId="77777777" w:rsidTr="00B45D1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1DFC018F" w14:textId="77777777" w:rsidR="00957D45" w:rsidRPr="008021D1" w:rsidRDefault="00957D45" w:rsidP="008021D1">
            <w:r w:rsidRPr="008021D1">
              <w:t>10</w:t>
            </w:r>
          </w:p>
        </w:tc>
        <w:tc>
          <w:tcPr>
            <w:tcW w:w="3859" w:type="pct"/>
            <w:shd w:val="clear" w:color="auto" w:fill="F2F2F2"/>
            <w:hideMark/>
          </w:tcPr>
          <w:p w14:paraId="67D48C6F" w14:textId="77777777" w:rsidR="00957D45" w:rsidRPr="008021D1" w:rsidRDefault="00957D45" w:rsidP="008021D1">
            <w:pPr>
              <w:cnfStyle w:val="000000010000" w:firstRow="0" w:lastRow="0" w:firstColumn="0" w:lastColumn="0" w:oddVBand="0" w:evenVBand="0" w:oddHBand="0" w:evenHBand="1" w:firstRowFirstColumn="0" w:firstRowLastColumn="0" w:lastRowFirstColumn="0" w:lastRowLastColumn="0"/>
            </w:pPr>
            <w:r w:rsidRPr="008021D1">
              <w:t>Contact person</w:t>
            </w:r>
          </w:p>
        </w:tc>
      </w:tr>
      <w:tr w:rsidR="00957D45" w:rsidRPr="008021D1" w14:paraId="774AB2AF" w14:textId="77777777" w:rsidTr="00B45D14">
        <w:trPr>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3EC4A303" w14:textId="77777777" w:rsidR="00957D45" w:rsidRPr="008021D1" w:rsidRDefault="00957D45" w:rsidP="008021D1">
            <w:r w:rsidRPr="008021D1">
              <w:t>11</w:t>
            </w:r>
          </w:p>
        </w:tc>
        <w:tc>
          <w:tcPr>
            <w:tcW w:w="3859" w:type="pct"/>
            <w:shd w:val="clear" w:color="auto" w:fill="F2F2F2"/>
            <w:hideMark/>
          </w:tcPr>
          <w:p w14:paraId="18AE71A6" w14:textId="77777777" w:rsidR="00957D45" w:rsidRPr="008021D1" w:rsidRDefault="00957D45" w:rsidP="008021D1">
            <w:pPr>
              <w:cnfStyle w:val="000000000000" w:firstRow="0" w:lastRow="0" w:firstColumn="0" w:lastColumn="0" w:oddVBand="0" w:evenVBand="0" w:oddHBand="0" w:evenHBand="0" w:firstRowFirstColumn="0" w:firstRowLastColumn="0" w:lastRowFirstColumn="0" w:lastRowLastColumn="0"/>
            </w:pPr>
            <w:r w:rsidRPr="008021D1">
              <w:t>Contact person email</w:t>
            </w:r>
          </w:p>
        </w:tc>
      </w:tr>
      <w:tr w:rsidR="00957D45" w:rsidRPr="008021D1" w14:paraId="71585FD6" w14:textId="77777777" w:rsidTr="00B45D1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07B5EB6C" w14:textId="77777777" w:rsidR="00957D45" w:rsidRPr="008021D1" w:rsidRDefault="00957D45" w:rsidP="008021D1">
            <w:r w:rsidRPr="008021D1">
              <w:t>12</w:t>
            </w:r>
          </w:p>
        </w:tc>
        <w:tc>
          <w:tcPr>
            <w:tcW w:w="3859" w:type="pct"/>
            <w:shd w:val="clear" w:color="auto" w:fill="F2F2F2"/>
            <w:hideMark/>
          </w:tcPr>
          <w:p w14:paraId="69154DD9" w14:textId="77777777" w:rsidR="00957D45" w:rsidRPr="008021D1" w:rsidRDefault="00957D45" w:rsidP="008021D1">
            <w:pPr>
              <w:cnfStyle w:val="000000010000" w:firstRow="0" w:lastRow="0" w:firstColumn="0" w:lastColumn="0" w:oddVBand="0" w:evenVBand="0" w:oddHBand="0" w:evenHBand="1" w:firstRowFirstColumn="0" w:firstRowLastColumn="0" w:lastRowFirstColumn="0" w:lastRowLastColumn="0"/>
            </w:pPr>
            <w:r w:rsidRPr="008021D1">
              <w:t>Telephone number</w:t>
            </w:r>
          </w:p>
        </w:tc>
      </w:tr>
      <w:tr w:rsidR="00957D45" w:rsidRPr="008021D1" w14:paraId="4BAA57EE" w14:textId="77777777" w:rsidTr="00B45D14">
        <w:trPr>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6661850F" w14:textId="77777777" w:rsidR="00957D45" w:rsidRPr="008021D1" w:rsidRDefault="00957D45" w:rsidP="008021D1">
            <w:r w:rsidRPr="008021D1">
              <w:t>13</w:t>
            </w:r>
          </w:p>
        </w:tc>
        <w:tc>
          <w:tcPr>
            <w:tcW w:w="3859" w:type="pct"/>
            <w:shd w:val="clear" w:color="auto" w:fill="F2F2F2"/>
            <w:hideMark/>
          </w:tcPr>
          <w:p w14:paraId="463A7514" w14:textId="77777777" w:rsidR="00957D45" w:rsidRPr="008021D1" w:rsidRDefault="00957D45" w:rsidP="008021D1">
            <w:pPr>
              <w:cnfStyle w:val="000000000000" w:firstRow="0" w:lastRow="0" w:firstColumn="0" w:lastColumn="0" w:oddVBand="0" w:evenVBand="0" w:oddHBand="0" w:evenHBand="0" w:firstRowFirstColumn="0" w:firstRowLastColumn="0" w:lastRowFirstColumn="0" w:lastRowLastColumn="0"/>
            </w:pPr>
            <w:r w:rsidRPr="008021D1">
              <w:t>Fax number</w:t>
            </w:r>
          </w:p>
        </w:tc>
      </w:tr>
      <w:tr w:rsidR="00957D45" w:rsidRPr="008021D1" w14:paraId="0F820040" w14:textId="77777777" w:rsidTr="00B45D1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60FC333B" w14:textId="77777777" w:rsidR="00957D45" w:rsidRPr="008021D1" w:rsidRDefault="00957D45" w:rsidP="008021D1">
            <w:r w:rsidRPr="008021D1">
              <w:t>14</w:t>
            </w:r>
          </w:p>
        </w:tc>
        <w:tc>
          <w:tcPr>
            <w:tcW w:w="3859" w:type="pct"/>
            <w:shd w:val="clear" w:color="auto" w:fill="F2F2F2"/>
            <w:hideMark/>
          </w:tcPr>
          <w:p w14:paraId="46463C3E" w14:textId="77777777" w:rsidR="00957D45" w:rsidRPr="008021D1" w:rsidRDefault="00957D45" w:rsidP="008021D1">
            <w:pPr>
              <w:cnfStyle w:val="000000010000" w:firstRow="0" w:lastRow="0" w:firstColumn="0" w:lastColumn="0" w:oddVBand="0" w:evenVBand="0" w:oddHBand="0" w:evenHBand="1" w:firstRowFirstColumn="0" w:firstRowLastColumn="0" w:lastRowFirstColumn="0" w:lastRowLastColumn="0"/>
            </w:pPr>
            <w:r w:rsidRPr="008021D1">
              <w:t xml:space="preserve">Was there a change in pharmacy ownership during the reporting period? </w:t>
            </w:r>
          </w:p>
        </w:tc>
      </w:tr>
      <w:tr w:rsidR="00957D45" w:rsidRPr="008021D1" w14:paraId="5B590067" w14:textId="77777777" w:rsidTr="00B45D14">
        <w:trPr>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0950560B" w14:textId="77777777" w:rsidR="00957D45" w:rsidRPr="008021D1" w:rsidRDefault="00957D45" w:rsidP="008021D1">
            <w:r w:rsidRPr="008021D1">
              <w:t>15</w:t>
            </w:r>
          </w:p>
        </w:tc>
        <w:tc>
          <w:tcPr>
            <w:tcW w:w="3859" w:type="pct"/>
            <w:shd w:val="clear" w:color="auto" w:fill="F2F2F2"/>
            <w:hideMark/>
          </w:tcPr>
          <w:p w14:paraId="6A019FB6" w14:textId="77777777" w:rsidR="00957D45" w:rsidRPr="008021D1" w:rsidRDefault="00957D45" w:rsidP="008021D1">
            <w:pPr>
              <w:cnfStyle w:val="000000000000" w:firstRow="0" w:lastRow="0" w:firstColumn="0" w:lastColumn="0" w:oddVBand="0" w:evenVBand="0" w:oddHBand="0" w:evenHBand="0" w:firstRowFirstColumn="0" w:firstRowLastColumn="0" w:lastRowFirstColumn="0" w:lastRowLastColumn="0"/>
            </w:pPr>
            <w:r w:rsidRPr="008021D1">
              <w:t>Was the pharmacy open the entire year?</w:t>
            </w:r>
          </w:p>
        </w:tc>
      </w:tr>
      <w:tr w:rsidR="00957D45" w:rsidRPr="008021D1" w14:paraId="2C4F3213" w14:textId="77777777" w:rsidTr="00B45D1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00714FDB" w14:textId="77777777" w:rsidR="00957D45" w:rsidRPr="008021D1" w:rsidRDefault="00957D45" w:rsidP="008021D1">
            <w:r w:rsidRPr="008021D1">
              <w:t>16</w:t>
            </w:r>
          </w:p>
        </w:tc>
        <w:tc>
          <w:tcPr>
            <w:tcW w:w="3859" w:type="pct"/>
            <w:shd w:val="clear" w:color="auto" w:fill="F2F2F2"/>
            <w:hideMark/>
          </w:tcPr>
          <w:p w14:paraId="16112F45" w14:textId="77777777" w:rsidR="00957D45" w:rsidRPr="008021D1" w:rsidRDefault="00957D45" w:rsidP="008021D1">
            <w:pPr>
              <w:cnfStyle w:val="000000010000" w:firstRow="0" w:lastRow="0" w:firstColumn="0" w:lastColumn="0" w:oddVBand="0" w:evenVBand="0" w:oddHBand="0" w:evenHBand="1" w:firstRowFirstColumn="0" w:firstRowLastColumn="0" w:lastRowFirstColumn="0" w:lastRowLastColumn="0"/>
            </w:pPr>
            <w:r w:rsidRPr="008021D1">
              <w:t>Select the appropriate provider type</w:t>
            </w:r>
          </w:p>
        </w:tc>
      </w:tr>
      <w:tr w:rsidR="00957D45" w:rsidRPr="008021D1" w14:paraId="0744BD35" w14:textId="77777777" w:rsidTr="00B45D14">
        <w:trPr>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7540D73B" w14:textId="77777777" w:rsidR="00957D45" w:rsidRPr="008021D1" w:rsidRDefault="00957D45" w:rsidP="008021D1">
            <w:r w:rsidRPr="008021D1">
              <w:t>17</w:t>
            </w:r>
          </w:p>
        </w:tc>
        <w:tc>
          <w:tcPr>
            <w:tcW w:w="3859" w:type="pct"/>
            <w:shd w:val="clear" w:color="auto" w:fill="F2F2F2"/>
            <w:hideMark/>
          </w:tcPr>
          <w:p w14:paraId="538DF033" w14:textId="77777777" w:rsidR="00957D45" w:rsidRPr="008021D1" w:rsidRDefault="00957D45" w:rsidP="008021D1">
            <w:pPr>
              <w:cnfStyle w:val="000000000000" w:firstRow="0" w:lastRow="0" w:firstColumn="0" w:lastColumn="0" w:oddVBand="0" w:evenVBand="0" w:oddHBand="0" w:evenHBand="0" w:firstRowFirstColumn="0" w:firstRowLastColumn="0" w:lastRowFirstColumn="0" w:lastRowLastColumn="0"/>
            </w:pPr>
            <w:r w:rsidRPr="008021D1">
              <w:t>Number of years this location has been in business as a pharmacy</w:t>
            </w:r>
          </w:p>
        </w:tc>
      </w:tr>
      <w:tr w:rsidR="00957D45" w:rsidRPr="008021D1" w14:paraId="4F3E1BA8" w14:textId="77777777" w:rsidTr="00B45D1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731B4436" w14:textId="77777777" w:rsidR="00957D45" w:rsidRPr="008021D1" w:rsidRDefault="00957D45" w:rsidP="008021D1">
            <w:r w:rsidRPr="008021D1">
              <w:t>18</w:t>
            </w:r>
          </w:p>
        </w:tc>
        <w:tc>
          <w:tcPr>
            <w:tcW w:w="3859" w:type="pct"/>
            <w:shd w:val="clear" w:color="auto" w:fill="F2F2F2"/>
            <w:hideMark/>
          </w:tcPr>
          <w:p w14:paraId="7814C107" w14:textId="77777777" w:rsidR="00957D45" w:rsidRPr="008021D1" w:rsidRDefault="00957D45" w:rsidP="008021D1">
            <w:pPr>
              <w:cnfStyle w:val="000000010000" w:firstRow="0" w:lastRow="0" w:firstColumn="0" w:lastColumn="0" w:oddVBand="0" w:evenVBand="0" w:oddHBand="0" w:evenHBand="1" w:firstRowFirstColumn="0" w:firstRowLastColumn="0" w:lastRowFirstColumn="0" w:lastRowLastColumn="0"/>
            </w:pPr>
            <w:r w:rsidRPr="008021D1">
              <w:t>Does the pharmacy provide 24-hour emergency service?</w:t>
            </w:r>
          </w:p>
        </w:tc>
      </w:tr>
      <w:tr w:rsidR="00957D45" w:rsidRPr="008021D1" w14:paraId="51A9C81A" w14:textId="77777777" w:rsidTr="00B45D14">
        <w:trPr>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1CB7EE73" w14:textId="77777777" w:rsidR="00957D45" w:rsidRPr="008021D1" w:rsidRDefault="00957D45" w:rsidP="008021D1">
            <w:r w:rsidRPr="008021D1">
              <w:t>19</w:t>
            </w:r>
          </w:p>
        </w:tc>
        <w:tc>
          <w:tcPr>
            <w:tcW w:w="3859" w:type="pct"/>
            <w:shd w:val="clear" w:color="auto" w:fill="F2F2F2"/>
            <w:hideMark/>
          </w:tcPr>
          <w:p w14:paraId="57437343" w14:textId="77777777" w:rsidR="00957D45" w:rsidRPr="008021D1" w:rsidRDefault="00957D45" w:rsidP="008021D1">
            <w:pPr>
              <w:cnfStyle w:val="000000000000" w:firstRow="0" w:lastRow="0" w:firstColumn="0" w:lastColumn="0" w:oddVBand="0" w:evenVBand="0" w:oddHBand="0" w:evenHBand="0" w:firstRowFirstColumn="0" w:firstRowLastColumn="0" w:lastRowFirstColumn="0" w:lastRowLastColumn="0"/>
            </w:pPr>
            <w:r w:rsidRPr="008021D1">
              <w:t>Hours per week the pharmacy department is open (maximum of 168)</w:t>
            </w:r>
          </w:p>
        </w:tc>
      </w:tr>
      <w:tr w:rsidR="00957D45" w:rsidRPr="008021D1" w14:paraId="343471D8" w14:textId="77777777" w:rsidTr="00B45D1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796E6376" w14:textId="77777777" w:rsidR="00957D45" w:rsidRPr="008021D1" w:rsidRDefault="00957D45" w:rsidP="008021D1">
            <w:r w:rsidRPr="008021D1">
              <w:t>20</w:t>
            </w:r>
          </w:p>
        </w:tc>
        <w:tc>
          <w:tcPr>
            <w:tcW w:w="3859" w:type="pct"/>
            <w:shd w:val="clear" w:color="auto" w:fill="F2F2F2"/>
            <w:hideMark/>
          </w:tcPr>
          <w:p w14:paraId="1AEA93CA" w14:textId="77777777" w:rsidR="00957D45" w:rsidRPr="008021D1" w:rsidRDefault="00957D45" w:rsidP="008021D1">
            <w:pPr>
              <w:cnfStyle w:val="000000010000" w:firstRow="0" w:lastRow="0" w:firstColumn="0" w:lastColumn="0" w:oddVBand="0" w:evenVBand="0" w:oddHBand="0" w:evenHBand="1" w:firstRowFirstColumn="0" w:firstRowLastColumn="0" w:lastRowFirstColumn="0" w:lastRowLastColumn="0"/>
            </w:pPr>
            <w:r w:rsidRPr="008021D1">
              <w:t>Square footage for the prescription area at the end of the reporting period</w:t>
            </w:r>
          </w:p>
        </w:tc>
      </w:tr>
      <w:tr w:rsidR="00957D45" w:rsidRPr="008021D1" w14:paraId="2FF62B90" w14:textId="77777777" w:rsidTr="00B45D14">
        <w:trPr>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5B002D8E" w14:textId="77777777" w:rsidR="00957D45" w:rsidRPr="008021D1" w:rsidRDefault="00957D45" w:rsidP="008021D1">
            <w:r w:rsidRPr="008021D1">
              <w:t>21</w:t>
            </w:r>
          </w:p>
        </w:tc>
        <w:tc>
          <w:tcPr>
            <w:tcW w:w="3859" w:type="pct"/>
            <w:shd w:val="clear" w:color="auto" w:fill="F2F2F2"/>
            <w:hideMark/>
          </w:tcPr>
          <w:p w14:paraId="30E0825E" w14:textId="77777777" w:rsidR="00957D45" w:rsidRPr="008021D1" w:rsidRDefault="00957D45" w:rsidP="008021D1">
            <w:pPr>
              <w:cnfStyle w:val="000000000000" w:firstRow="0" w:lastRow="0" w:firstColumn="0" w:lastColumn="0" w:oddVBand="0" w:evenVBand="0" w:oddHBand="0" w:evenHBand="0" w:firstRowFirstColumn="0" w:firstRowLastColumn="0" w:lastRowFirstColumn="0" w:lastRowLastColumn="0"/>
            </w:pPr>
            <w:r w:rsidRPr="008021D1">
              <w:t>Square footage for the non-prescription area at the end of the reporting period</w:t>
            </w:r>
          </w:p>
        </w:tc>
      </w:tr>
      <w:tr w:rsidR="00957D45" w:rsidRPr="008021D1" w14:paraId="539349CC" w14:textId="77777777" w:rsidTr="00B45D1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11F1FDDF" w14:textId="77777777" w:rsidR="00957D45" w:rsidRPr="008021D1" w:rsidRDefault="00957D45" w:rsidP="008021D1">
            <w:r w:rsidRPr="008021D1">
              <w:t>22</w:t>
            </w:r>
          </w:p>
        </w:tc>
        <w:tc>
          <w:tcPr>
            <w:tcW w:w="3859" w:type="pct"/>
            <w:shd w:val="clear" w:color="auto" w:fill="F2F2F2"/>
            <w:hideMark/>
          </w:tcPr>
          <w:p w14:paraId="0BA4FD3A" w14:textId="77777777" w:rsidR="00957D45" w:rsidRPr="008021D1" w:rsidRDefault="00957D45" w:rsidP="008021D1">
            <w:pPr>
              <w:cnfStyle w:val="000000010000" w:firstRow="0" w:lastRow="0" w:firstColumn="0" w:lastColumn="0" w:oddVBand="0" w:evenVBand="0" w:oddHBand="0" w:evenHBand="1" w:firstRowFirstColumn="0" w:firstRowLastColumn="0" w:lastRowFirstColumn="0" w:lastRowLastColumn="0"/>
            </w:pPr>
            <w:r w:rsidRPr="008021D1">
              <w:t>Total square footage (sum of previous 2 questions)</w:t>
            </w:r>
          </w:p>
        </w:tc>
      </w:tr>
      <w:tr w:rsidR="00957D45" w:rsidRPr="008021D1" w14:paraId="621F7532" w14:textId="77777777" w:rsidTr="00B45D14">
        <w:trPr>
          <w:trHeight w:val="49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54830BFF" w14:textId="77777777" w:rsidR="00957D45" w:rsidRPr="008021D1" w:rsidRDefault="00957D45" w:rsidP="008021D1">
            <w:r w:rsidRPr="008021D1">
              <w:t>23</w:t>
            </w:r>
          </w:p>
        </w:tc>
        <w:tc>
          <w:tcPr>
            <w:tcW w:w="3859" w:type="pct"/>
            <w:shd w:val="clear" w:color="auto" w:fill="F2F2F2"/>
            <w:hideMark/>
          </w:tcPr>
          <w:p w14:paraId="42701D43" w14:textId="77777777" w:rsidR="00957D45" w:rsidRPr="008021D1" w:rsidRDefault="00957D45" w:rsidP="008021D1">
            <w:pPr>
              <w:cnfStyle w:val="000000000000" w:firstRow="0" w:lastRow="0" w:firstColumn="0" w:lastColumn="0" w:oddVBand="0" w:evenVBand="0" w:oddHBand="0" w:evenHBand="0" w:firstRowFirstColumn="0" w:firstRowLastColumn="0" w:lastRowFirstColumn="0" w:lastRowLastColumn="0"/>
            </w:pPr>
            <w:r w:rsidRPr="008021D1">
              <w:t>Total number of Medicaid fee-for-service (FFS) prescriptions filled by this pharmacy during the reporting period</w:t>
            </w:r>
          </w:p>
        </w:tc>
      </w:tr>
      <w:tr w:rsidR="00957D45" w:rsidRPr="008021D1" w14:paraId="53E5D332" w14:textId="77777777" w:rsidTr="00B45D1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6BDFE18B" w14:textId="77777777" w:rsidR="00957D45" w:rsidRPr="008021D1" w:rsidRDefault="00957D45" w:rsidP="008021D1">
            <w:r w:rsidRPr="008021D1">
              <w:lastRenderedPageBreak/>
              <w:t>24</w:t>
            </w:r>
          </w:p>
        </w:tc>
        <w:tc>
          <w:tcPr>
            <w:tcW w:w="3859" w:type="pct"/>
            <w:shd w:val="clear" w:color="auto" w:fill="F2F2F2"/>
            <w:hideMark/>
          </w:tcPr>
          <w:p w14:paraId="06DC7E4C" w14:textId="77777777" w:rsidR="00957D45" w:rsidRPr="008021D1" w:rsidRDefault="00957D45" w:rsidP="008021D1">
            <w:pPr>
              <w:cnfStyle w:val="000000010000" w:firstRow="0" w:lastRow="0" w:firstColumn="0" w:lastColumn="0" w:oddVBand="0" w:evenVBand="0" w:oddHBand="0" w:evenHBand="1" w:firstRowFirstColumn="0" w:firstRowLastColumn="0" w:lastRowFirstColumn="0" w:lastRowLastColumn="0"/>
            </w:pPr>
            <w:r w:rsidRPr="008021D1">
              <w:t>All other prescriptions</w:t>
            </w:r>
          </w:p>
        </w:tc>
      </w:tr>
      <w:tr w:rsidR="00957D45" w:rsidRPr="008021D1" w14:paraId="1C2C6244" w14:textId="77777777" w:rsidTr="00B45D14">
        <w:trPr>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32E3F7BC" w14:textId="77777777" w:rsidR="00957D45" w:rsidRPr="008021D1" w:rsidRDefault="00957D45" w:rsidP="008021D1">
            <w:r w:rsidRPr="008021D1">
              <w:t>25</w:t>
            </w:r>
          </w:p>
        </w:tc>
        <w:tc>
          <w:tcPr>
            <w:tcW w:w="3859" w:type="pct"/>
            <w:shd w:val="clear" w:color="auto" w:fill="F2F2F2"/>
            <w:hideMark/>
          </w:tcPr>
          <w:p w14:paraId="6EA3C794" w14:textId="77777777" w:rsidR="00957D45" w:rsidRPr="008021D1" w:rsidRDefault="00957D45" w:rsidP="008021D1">
            <w:pPr>
              <w:cnfStyle w:val="000000000000" w:firstRow="0" w:lastRow="0" w:firstColumn="0" w:lastColumn="0" w:oddVBand="0" w:evenVBand="0" w:oddHBand="0" w:evenHBand="0" w:firstRowFirstColumn="0" w:firstRowLastColumn="0" w:lastRowFirstColumn="0" w:lastRowLastColumn="0"/>
            </w:pPr>
            <w:r w:rsidRPr="008021D1">
              <w:t>Total prescriptions (sum of previous 2 questions)</w:t>
            </w:r>
          </w:p>
        </w:tc>
      </w:tr>
      <w:tr w:rsidR="00957D45" w:rsidRPr="008021D1" w14:paraId="0EA26B29" w14:textId="77777777" w:rsidTr="00B45D1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6DC29AF3" w14:textId="77777777" w:rsidR="00957D45" w:rsidRPr="008021D1" w:rsidRDefault="00957D45" w:rsidP="008021D1">
            <w:r w:rsidRPr="008021D1">
              <w:t>26</w:t>
            </w:r>
          </w:p>
        </w:tc>
        <w:tc>
          <w:tcPr>
            <w:tcW w:w="3859" w:type="pct"/>
            <w:shd w:val="clear" w:color="auto" w:fill="F2F2F2"/>
            <w:hideMark/>
          </w:tcPr>
          <w:p w14:paraId="5DBF4AB8" w14:textId="77777777" w:rsidR="00957D45" w:rsidRPr="008021D1" w:rsidRDefault="00957D45" w:rsidP="008021D1">
            <w:pPr>
              <w:cnfStyle w:val="000000010000" w:firstRow="0" w:lastRow="0" w:firstColumn="0" w:lastColumn="0" w:oddVBand="0" w:evenVBand="0" w:oddHBand="0" w:evenHBand="1" w:firstRowFirstColumn="0" w:firstRowLastColumn="0" w:lastRowFirstColumn="0" w:lastRowLastColumn="0"/>
            </w:pPr>
            <w:r w:rsidRPr="008021D1">
              <w:t>Total number of Medicaid FFS prescriptions that were sterile compounds</w:t>
            </w:r>
          </w:p>
        </w:tc>
      </w:tr>
      <w:tr w:rsidR="00957D45" w:rsidRPr="008021D1" w14:paraId="60558A11" w14:textId="77777777" w:rsidTr="00B45D14">
        <w:trPr>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07F5B01B" w14:textId="77777777" w:rsidR="00957D45" w:rsidRPr="008021D1" w:rsidRDefault="00957D45" w:rsidP="008021D1">
            <w:r w:rsidRPr="008021D1">
              <w:t>27</w:t>
            </w:r>
          </w:p>
        </w:tc>
        <w:tc>
          <w:tcPr>
            <w:tcW w:w="3859" w:type="pct"/>
            <w:shd w:val="clear" w:color="auto" w:fill="F2F2F2"/>
            <w:hideMark/>
          </w:tcPr>
          <w:p w14:paraId="7771B5BA" w14:textId="77777777" w:rsidR="00957D45" w:rsidRPr="008021D1" w:rsidRDefault="00957D45" w:rsidP="008021D1">
            <w:pPr>
              <w:cnfStyle w:val="000000000000" w:firstRow="0" w:lastRow="0" w:firstColumn="0" w:lastColumn="0" w:oddVBand="0" w:evenVBand="0" w:oddHBand="0" w:evenHBand="0" w:firstRowFirstColumn="0" w:firstRowLastColumn="0" w:lastRowFirstColumn="0" w:lastRowLastColumn="0"/>
            </w:pPr>
            <w:r w:rsidRPr="008021D1">
              <w:t>Total number of Medicaid FFS prescriptions that were non-sterile compounds</w:t>
            </w:r>
          </w:p>
        </w:tc>
      </w:tr>
      <w:tr w:rsidR="00957D45" w:rsidRPr="008021D1" w14:paraId="01532209" w14:textId="77777777" w:rsidTr="00B45D1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4C9EA4C9" w14:textId="77777777" w:rsidR="00957D45" w:rsidRPr="008021D1" w:rsidRDefault="00957D45" w:rsidP="008021D1">
            <w:r w:rsidRPr="008021D1">
              <w:t>28</w:t>
            </w:r>
          </w:p>
        </w:tc>
        <w:tc>
          <w:tcPr>
            <w:tcW w:w="3859" w:type="pct"/>
            <w:shd w:val="clear" w:color="auto" w:fill="F2F2F2"/>
            <w:hideMark/>
          </w:tcPr>
          <w:p w14:paraId="7D24A176" w14:textId="77777777" w:rsidR="00957D45" w:rsidRPr="008021D1" w:rsidRDefault="00957D45" w:rsidP="008021D1">
            <w:pPr>
              <w:cnfStyle w:val="000000010000" w:firstRow="0" w:lastRow="0" w:firstColumn="0" w:lastColumn="0" w:oddVBand="0" w:evenVBand="0" w:oddHBand="0" w:evenHBand="1" w:firstRowFirstColumn="0" w:firstRowLastColumn="0" w:lastRowFirstColumn="0" w:lastRowLastColumn="0"/>
            </w:pPr>
            <w:r w:rsidRPr="008021D1">
              <w:t>Total Medicaid FFS compound prescriptions (sum of previous 2 questions)</w:t>
            </w:r>
          </w:p>
        </w:tc>
      </w:tr>
      <w:tr w:rsidR="00957D45" w:rsidRPr="008021D1" w14:paraId="3665A236" w14:textId="77777777" w:rsidTr="00B45D14">
        <w:trPr>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6D4D519D" w14:textId="77777777" w:rsidR="00957D45" w:rsidRPr="008021D1" w:rsidRDefault="00957D45" w:rsidP="008021D1">
            <w:r w:rsidRPr="008021D1">
              <w:t>29</w:t>
            </w:r>
          </w:p>
        </w:tc>
        <w:tc>
          <w:tcPr>
            <w:tcW w:w="3859" w:type="pct"/>
            <w:shd w:val="clear" w:color="auto" w:fill="F2F2F2"/>
            <w:hideMark/>
          </w:tcPr>
          <w:p w14:paraId="4A40E388" w14:textId="77777777" w:rsidR="00957D45" w:rsidRPr="008021D1" w:rsidRDefault="00957D45" w:rsidP="008021D1">
            <w:pPr>
              <w:cnfStyle w:val="000000000000" w:firstRow="0" w:lastRow="0" w:firstColumn="0" w:lastColumn="0" w:oddVBand="0" w:evenVBand="0" w:oddHBand="0" w:evenHBand="0" w:firstRowFirstColumn="0" w:firstRowLastColumn="0" w:lastRowFirstColumn="0" w:lastRowLastColumn="0"/>
            </w:pPr>
            <w:r w:rsidRPr="008021D1">
              <w:t>Total number of prescriptions that were sterile compounds</w:t>
            </w:r>
          </w:p>
        </w:tc>
      </w:tr>
      <w:tr w:rsidR="00957D45" w:rsidRPr="008021D1" w14:paraId="758CE383" w14:textId="77777777" w:rsidTr="00B45D1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740CC83B" w14:textId="77777777" w:rsidR="00957D45" w:rsidRPr="008021D1" w:rsidRDefault="00957D45" w:rsidP="008021D1">
            <w:r w:rsidRPr="008021D1">
              <w:t>30</w:t>
            </w:r>
          </w:p>
        </w:tc>
        <w:tc>
          <w:tcPr>
            <w:tcW w:w="3859" w:type="pct"/>
            <w:shd w:val="clear" w:color="auto" w:fill="F2F2F2"/>
            <w:hideMark/>
          </w:tcPr>
          <w:p w14:paraId="296A7EBD" w14:textId="77777777" w:rsidR="00957D45" w:rsidRPr="008021D1" w:rsidRDefault="00957D45" w:rsidP="008021D1">
            <w:pPr>
              <w:cnfStyle w:val="000000010000" w:firstRow="0" w:lastRow="0" w:firstColumn="0" w:lastColumn="0" w:oddVBand="0" w:evenVBand="0" w:oddHBand="0" w:evenHBand="1" w:firstRowFirstColumn="0" w:firstRowLastColumn="0" w:lastRowFirstColumn="0" w:lastRowLastColumn="0"/>
            </w:pPr>
            <w:r w:rsidRPr="008021D1">
              <w:t>Total number of prescriptions that were non-sterile compounds</w:t>
            </w:r>
          </w:p>
        </w:tc>
      </w:tr>
      <w:tr w:rsidR="00957D45" w:rsidRPr="008021D1" w14:paraId="0B490F4B" w14:textId="77777777" w:rsidTr="00B45D14">
        <w:trPr>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3901040A" w14:textId="77777777" w:rsidR="00957D45" w:rsidRPr="008021D1" w:rsidRDefault="00957D45" w:rsidP="008021D1">
            <w:r w:rsidRPr="008021D1">
              <w:t>31</w:t>
            </w:r>
          </w:p>
        </w:tc>
        <w:tc>
          <w:tcPr>
            <w:tcW w:w="3859" w:type="pct"/>
            <w:shd w:val="clear" w:color="auto" w:fill="F2F2F2"/>
            <w:hideMark/>
          </w:tcPr>
          <w:p w14:paraId="7704B963" w14:textId="77777777" w:rsidR="00957D45" w:rsidRPr="008021D1" w:rsidRDefault="00957D45" w:rsidP="008021D1">
            <w:pPr>
              <w:cnfStyle w:val="000000000000" w:firstRow="0" w:lastRow="0" w:firstColumn="0" w:lastColumn="0" w:oddVBand="0" w:evenVBand="0" w:oddHBand="0" w:evenHBand="0" w:firstRowFirstColumn="0" w:firstRowLastColumn="0" w:lastRowFirstColumn="0" w:lastRowLastColumn="0"/>
            </w:pPr>
            <w:r w:rsidRPr="008021D1">
              <w:t>Total compound prescriptions (sum of previous 2 questions)</w:t>
            </w:r>
          </w:p>
        </w:tc>
      </w:tr>
      <w:tr w:rsidR="00957D45" w:rsidRPr="008021D1" w14:paraId="69B71A5F" w14:textId="77777777" w:rsidTr="00B45D14">
        <w:trPr>
          <w:cnfStyle w:val="000000010000" w:firstRow="0" w:lastRow="0" w:firstColumn="0" w:lastColumn="0" w:oddVBand="0" w:evenVBand="0" w:oddHBand="0" w:evenHBand="1"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0CDC5B55" w14:textId="77777777" w:rsidR="00957D45" w:rsidRPr="008021D1" w:rsidRDefault="00957D45" w:rsidP="008021D1">
            <w:r w:rsidRPr="008021D1">
              <w:t>32</w:t>
            </w:r>
          </w:p>
        </w:tc>
        <w:tc>
          <w:tcPr>
            <w:tcW w:w="3859" w:type="pct"/>
            <w:shd w:val="clear" w:color="auto" w:fill="F2F2F2"/>
            <w:hideMark/>
          </w:tcPr>
          <w:p w14:paraId="7CA8905C" w14:textId="77777777" w:rsidR="00957D45" w:rsidRPr="008021D1" w:rsidRDefault="00957D45" w:rsidP="008021D1">
            <w:pPr>
              <w:cnfStyle w:val="000000010000" w:firstRow="0" w:lastRow="0" w:firstColumn="0" w:lastColumn="0" w:oddVBand="0" w:evenVBand="0" w:oddHBand="0" w:evenHBand="1" w:firstRowFirstColumn="0" w:firstRowLastColumn="0" w:lastRowFirstColumn="0" w:lastRowLastColumn="0"/>
            </w:pPr>
            <w:r w:rsidRPr="008021D1">
              <w:t>Total number of Medicaid FFS prescriptions that were delivered outside of the pharmacy to Medicaid beneficiaries</w:t>
            </w:r>
          </w:p>
        </w:tc>
      </w:tr>
      <w:tr w:rsidR="00957D45" w:rsidRPr="008021D1" w14:paraId="20E747A5" w14:textId="77777777" w:rsidTr="00B45D14">
        <w:trPr>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307B9F94" w14:textId="77777777" w:rsidR="00957D45" w:rsidRPr="008021D1" w:rsidRDefault="00957D45" w:rsidP="008021D1">
            <w:r w:rsidRPr="008021D1">
              <w:t>33</w:t>
            </w:r>
          </w:p>
        </w:tc>
        <w:tc>
          <w:tcPr>
            <w:tcW w:w="3859" w:type="pct"/>
            <w:shd w:val="clear" w:color="auto" w:fill="F2F2F2"/>
            <w:hideMark/>
          </w:tcPr>
          <w:p w14:paraId="11A5CE47" w14:textId="77777777" w:rsidR="00957D45" w:rsidRPr="008021D1" w:rsidRDefault="00957D45" w:rsidP="008021D1">
            <w:pPr>
              <w:cnfStyle w:val="000000000000" w:firstRow="0" w:lastRow="0" w:firstColumn="0" w:lastColumn="0" w:oddVBand="0" w:evenVBand="0" w:oddHBand="0" w:evenHBand="0" w:firstRowFirstColumn="0" w:firstRowLastColumn="0" w:lastRowFirstColumn="0" w:lastRowLastColumn="0"/>
            </w:pPr>
            <w:r w:rsidRPr="008021D1">
              <w:t>Total number of prescriptions that were delivered outside of the pharmacy to the recipient</w:t>
            </w:r>
          </w:p>
        </w:tc>
      </w:tr>
      <w:tr w:rsidR="00957D45" w:rsidRPr="008021D1" w14:paraId="2ADC4D53" w14:textId="77777777" w:rsidTr="00B45D1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63B45437" w14:textId="77777777" w:rsidR="00957D45" w:rsidRPr="008021D1" w:rsidRDefault="00957D45" w:rsidP="008021D1">
            <w:r w:rsidRPr="008021D1">
              <w:t>34</w:t>
            </w:r>
          </w:p>
        </w:tc>
        <w:tc>
          <w:tcPr>
            <w:tcW w:w="3859" w:type="pct"/>
            <w:shd w:val="clear" w:color="auto" w:fill="F2F2F2"/>
            <w:hideMark/>
          </w:tcPr>
          <w:p w14:paraId="180FA291" w14:textId="77777777" w:rsidR="00957D45" w:rsidRPr="008021D1" w:rsidRDefault="00957D45" w:rsidP="008021D1">
            <w:pPr>
              <w:cnfStyle w:val="000000010000" w:firstRow="0" w:lastRow="0" w:firstColumn="0" w:lastColumn="0" w:oddVBand="0" w:evenVBand="0" w:oddHBand="0" w:evenHBand="1" w:firstRowFirstColumn="0" w:firstRowLastColumn="0" w:lastRowFirstColumn="0" w:lastRowLastColumn="0"/>
            </w:pPr>
            <w:r w:rsidRPr="008021D1">
              <w:t>Radius of the delivery area expressed in miles</w:t>
            </w:r>
          </w:p>
        </w:tc>
      </w:tr>
      <w:tr w:rsidR="00957D45" w:rsidRPr="008021D1" w14:paraId="748FBA5A" w14:textId="77777777" w:rsidTr="00B45D14">
        <w:trPr>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608F28EA" w14:textId="77777777" w:rsidR="00957D45" w:rsidRPr="008021D1" w:rsidRDefault="00957D45" w:rsidP="008021D1">
            <w:r w:rsidRPr="008021D1">
              <w:t>35</w:t>
            </w:r>
          </w:p>
        </w:tc>
        <w:tc>
          <w:tcPr>
            <w:tcW w:w="3859" w:type="pct"/>
            <w:shd w:val="clear" w:color="auto" w:fill="F2F2F2"/>
            <w:hideMark/>
          </w:tcPr>
          <w:p w14:paraId="6F2188F3" w14:textId="77777777" w:rsidR="00957D45" w:rsidRPr="008021D1" w:rsidRDefault="00957D45" w:rsidP="008021D1">
            <w:pPr>
              <w:cnfStyle w:val="000000000000" w:firstRow="0" w:lastRow="0" w:firstColumn="0" w:lastColumn="0" w:oddVBand="0" w:evenVBand="0" w:oddHBand="0" w:evenHBand="0" w:firstRowFirstColumn="0" w:firstRowLastColumn="0" w:lastRowFirstColumn="0" w:lastRowLastColumn="0"/>
            </w:pPr>
            <w:r w:rsidRPr="008021D1">
              <w:t>Total Number of LTC prescriptions billed to Medicaid FFS during the reporting period</w:t>
            </w:r>
          </w:p>
        </w:tc>
      </w:tr>
      <w:tr w:rsidR="00957D45" w:rsidRPr="008021D1" w14:paraId="0119D87A" w14:textId="77777777" w:rsidTr="00B45D1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48ECF413" w14:textId="77777777" w:rsidR="00957D45" w:rsidRPr="008021D1" w:rsidRDefault="00957D45" w:rsidP="008021D1">
            <w:r w:rsidRPr="008021D1">
              <w:t>36</w:t>
            </w:r>
          </w:p>
        </w:tc>
        <w:tc>
          <w:tcPr>
            <w:tcW w:w="3859" w:type="pct"/>
            <w:shd w:val="clear" w:color="auto" w:fill="F2F2F2"/>
            <w:hideMark/>
          </w:tcPr>
          <w:p w14:paraId="455C4D9A" w14:textId="77777777" w:rsidR="00957D45" w:rsidRPr="008021D1" w:rsidRDefault="00957D45" w:rsidP="008021D1">
            <w:pPr>
              <w:cnfStyle w:val="000000010000" w:firstRow="0" w:lastRow="0" w:firstColumn="0" w:lastColumn="0" w:oddVBand="0" w:evenVBand="0" w:oddHBand="0" w:evenHBand="1" w:firstRowFirstColumn="0" w:firstRowLastColumn="0" w:lastRowFirstColumn="0" w:lastRowLastColumn="0"/>
            </w:pPr>
            <w:r w:rsidRPr="008021D1">
              <w:t>Total number of LTC prescriptions filled during the reporting period</w:t>
            </w:r>
          </w:p>
        </w:tc>
      </w:tr>
      <w:tr w:rsidR="00957D45" w:rsidRPr="008021D1" w14:paraId="45B6FA43" w14:textId="77777777" w:rsidTr="00B45D14">
        <w:trPr>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57927764" w14:textId="77777777" w:rsidR="00957D45" w:rsidRPr="008021D1" w:rsidRDefault="00957D45" w:rsidP="008021D1">
            <w:r w:rsidRPr="008021D1">
              <w:t>37</w:t>
            </w:r>
          </w:p>
        </w:tc>
        <w:tc>
          <w:tcPr>
            <w:tcW w:w="3859" w:type="pct"/>
            <w:shd w:val="clear" w:color="auto" w:fill="F2F2F2"/>
            <w:hideMark/>
          </w:tcPr>
          <w:p w14:paraId="28FB2494" w14:textId="77777777" w:rsidR="00957D45" w:rsidRPr="008021D1" w:rsidRDefault="00957D45" w:rsidP="008021D1">
            <w:pPr>
              <w:cnfStyle w:val="000000000000" w:firstRow="0" w:lastRow="0" w:firstColumn="0" w:lastColumn="0" w:oddVBand="0" w:evenVBand="0" w:oddHBand="0" w:evenHBand="0" w:firstRowFirstColumn="0" w:firstRowLastColumn="0" w:lastRowFirstColumn="0" w:lastRowLastColumn="0"/>
            </w:pPr>
            <w:r w:rsidRPr="008021D1">
              <w:t>Total number of 340B prescriptions billed to Medicaid FFS during the reporting period</w:t>
            </w:r>
          </w:p>
        </w:tc>
      </w:tr>
      <w:tr w:rsidR="00957D45" w:rsidRPr="008021D1" w14:paraId="096B7366" w14:textId="77777777" w:rsidTr="00B45D1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17ABB489" w14:textId="77777777" w:rsidR="00957D45" w:rsidRPr="008021D1" w:rsidRDefault="00957D45" w:rsidP="008021D1">
            <w:r w:rsidRPr="008021D1">
              <w:t>38</w:t>
            </w:r>
          </w:p>
        </w:tc>
        <w:tc>
          <w:tcPr>
            <w:tcW w:w="3859" w:type="pct"/>
            <w:shd w:val="clear" w:color="auto" w:fill="F2F2F2"/>
            <w:hideMark/>
          </w:tcPr>
          <w:p w14:paraId="3139973B" w14:textId="77777777" w:rsidR="00957D45" w:rsidRPr="008021D1" w:rsidRDefault="00957D45" w:rsidP="008021D1">
            <w:pPr>
              <w:cnfStyle w:val="000000010000" w:firstRow="0" w:lastRow="0" w:firstColumn="0" w:lastColumn="0" w:oddVBand="0" w:evenVBand="0" w:oddHBand="0" w:evenHBand="1" w:firstRowFirstColumn="0" w:firstRowLastColumn="0" w:lastRowFirstColumn="0" w:lastRowLastColumn="0"/>
            </w:pPr>
            <w:r w:rsidRPr="008021D1">
              <w:t>Total number of 340B prescriptions filled during the reporting period</w:t>
            </w:r>
          </w:p>
        </w:tc>
      </w:tr>
      <w:tr w:rsidR="00957D45" w:rsidRPr="008021D1" w14:paraId="2997A5BA" w14:textId="77777777" w:rsidTr="00B45D14">
        <w:trPr>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7A36D609" w14:textId="77777777" w:rsidR="00957D45" w:rsidRPr="008021D1" w:rsidRDefault="00957D45" w:rsidP="008021D1">
            <w:r w:rsidRPr="008021D1">
              <w:t>39</w:t>
            </w:r>
          </w:p>
        </w:tc>
        <w:tc>
          <w:tcPr>
            <w:tcW w:w="3859" w:type="pct"/>
            <w:shd w:val="clear" w:color="auto" w:fill="F2F2F2"/>
            <w:hideMark/>
          </w:tcPr>
          <w:p w14:paraId="24BE0A23" w14:textId="77777777" w:rsidR="00957D45" w:rsidRPr="008021D1" w:rsidRDefault="00957D45" w:rsidP="008021D1">
            <w:pPr>
              <w:cnfStyle w:val="000000000000" w:firstRow="0" w:lastRow="0" w:firstColumn="0" w:lastColumn="0" w:oddVBand="0" w:evenVBand="0" w:oddHBand="0" w:evenHBand="0" w:firstRowFirstColumn="0" w:firstRowLastColumn="0" w:lastRowFirstColumn="0" w:lastRowLastColumn="0"/>
            </w:pPr>
            <w:r w:rsidRPr="008021D1">
              <w:t>Total number of specialty prescriptions billed to Medicaid FFS during the reporting period</w:t>
            </w:r>
          </w:p>
        </w:tc>
      </w:tr>
      <w:tr w:rsidR="00957D45" w:rsidRPr="008021D1" w14:paraId="060DB802" w14:textId="77777777" w:rsidTr="00B45D1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39BD8F36" w14:textId="77777777" w:rsidR="00957D45" w:rsidRPr="008021D1" w:rsidRDefault="00957D45" w:rsidP="008021D1">
            <w:r w:rsidRPr="008021D1">
              <w:t>40</w:t>
            </w:r>
          </w:p>
        </w:tc>
        <w:tc>
          <w:tcPr>
            <w:tcW w:w="3859" w:type="pct"/>
            <w:shd w:val="clear" w:color="auto" w:fill="F2F2F2"/>
            <w:hideMark/>
          </w:tcPr>
          <w:p w14:paraId="382BDEC3" w14:textId="77777777" w:rsidR="00957D45" w:rsidRPr="008021D1" w:rsidRDefault="00957D45" w:rsidP="008021D1">
            <w:pPr>
              <w:cnfStyle w:val="000000010000" w:firstRow="0" w:lastRow="0" w:firstColumn="0" w:lastColumn="0" w:oddVBand="0" w:evenVBand="0" w:oddHBand="0" w:evenHBand="1" w:firstRowFirstColumn="0" w:firstRowLastColumn="0" w:lastRowFirstColumn="0" w:lastRowLastColumn="0"/>
            </w:pPr>
            <w:r w:rsidRPr="008021D1">
              <w:t>Total number of specialty prescriptions filled during the reporting period</w:t>
            </w:r>
          </w:p>
        </w:tc>
      </w:tr>
      <w:tr w:rsidR="00957D45" w:rsidRPr="008021D1" w14:paraId="6E74F52C" w14:textId="77777777" w:rsidTr="00B45D14">
        <w:trPr>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5758DE0C" w14:textId="77777777" w:rsidR="00957D45" w:rsidRPr="008021D1" w:rsidRDefault="00957D45" w:rsidP="008021D1">
            <w:r w:rsidRPr="008021D1">
              <w:t>41</w:t>
            </w:r>
          </w:p>
        </w:tc>
        <w:tc>
          <w:tcPr>
            <w:tcW w:w="3859" w:type="pct"/>
            <w:shd w:val="clear" w:color="auto" w:fill="F2F2F2"/>
            <w:hideMark/>
          </w:tcPr>
          <w:p w14:paraId="074B4A7B" w14:textId="77777777" w:rsidR="00957D45" w:rsidRPr="008021D1" w:rsidRDefault="00957D45" w:rsidP="008021D1">
            <w:pPr>
              <w:cnfStyle w:val="000000000000" w:firstRow="0" w:lastRow="0" w:firstColumn="0" w:lastColumn="0" w:oddVBand="0" w:evenVBand="0" w:oddHBand="0" w:evenHBand="0" w:firstRowFirstColumn="0" w:firstRowLastColumn="0" w:lastRowFirstColumn="0" w:lastRowLastColumn="0"/>
            </w:pPr>
            <w:r w:rsidRPr="008021D1">
              <w:t>Beginning date range of financial reports</w:t>
            </w:r>
          </w:p>
        </w:tc>
      </w:tr>
      <w:tr w:rsidR="00957D45" w:rsidRPr="008021D1" w14:paraId="2FE86F97" w14:textId="77777777" w:rsidTr="00B45D1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17EE846F" w14:textId="77777777" w:rsidR="00957D45" w:rsidRPr="008021D1" w:rsidRDefault="00957D45" w:rsidP="008021D1">
            <w:r w:rsidRPr="008021D1">
              <w:t>42</w:t>
            </w:r>
          </w:p>
        </w:tc>
        <w:tc>
          <w:tcPr>
            <w:tcW w:w="3859" w:type="pct"/>
            <w:shd w:val="clear" w:color="auto" w:fill="F2F2F2"/>
            <w:hideMark/>
          </w:tcPr>
          <w:p w14:paraId="345B5C15" w14:textId="77777777" w:rsidR="00957D45" w:rsidRPr="008021D1" w:rsidRDefault="00957D45" w:rsidP="008021D1">
            <w:pPr>
              <w:cnfStyle w:val="000000010000" w:firstRow="0" w:lastRow="0" w:firstColumn="0" w:lastColumn="0" w:oddVBand="0" w:evenVBand="0" w:oddHBand="0" w:evenHBand="1" w:firstRowFirstColumn="0" w:firstRowLastColumn="0" w:lastRowFirstColumn="0" w:lastRowLastColumn="0"/>
            </w:pPr>
            <w:r w:rsidRPr="008021D1">
              <w:t>Ending date range of financial reports</w:t>
            </w:r>
          </w:p>
        </w:tc>
      </w:tr>
      <w:tr w:rsidR="00957D45" w:rsidRPr="008021D1" w14:paraId="42FA5019" w14:textId="77777777" w:rsidTr="00B45D14">
        <w:trPr>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030DC528" w14:textId="77777777" w:rsidR="00957D45" w:rsidRPr="008021D1" w:rsidRDefault="00957D45" w:rsidP="008021D1">
            <w:r w:rsidRPr="008021D1">
              <w:t>43</w:t>
            </w:r>
          </w:p>
        </w:tc>
        <w:tc>
          <w:tcPr>
            <w:tcW w:w="3859" w:type="pct"/>
            <w:shd w:val="clear" w:color="auto" w:fill="F2F2F2"/>
            <w:hideMark/>
          </w:tcPr>
          <w:p w14:paraId="42514614" w14:textId="77777777" w:rsidR="00957D45" w:rsidRPr="008021D1" w:rsidRDefault="00957D45" w:rsidP="008021D1">
            <w:pPr>
              <w:cnfStyle w:val="000000000000" w:firstRow="0" w:lastRow="0" w:firstColumn="0" w:lastColumn="0" w:oddVBand="0" w:evenVBand="0" w:oddHBand="0" w:evenHBand="0" w:firstRowFirstColumn="0" w:firstRowLastColumn="0" w:lastRowFirstColumn="0" w:lastRowLastColumn="0"/>
            </w:pPr>
            <w:r w:rsidRPr="008021D1">
              <w:t xml:space="preserve">Prescription sales other than </w:t>
            </w:r>
            <w:proofErr w:type="gramStart"/>
            <w:r w:rsidRPr="008021D1">
              <w:t>over-the-counter</w:t>
            </w:r>
            <w:proofErr w:type="gramEnd"/>
            <w:r w:rsidRPr="008021D1">
              <w:t xml:space="preserve"> or 340B sales</w:t>
            </w:r>
          </w:p>
        </w:tc>
      </w:tr>
      <w:tr w:rsidR="00957D45" w:rsidRPr="008021D1" w14:paraId="56154BE4" w14:textId="77777777" w:rsidTr="00B45D1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17DFAFF8" w14:textId="77777777" w:rsidR="00957D45" w:rsidRPr="008021D1" w:rsidRDefault="00957D45" w:rsidP="008021D1">
            <w:r w:rsidRPr="008021D1">
              <w:t>44</w:t>
            </w:r>
          </w:p>
        </w:tc>
        <w:tc>
          <w:tcPr>
            <w:tcW w:w="3859" w:type="pct"/>
            <w:shd w:val="clear" w:color="auto" w:fill="F2F2F2"/>
            <w:hideMark/>
          </w:tcPr>
          <w:p w14:paraId="7B6E6B3F" w14:textId="77777777" w:rsidR="00957D45" w:rsidRPr="008021D1" w:rsidRDefault="00957D45" w:rsidP="008021D1">
            <w:pPr>
              <w:cnfStyle w:val="000000010000" w:firstRow="0" w:lastRow="0" w:firstColumn="0" w:lastColumn="0" w:oddVBand="0" w:evenVBand="0" w:oddHBand="0" w:evenHBand="1" w:firstRowFirstColumn="0" w:firstRowLastColumn="0" w:lastRowFirstColumn="0" w:lastRowLastColumn="0"/>
            </w:pPr>
            <w:r w:rsidRPr="008021D1">
              <w:t>OTC sales dispensed and sold by pharmacy department</w:t>
            </w:r>
          </w:p>
        </w:tc>
      </w:tr>
      <w:tr w:rsidR="00957D45" w:rsidRPr="008021D1" w14:paraId="77B3A295" w14:textId="77777777" w:rsidTr="00B45D14">
        <w:trPr>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0A0D5B59" w14:textId="77777777" w:rsidR="00957D45" w:rsidRPr="008021D1" w:rsidRDefault="00957D45" w:rsidP="008021D1">
            <w:r w:rsidRPr="008021D1">
              <w:t>45</w:t>
            </w:r>
          </w:p>
        </w:tc>
        <w:tc>
          <w:tcPr>
            <w:tcW w:w="3859" w:type="pct"/>
            <w:shd w:val="clear" w:color="auto" w:fill="F2F2F2"/>
            <w:hideMark/>
          </w:tcPr>
          <w:p w14:paraId="3D761FED" w14:textId="77777777" w:rsidR="00957D45" w:rsidRPr="008021D1" w:rsidRDefault="00957D45" w:rsidP="008021D1">
            <w:pPr>
              <w:cnfStyle w:val="000000000000" w:firstRow="0" w:lastRow="0" w:firstColumn="0" w:lastColumn="0" w:oddVBand="0" w:evenVBand="0" w:oddHBand="0" w:evenHBand="0" w:firstRowFirstColumn="0" w:firstRowLastColumn="0" w:lastRowFirstColumn="0" w:lastRowLastColumn="0"/>
            </w:pPr>
            <w:r w:rsidRPr="008021D1">
              <w:t>OTC sales by staff not in pharmacy department</w:t>
            </w:r>
          </w:p>
        </w:tc>
      </w:tr>
      <w:tr w:rsidR="00957D45" w:rsidRPr="008021D1" w14:paraId="30C9C4C0" w14:textId="77777777" w:rsidTr="00B45D1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41712604" w14:textId="77777777" w:rsidR="00957D45" w:rsidRPr="008021D1" w:rsidRDefault="00957D45" w:rsidP="008021D1">
            <w:r w:rsidRPr="008021D1">
              <w:t>46</w:t>
            </w:r>
          </w:p>
        </w:tc>
        <w:tc>
          <w:tcPr>
            <w:tcW w:w="3859" w:type="pct"/>
            <w:shd w:val="clear" w:color="auto" w:fill="F2F2F2"/>
            <w:hideMark/>
          </w:tcPr>
          <w:p w14:paraId="2CCC32E8" w14:textId="77777777" w:rsidR="00957D45" w:rsidRPr="008021D1" w:rsidRDefault="00957D45" w:rsidP="008021D1">
            <w:pPr>
              <w:cnfStyle w:val="000000010000" w:firstRow="0" w:lastRow="0" w:firstColumn="0" w:lastColumn="0" w:oddVBand="0" w:evenVBand="0" w:oddHBand="0" w:evenHBand="1" w:firstRowFirstColumn="0" w:firstRowLastColumn="0" w:lastRowFirstColumn="0" w:lastRowLastColumn="0"/>
            </w:pPr>
            <w:r w:rsidRPr="008021D1">
              <w:t>Sales of drugs purchased through the 340B program</w:t>
            </w:r>
          </w:p>
        </w:tc>
      </w:tr>
      <w:tr w:rsidR="00957D45" w:rsidRPr="008021D1" w14:paraId="3F994315" w14:textId="77777777" w:rsidTr="00B45D14">
        <w:trPr>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478DC4C1" w14:textId="77777777" w:rsidR="00957D45" w:rsidRPr="008021D1" w:rsidRDefault="00957D45" w:rsidP="008021D1">
            <w:r w:rsidRPr="008021D1">
              <w:t>47</w:t>
            </w:r>
          </w:p>
        </w:tc>
        <w:tc>
          <w:tcPr>
            <w:tcW w:w="3859" w:type="pct"/>
            <w:shd w:val="clear" w:color="auto" w:fill="F2F2F2"/>
            <w:hideMark/>
          </w:tcPr>
          <w:p w14:paraId="24C1F323" w14:textId="77777777" w:rsidR="00957D45" w:rsidRPr="008021D1" w:rsidRDefault="00957D45" w:rsidP="008021D1">
            <w:pPr>
              <w:cnfStyle w:val="000000000000" w:firstRow="0" w:lastRow="0" w:firstColumn="0" w:lastColumn="0" w:oddVBand="0" w:evenVBand="0" w:oddHBand="0" w:evenHBand="0" w:firstRowFirstColumn="0" w:firstRowLastColumn="0" w:lastRowFirstColumn="0" w:lastRowLastColumn="0"/>
            </w:pPr>
            <w:r w:rsidRPr="008021D1">
              <w:t>Revenue for medication therapy management (MTM) from all payers</w:t>
            </w:r>
          </w:p>
        </w:tc>
      </w:tr>
      <w:tr w:rsidR="00957D45" w:rsidRPr="008021D1" w14:paraId="6B95FC65" w14:textId="77777777" w:rsidTr="00B45D1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75AF4D66" w14:textId="77777777" w:rsidR="00957D45" w:rsidRPr="008021D1" w:rsidRDefault="00957D45" w:rsidP="008021D1">
            <w:r w:rsidRPr="008021D1">
              <w:lastRenderedPageBreak/>
              <w:t>48</w:t>
            </w:r>
          </w:p>
        </w:tc>
        <w:tc>
          <w:tcPr>
            <w:tcW w:w="3859" w:type="pct"/>
            <w:shd w:val="clear" w:color="auto" w:fill="F2F2F2"/>
            <w:hideMark/>
          </w:tcPr>
          <w:p w14:paraId="61393AEA" w14:textId="77777777" w:rsidR="00957D45" w:rsidRPr="008021D1" w:rsidRDefault="00957D45" w:rsidP="008021D1">
            <w:pPr>
              <w:cnfStyle w:val="000000010000" w:firstRow="0" w:lastRow="0" w:firstColumn="0" w:lastColumn="0" w:oddVBand="0" w:evenVBand="0" w:oddHBand="0" w:evenHBand="1" w:firstRowFirstColumn="0" w:firstRowLastColumn="0" w:lastRowFirstColumn="0" w:lastRowLastColumn="0"/>
            </w:pPr>
            <w:r w:rsidRPr="008021D1">
              <w:t>Revenue for special packaging, including blister packs</w:t>
            </w:r>
          </w:p>
        </w:tc>
      </w:tr>
      <w:tr w:rsidR="00957D45" w:rsidRPr="008021D1" w14:paraId="1CB5D2B3" w14:textId="77777777" w:rsidTr="00B45D14">
        <w:trPr>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7400A347" w14:textId="77777777" w:rsidR="00957D45" w:rsidRPr="008021D1" w:rsidRDefault="00957D45" w:rsidP="008021D1">
            <w:r w:rsidRPr="008021D1">
              <w:t>49</w:t>
            </w:r>
          </w:p>
        </w:tc>
        <w:tc>
          <w:tcPr>
            <w:tcW w:w="3859" w:type="pct"/>
            <w:shd w:val="clear" w:color="auto" w:fill="F2F2F2"/>
            <w:hideMark/>
          </w:tcPr>
          <w:p w14:paraId="5784CCE8" w14:textId="77777777" w:rsidR="00957D45" w:rsidRPr="008021D1" w:rsidRDefault="00957D45" w:rsidP="008021D1">
            <w:pPr>
              <w:cnfStyle w:val="000000000000" w:firstRow="0" w:lastRow="0" w:firstColumn="0" w:lastColumn="0" w:oddVBand="0" w:evenVBand="0" w:oddHBand="0" w:evenHBand="0" w:firstRowFirstColumn="0" w:firstRowLastColumn="0" w:lastRowFirstColumn="0" w:lastRowLastColumn="0"/>
            </w:pPr>
            <w:r w:rsidRPr="008021D1">
              <w:t>Revenue for compounding not included elsewhere</w:t>
            </w:r>
          </w:p>
        </w:tc>
      </w:tr>
      <w:tr w:rsidR="00957D45" w:rsidRPr="008021D1" w14:paraId="7475D8B6" w14:textId="77777777" w:rsidTr="00B45D1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0660DE85" w14:textId="77777777" w:rsidR="00957D45" w:rsidRPr="008021D1" w:rsidRDefault="00957D45" w:rsidP="008021D1">
            <w:r w:rsidRPr="008021D1">
              <w:t>50</w:t>
            </w:r>
          </w:p>
        </w:tc>
        <w:tc>
          <w:tcPr>
            <w:tcW w:w="3859" w:type="pct"/>
            <w:shd w:val="clear" w:color="auto" w:fill="F2F2F2"/>
            <w:hideMark/>
          </w:tcPr>
          <w:p w14:paraId="4D453E5A" w14:textId="77777777" w:rsidR="00957D45" w:rsidRPr="008021D1" w:rsidRDefault="00957D45" w:rsidP="008021D1">
            <w:pPr>
              <w:cnfStyle w:val="000000010000" w:firstRow="0" w:lastRow="0" w:firstColumn="0" w:lastColumn="0" w:oddVBand="0" w:evenVBand="0" w:oddHBand="0" w:evenHBand="1" w:firstRowFirstColumn="0" w:firstRowLastColumn="0" w:lastRowFirstColumn="0" w:lastRowLastColumn="0"/>
            </w:pPr>
            <w:r w:rsidRPr="008021D1">
              <w:t>Other sales such as retail sales and services</w:t>
            </w:r>
          </w:p>
        </w:tc>
      </w:tr>
      <w:tr w:rsidR="00957D45" w:rsidRPr="008021D1" w14:paraId="397F77CE" w14:textId="77777777" w:rsidTr="00B45D14">
        <w:trPr>
          <w:trHeight w:val="309"/>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6807AC09" w14:textId="77777777" w:rsidR="00957D45" w:rsidRPr="008021D1" w:rsidRDefault="00957D45" w:rsidP="008021D1">
            <w:r w:rsidRPr="008021D1">
              <w:t>51</w:t>
            </w:r>
          </w:p>
        </w:tc>
        <w:tc>
          <w:tcPr>
            <w:tcW w:w="3859" w:type="pct"/>
            <w:shd w:val="clear" w:color="auto" w:fill="F2F2F2"/>
            <w:hideMark/>
          </w:tcPr>
          <w:p w14:paraId="095FC118" w14:textId="77777777" w:rsidR="00957D45" w:rsidRPr="008021D1" w:rsidRDefault="00957D45" w:rsidP="008021D1">
            <w:pPr>
              <w:cnfStyle w:val="000000000000" w:firstRow="0" w:lastRow="0" w:firstColumn="0" w:lastColumn="0" w:oddVBand="0" w:evenVBand="0" w:oddHBand="0" w:evenHBand="0" w:firstRowFirstColumn="0" w:firstRowLastColumn="0" w:lastRowFirstColumn="0" w:lastRowLastColumn="0"/>
            </w:pPr>
            <w:r w:rsidRPr="008021D1">
              <w:t>Total sales (sum of previous 9 questions, should tie to total net sales on financial statements or tax returns)</w:t>
            </w:r>
          </w:p>
        </w:tc>
      </w:tr>
      <w:tr w:rsidR="00957D45" w:rsidRPr="008021D1" w14:paraId="0F30711F" w14:textId="77777777" w:rsidTr="00B45D1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6A23FB9D" w14:textId="77777777" w:rsidR="00957D45" w:rsidRPr="008021D1" w:rsidRDefault="00957D45" w:rsidP="008021D1">
            <w:r w:rsidRPr="008021D1">
              <w:t>52</w:t>
            </w:r>
          </w:p>
        </w:tc>
        <w:tc>
          <w:tcPr>
            <w:tcW w:w="3859" w:type="pct"/>
            <w:shd w:val="clear" w:color="auto" w:fill="F2F2F2"/>
            <w:hideMark/>
          </w:tcPr>
          <w:p w14:paraId="0178B7D1" w14:textId="77777777" w:rsidR="00957D45" w:rsidRPr="008021D1" w:rsidRDefault="00957D45" w:rsidP="008021D1">
            <w:pPr>
              <w:cnfStyle w:val="000000010000" w:firstRow="0" w:lastRow="0" w:firstColumn="0" w:lastColumn="0" w:oddVBand="0" w:evenVBand="0" w:oddHBand="0" w:evenHBand="1" w:firstRowFirstColumn="0" w:firstRowLastColumn="0" w:lastRowFirstColumn="0" w:lastRowLastColumn="0"/>
            </w:pPr>
            <w:r w:rsidRPr="008021D1">
              <w:t>Cost of goods sold (COGS): pharmaceuticals (this will not be included in the dispensing fee calculation)</w:t>
            </w:r>
          </w:p>
        </w:tc>
      </w:tr>
      <w:tr w:rsidR="00957D45" w:rsidRPr="008021D1" w14:paraId="103E8870" w14:textId="77777777" w:rsidTr="00B45D14">
        <w:trPr>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50705B79" w14:textId="77777777" w:rsidR="00957D45" w:rsidRPr="008021D1" w:rsidRDefault="00957D45" w:rsidP="008021D1">
            <w:r w:rsidRPr="008021D1">
              <w:t>53</w:t>
            </w:r>
          </w:p>
        </w:tc>
        <w:tc>
          <w:tcPr>
            <w:tcW w:w="3859" w:type="pct"/>
            <w:shd w:val="clear" w:color="auto" w:fill="F2F2F2"/>
            <w:hideMark/>
          </w:tcPr>
          <w:p w14:paraId="0172128E" w14:textId="77777777" w:rsidR="00957D45" w:rsidRPr="008021D1" w:rsidRDefault="00957D45" w:rsidP="008021D1">
            <w:pPr>
              <w:cnfStyle w:val="000000000000" w:firstRow="0" w:lastRow="0" w:firstColumn="0" w:lastColumn="0" w:oddVBand="0" w:evenVBand="0" w:oddHBand="0" w:evenHBand="0" w:firstRowFirstColumn="0" w:firstRowLastColumn="0" w:lastRowFirstColumn="0" w:lastRowLastColumn="0"/>
            </w:pPr>
            <w:r w:rsidRPr="008021D1">
              <w:t>Non-pharmacy COGS</w:t>
            </w:r>
          </w:p>
        </w:tc>
      </w:tr>
      <w:tr w:rsidR="00957D45" w:rsidRPr="008021D1" w14:paraId="01ADAA27" w14:textId="77777777" w:rsidTr="00B45D1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4A04E2AA" w14:textId="77777777" w:rsidR="00957D45" w:rsidRPr="008021D1" w:rsidRDefault="00957D45" w:rsidP="008021D1">
            <w:r w:rsidRPr="008021D1">
              <w:t>54</w:t>
            </w:r>
          </w:p>
        </w:tc>
        <w:tc>
          <w:tcPr>
            <w:tcW w:w="3859" w:type="pct"/>
            <w:shd w:val="clear" w:color="auto" w:fill="F2F2F2"/>
            <w:hideMark/>
          </w:tcPr>
          <w:p w14:paraId="38787F05" w14:textId="77777777" w:rsidR="00957D45" w:rsidRPr="008021D1" w:rsidRDefault="00957D45" w:rsidP="008021D1">
            <w:pPr>
              <w:cnfStyle w:val="000000010000" w:firstRow="0" w:lastRow="0" w:firstColumn="0" w:lastColumn="0" w:oddVBand="0" w:evenVBand="0" w:oddHBand="0" w:evenHBand="1" w:firstRowFirstColumn="0" w:firstRowLastColumn="0" w:lastRowFirstColumn="0" w:lastRowLastColumn="0"/>
            </w:pPr>
            <w:r w:rsidRPr="008021D1">
              <w:t>Total COGS (sum of previous 2 questions)</w:t>
            </w:r>
          </w:p>
        </w:tc>
      </w:tr>
      <w:tr w:rsidR="00957D45" w:rsidRPr="008021D1" w14:paraId="49CBDFE0" w14:textId="77777777" w:rsidTr="00B45D14">
        <w:trPr>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7E654AA5" w14:textId="77777777" w:rsidR="00957D45" w:rsidRPr="008021D1" w:rsidRDefault="00957D45" w:rsidP="008021D1">
            <w:r w:rsidRPr="008021D1">
              <w:t>55</w:t>
            </w:r>
          </w:p>
        </w:tc>
        <w:tc>
          <w:tcPr>
            <w:tcW w:w="3859" w:type="pct"/>
            <w:shd w:val="clear" w:color="auto" w:fill="F2F2F2"/>
            <w:hideMark/>
          </w:tcPr>
          <w:p w14:paraId="0EED89CB" w14:textId="77777777" w:rsidR="00957D45" w:rsidRPr="008021D1" w:rsidRDefault="00957D45" w:rsidP="008021D1">
            <w:pPr>
              <w:cnfStyle w:val="000000000000" w:firstRow="0" w:lastRow="0" w:firstColumn="0" w:lastColumn="0" w:oddVBand="0" w:evenVBand="0" w:oddHBand="0" w:evenHBand="0" w:firstRowFirstColumn="0" w:firstRowLastColumn="0" w:lastRowFirstColumn="0" w:lastRowLastColumn="0"/>
            </w:pPr>
            <w:r w:rsidRPr="008021D1">
              <w:t>Prescription containers, labels, and other pharmacy supplies</w:t>
            </w:r>
          </w:p>
        </w:tc>
      </w:tr>
      <w:tr w:rsidR="00957D45" w:rsidRPr="008021D1" w14:paraId="19260CF5" w14:textId="77777777" w:rsidTr="00B45D1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2D5877E2" w14:textId="77777777" w:rsidR="00957D45" w:rsidRPr="008021D1" w:rsidRDefault="00957D45" w:rsidP="008021D1">
            <w:r w:rsidRPr="008021D1">
              <w:t>56</w:t>
            </w:r>
          </w:p>
        </w:tc>
        <w:tc>
          <w:tcPr>
            <w:tcW w:w="3859" w:type="pct"/>
            <w:shd w:val="clear" w:color="auto" w:fill="F2F2F2"/>
            <w:hideMark/>
          </w:tcPr>
          <w:p w14:paraId="35FBD4F8" w14:textId="77777777" w:rsidR="00957D45" w:rsidRPr="008021D1" w:rsidRDefault="00957D45" w:rsidP="008021D1">
            <w:pPr>
              <w:cnfStyle w:val="000000010000" w:firstRow="0" w:lastRow="0" w:firstColumn="0" w:lastColumn="0" w:oddVBand="0" w:evenVBand="0" w:oddHBand="0" w:evenHBand="1" w:firstRowFirstColumn="0" w:firstRowLastColumn="0" w:lastRowFirstColumn="0" w:lastRowLastColumn="0"/>
            </w:pPr>
            <w:r w:rsidRPr="008021D1">
              <w:t>Professional liability insurance for licensed personnel</w:t>
            </w:r>
          </w:p>
        </w:tc>
      </w:tr>
      <w:tr w:rsidR="00957D45" w:rsidRPr="008021D1" w14:paraId="251418DB" w14:textId="77777777" w:rsidTr="00B45D14">
        <w:trPr>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63CBC4D4" w14:textId="77777777" w:rsidR="00957D45" w:rsidRPr="008021D1" w:rsidRDefault="00957D45" w:rsidP="008021D1">
            <w:r w:rsidRPr="008021D1">
              <w:t>57</w:t>
            </w:r>
          </w:p>
        </w:tc>
        <w:tc>
          <w:tcPr>
            <w:tcW w:w="3859" w:type="pct"/>
            <w:shd w:val="clear" w:color="auto" w:fill="F2F2F2"/>
            <w:hideMark/>
          </w:tcPr>
          <w:p w14:paraId="1B4AF134" w14:textId="77777777" w:rsidR="00957D45" w:rsidRPr="008021D1" w:rsidRDefault="00957D45" w:rsidP="008021D1">
            <w:pPr>
              <w:cnfStyle w:val="000000000000" w:firstRow="0" w:lastRow="0" w:firstColumn="0" w:lastColumn="0" w:oddVBand="0" w:evenVBand="0" w:oddHBand="0" w:evenHBand="0" w:firstRowFirstColumn="0" w:firstRowLastColumn="0" w:lastRowFirstColumn="0" w:lastRowLastColumn="0"/>
            </w:pPr>
            <w:r w:rsidRPr="008021D1">
              <w:t>Pharmacy department licenses, permits, and fees</w:t>
            </w:r>
          </w:p>
        </w:tc>
      </w:tr>
      <w:tr w:rsidR="00957D45" w:rsidRPr="008021D1" w14:paraId="509548EF" w14:textId="77777777" w:rsidTr="00B45D1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0F0A4F8C" w14:textId="77777777" w:rsidR="00957D45" w:rsidRPr="008021D1" w:rsidRDefault="00957D45" w:rsidP="008021D1">
            <w:r w:rsidRPr="008021D1">
              <w:t>58</w:t>
            </w:r>
          </w:p>
        </w:tc>
        <w:tc>
          <w:tcPr>
            <w:tcW w:w="3859" w:type="pct"/>
            <w:shd w:val="clear" w:color="auto" w:fill="F2F2F2"/>
            <w:hideMark/>
          </w:tcPr>
          <w:p w14:paraId="199A5400" w14:textId="77777777" w:rsidR="00957D45" w:rsidRPr="008021D1" w:rsidRDefault="00957D45" w:rsidP="008021D1">
            <w:pPr>
              <w:cnfStyle w:val="000000010000" w:firstRow="0" w:lastRow="0" w:firstColumn="0" w:lastColumn="0" w:oddVBand="0" w:evenVBand="0" w:oddHBand="0" w:evenHBand="1" w:firstRowFirstColumn="0" w:firstRowLastColumn="0" w:lastRowFirstColumn="0" w:lastRowLastColumn="0"/>
            </w:pPr>
            <w:r w:rsidRPr="008021D1">
              <w:t>Dues, subscriptions and continuing education for the pharmacy department</w:t>
            </w:r>
          </w:p>
        </w:tc>
      </w:tr>
      <w:tr w:rsidR="00957D45" w:rsidRPr="008021D1" w14:paraId="6E71A03A" w14:textId="77777777" w:rsidTr="00B45D14">
        <w:trPr>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0A1BD6DD" w14:textId="77777777" w:rsidR="00957D45" w:rsidRPr="008021D1" w:rsidRDefault="00957D45" w:rsidP="008021D1">
            <w:r w:rsidRPr="008021D1">
              <w:t>59</w:t>
            </w:r>
          </w:p>
        </w:tc>
        <w:tc>
          <w:tcPr>
            <w:tcW w:w="3859" w:type="pct"/>
            <w:shd w:val="clear" w:color="auto" w:fill="F2F2F2"/>
            <w:hideMark/>
          </w:tcPr>
          <w:p w14:paraId="690E8E2F" w14:textId="77777777" w:rsidR="00957D45" w:rsidRPr="008021D1" w:rsidRDefault="00957D45" w:rsidP="008021D1">
            <w:pPr>
              <w:cnfStyle w:val="000000000000" w:firstRow="0" w:lastRow="0" w:firstColumn="0" w:lastColumn="0" w:oddVBand="0" w:evenVBand="0" w:oddHBand="0" w:evenHBand="0" w:firstRowFirstColumn="0" w:firstRowLastColumn="0" w:lastRowFirstColumn="0" w:lastRowLastColumn="0"/>
            </w:pPr>
            <w:r w:rsidRPr="008021D1">
              <w:t>Delivery expenses (prescription related)</w:t>
            </w:r>
          </w:p>
        </w:tc>
      </w:tr>
      <w:tr w:rsidR="00957D45" w:rsidRPr="008021D1" w14:paraId="57BD7726" w14:textId="77777777" w:rsidTr="00B45D1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181CB447" w14:textId="77777777" w:rsidR="00957D45" w:rsidRPr="008021D1" w:rsidRDefault="00957D45" w:rsidP="008021D1">
            <w:r w:rsidRPr="008021D1">
              <w:t>60</w:t>
            </w:r>
          </w:p>
        </w:tc>
        <w:tc>
          <w:tcPr>
            <w:tcW w:w="3859" w:type="pct"/>
            <w:shd w:val="clear" w:color="auto" w:fill="F2F2F2"/>
            <w:hideMark/>
          </w:tcPr>
          <w:p w14:paraId="203CCE27" w14:textId="77777777" w:rsidR="00957D45" w:rsidRPr="008021D1" w:rsidRDefault="00957D45" w:rsidP="008021D1">
            <w:pPr>
              <w:cnfStyle w:val="000000010000" w:firstRow="0" w:lastRow="0" w:firstColumn="0" w:lastColumn="0" w:oddVBand="0" w:evenVBand="0" w:oddHBand="0" w:evenHBand="1" w:firstRowFirstColumn="0" w:firstRowLastColumn="0" w:lastRowFirstColumn="0" w:lastRowLastColumn="0"/>
            </w:pPr>
            <w:r w:rsidRPr="008021D1">
              <w:t xml:space="preserve">Expenses for compounding </w:t>
            </w:r>
          </w:p>
        </w:tc>
      </w:tr>
      <w:tr w:rsidR="00957D45" w:rsidRPr="008021D1" w14:paraId="6AB5F604" w14:textId="77777777" w:rsidTr="00B45D14">
        <w:trPr>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1A90C380" w14:textId="77777777" w:rsidR="00957D45" w:rsidRPr="008021D1" w:rsidRDefault="00957D45" w:rsidP="008021D1">
            <w:r w:rsidRPr="008021D1">
              <w:t>61</w:t>
            </w:r>
          </w:p>
        </w:tc>
        <w:tc>
          <w:tcPr>
            <w:tcW w:w="3859" w:type="pct"/>
            <w:shd w:val="clear" w:color="auto" w:fill="F2F2F2"/>
            <w:hideMark/>
          </w:tcPr>
          <w:p w14:paraId="3EA8BF0C" w14:textId="77777777" w:rsidR="00957D45" w:rsidRPr="008021D1" w:rsidRDefault="00957D45" w:rsidP="008021D1">
            <w:pPr>
              <w:cnfStyle w:val="000000000000" w:firstRow="0" w:lastRow="0" w:firstColumn="0" w:lastColumn="0" w:oddVBand="0" w:evenVBand="0" w:oddHBand="0" w:evenHBand="0" w:firstRowFirstColumn="0" w:firstRowLastColumn="0" w:lastRowFirstColumn="0" w:lastRowLastColumn="0"/>
            </w:pPr>
            <w:r w:rsidRPr="008021D1">
              <w:t>Bad debts for prescriptions (including uncollected copayments)</w:t>
            </w:r>
          </w:p>
        </w:tc>
      </w:tr>
      <w:tr w:rsidR="00957D45" w:rsidRPr="008021D1" w14:paraId="4FA40DB0" w14:textId="77777777" w:rsidTr="00B45D1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61ABDC4E" w14:textId="77777777" w:rsidR="00957D45" w:rsidRPr="008021D1" w:rsidRDefault="00957D45" w:rsidP="008021D1">
            <w:r w:rsidRPr="008021D1">
              <w:t>62</w:t>
            </w:r>
          </w:p>
        </w:tc>
        <w:tc>
          <w:tcPr>
            <w:tcW w:w="3859" w:type="pct"/>
            <w:shd w:val="clear" w:color="auto" w:fill="F2F2F2"/>
            <w:hideMark/>
          </w:tcPr>
          <w:p w14:paraId="192F88E9" w14:textId="77777777" w:rsidR="00957D45" w:rsidRPr="008021D1" w:rsidRDefault="00957D45" w:rsidP="008021D1">
            <w:pPr>
              <w:cnfStyle w:val="000000010000" w:firstRow="0" w:lastRow="0" w:firstColumn="0" w:lastColumn="0" w:oddVBand="0" w:evenVBand="0" w:oddHBand="0" w:evenHBand="1" w:firstRowFirstColumn="0" w:firstRowLastColumn="0" w:lastRowFirstColumn="0" w:lastRowLastColumn="0"/>
            </w:pPr>
            <w:r w:rsidRPr="008021D1">
              <w:t>Computer systems costs related only to the pharmacy department for dispensing services</w:t>
            </w:r>
          </w:p>
        </w:tc>
      </w:tr>
      <w:tr w:rsidR="00957D45" w:rsidRPr="008021D1" w14:paraId="55D236AF" w14:textId="77777777" w:rsidTr="00B45D14">
        <w:trPr>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63ADF7DF" w14:textId="77777777" w:rsidR="00957D45" w:rsidRPr="008021D1" w:rsidRDefault="00957D45" w:rsidP="008021D1">
            <w:r w:rsidRPr="008021D1">
              <w:t>63</w:t>
            </w:r>
          </w:p>
        </w:tc>
        <w:tc>
          <w:tcPr>
            <w:tcW w:w="3859" w:type="pct"/>
            <w:shd w:val="clear" w:color="auto" w:fill="F2F2F2"/>
            <w:hideMark/>
          </w:tcPr>
          <w:p w14:paraId="240B052C" w14:textId="77777777" w:rsidR="00957D45" w:rsidRPr="008021D1" w:rsidRDefault="00957D45" w:rsidP="008021D1">
            <w:pPr>
              <w:cnfStyle w:val="000000000000" w:firstRow="0" w:lastRow="0" w:firstColumn="0" w:lastColumn="0" w:oddVBand="0" w:evenVBand="0" w:oddHBand="0" w:evenHBand="0" w:firstRowFirstColumn="0" w:firstRowLastColumn="0" w:lastRowFirstColumn="0" w:lastRowLastColumn="0"/>
            </w:pPr>
            <w:r w:rsidRPr="008021D1">
              <w:t>Claim transmission charges</w:t>
            </w:r>
          </w:p>
        </w:tc>
      </w:tr>
      <w:tr w:rsidR="00957D45" w:rsidRPr="008021D1" w14:paraId="291BA0F3" w14:textId="77777777" w:rsidTr="00B45D1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7C88BF46" w14:textId="77777777" w:rsidR="00957D45" w:rsidRPr="008021D1" w:rsidRDefault="00957D45" w:rsidP="008021D1">
            <w:r w:rsidRPr="008021D1">
              <w:t>64</w:t>
            </w:r>
          </w:p>
        </w:tc>
        <w:tc>
          <w:tcPr>
            <w:tcW w:w="3859" w:type="pct"/>
            <w:shd w:val="clear" w:color="auto" w:fill="F2F2F2"/>
            <w:hideMark/>
          </w:tcPr>
          <w:p w14:paraId="251EC942" w14:textId="77777777" w:rsidR="00957D45" w:rsidRPr="008021D1" w:rsidRDefault="00957D45" w:rsidP="008021D1">
            <w:pPr>
              <w:cnfStyle w:val="000000010000" w:firstRow="0" w:lastRow="0" w:firstColumn="0" w:lastColumn="0" w:oddVBand="0" w:evenVBand="0" w:oddHBand="0" w:evenHBand="1" w:firstRowFirstColumn="0" w:firstRowLastColumn="0" w:lastRowFirstColumn="0" w:lastRowLastColumn="0"/>
            </w:pPr>
            <w:r w:rsidRPr="008021D1">
              <w:t>Depreciation directly related to pharmacy department (including computers, software and equipment)</w:t>
            </w:r>
          </w:p>
        </w:tc>
      </w:tr>
      <w:tr w:rsidR="00957D45" w:rsidRPr="008021D1" w14:paraId="5F70B608" w14:textId="77777777" w:rsidTr="00B45D14">
        <w:trPr>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23FA580E" w14:textId="77777777" w:rsidR="00957D45" w:rsidRPr="008021D1" w:rsidRDefault="00957D45" w:rsidP="008021D1">
            <w:r w:rsidRPr="008021D1">
              <w:t>65</w:t>
            </w:r>
          </w:p>
        </w:tc>
        <w:tc>
          <w:tcPr>
            <w:tcW w:w="3859" w:type="pct"/>
            <w:shd w:val="clear" w:color="auto" w:fill="F2F2F2"/>
            <w:hideMark/>
          </w:tcPr>
          <w:p w14:paraId="5610D964" w14:textId="77777777" w:rsidR="00957D45" w:rsidRPr="008021D1" w:rsidRDefault="00957D45" w:rsidP="008021D1">
            <w:pPr>
              <w:cnfStyle w:val="000000000000" w:firstRow="0" w:lastRow="0" w:firstColumn="0" w:lastColumn="0" w:oddVBand="0" w:evenVBand="0" w:oddHBand="0" w:evenHBand="0" w:firstRowFirstColumn="0" w:firstRowLastColumn="0" w:lastRowFirstColumn="0" w:lastRowLastColumn="0"/>
            </w:pPr>
            <w:r w:rsidRPr="008021D1">
              <w:t>Professional education and training</w:t>
            </w:r>
          </w:p>
        </w:tc>
      </w:tr>
      <w:tr w:rsidR="00957D45" w:rsidRPr="008021D1" w14:paraId="2FC498D8" w14:textId="77777777" w:rsidTr="00B45D1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02042F8B" w14:textId="77777777" w:rsidR="00957D45" w:rsidRPr="008021D1" w:rsidRDefault="00957D45" w:rsidP="008021D1">
            <w:r w:rsidRPr="008021D1">
              <w:t>66</w:t>
            </w:r>
          </w:p>
        </w:tc>
        <w:tc>
          <w:tcPr>
            <w:tcW w:w="3859" w:type="pct"/>
            <w:shd w:val="clear" w:color="auto" w:fill="F2F2F2"/>
            <w:hideMark/>
          </w:tcPr>
          <w:p w14:paraId="75A0AAC7" w14:textId="77777777" w:rsidR="00957D45" w:rsidRPr="008021D1" w:rsidRDefault="00957D45" w:rsidP="008021D1">
            <w:pPr>
              <w:cnfStyle w:val="000000010000" w:firstRow="0" w:lastRow="0" w:firstColumn="0" w:lastColumn="0" w:oddVBand="0" w:evenVBand="0" w:oddHBand="0" w:evenHBand="1" w:firstRowFirstColumn="0" w:firstRowLastColumn="0" w:lastRowFirstColumn="0" w:lastRowLastColumn="0"/>
            </w:pPr>
            <w:r w:rsidRPr="008021D1">
              <w:t>Costs for 340B program management</w:t>
            </w:r>
          </w:p>
        </w:tc>
      </w:tr>
      <w:tr w:rsidR="00957D45" w:rsidRPr="008021D1" w14:paraId="2F6F8247" w14:textId="77777777" w:rsidTr="00B45D14">
        <w:trPr>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24286D50" w14:textId="77777777" w:rsidR="00957D45" w:rsidRPr="008021D1" w:rsidRDefault="00957D45" w:rsidP="008021D1">
            <w:r w:rsidRPr="008021D1">
              <w:t>67</w:t>
            </w:r>
          </w:p>
        </w:tc>
        <w:tc>
          <w:tcPr>
            <w:tcW w:w="3859" w:type="pct"/>
            <w:shd w:val="clear" w:color="auto" w:fill="F2F2F2"/>
            <w:hideMark/>
          </w:tcPr>
          <w:p w14:paraId="3DF65D8B" w14:textId="77777777" w:rsidR="00957D45" w:rsidRPr="008021D1" w:rsidRDefault="00957D45" w:rsidP="008021D1">
            <w:pPr>
              <w:cnfStyle w:val="000000000000" w:firstRow="0" w:lastRow="0" w:firstColumn="0" w:lastColumn="0" w:oddVBand="0" w:evenVBand="0" w:oddHBand="0" w:evenHBand="0" w:firstRowFirstColumn="0" w:firstRowLastColumn="0" w:lastRowFirstColumn="0" w:lastRowLastColumn="0"/>
            </w:pPr>
            <w:r w:rsidRPr="008021D1">
              <w:t>Other 340B costs (list other costs in comments section)</w:t>
            </w:r>
          </w:p>
        </w:tc>
      </w:tr>
      <w:tr w:rsidR="00957D45" w:rsidRPr="008021D1" w14:paraId="1DFD7DE3" w14:textId="77777777" w:rsidTr="00B45D1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63E59D08" w14:textId="77777777" w:rsidR="00957D45" w:rsidRPr="008021D1" w:rsidRDefault="00957D45" w:rsidP="008021D1">
            <w:r w:rsidRPr="008021D1">
              <w:t>68</w:t>
            </w:r>
          </w:p>
        </w:tc>
        <w:tc>
          <w:tcPr>
            <w:tcW w:w="3859" w:type="pct"/>
            <w:shd w:val="clear" w:color="auto" w:fill="F2F2F2"/>
            <w:hideMark/>
          </w:tcPr>
          <w:p w14:paraId="7AC6216E" w14:textId="77777777" w:rsidR="00957D45" w:rsidRPr="008021D1" w:rsidRDefault="00957D45" w:rsidP="008021D1">
            <w:pPr>
              <w:cnfStyle w:val="000000010000" w:firstRow="0" w:lastRow="0" w:firstColumn="0" w:lastColumn="0" w:oddVBand="0" w:evenVBand="0" w:oddHBand="0" w:evenHBand="1" w:firstRowFirstColumn="0" w:firstRowLastColumn="0" w:lastRowFirstColumn="0" w:lastRowLastColumn="0"/>
            </w:pPr>
            <w:r w:rsidRPr="008021D1">
              <w:t>Other pharmacy department-specific costs not identified elsewhere</w:t>
            </w:r>
          </w:p>
        </w:tc>
      </w:tr>
      <w:tr w:rsidR="00957D45" w:rsidRPr="008021D1" w14:paraId="74BBF9F9" w14:textId="77777777" w:rsidTr="00B45D14">
        <w:trPr>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20D329EF" w14:textId="77777777" w:rsidR="00957D45" w:rsidRPr="008021D1" w:rsidRDefault="00957D45" w:rsidP="008021D1">
            <w:r w:rsidRPr="008021D1">
              <w:t>69</w:t>
            </w:r>
          </w:p>
        </w:tc>
        <w:tc>
          <w:tcPr>
            <w:tcW w:w="3859" w:type="pct"/>
            <w:shd w:val="clear" w:color="auto" w:fill="F2F2F2"/>
            <w:hideMark/>
          </w:tcPr>
          <w:p w14:paraId="5FFC7FB4" w14:textId="77777777" w:rsidR="00957D45" w:rsidRPr="008021D1" w:rsidRDefault="00957D45" w:rsidP="008021D1">
            <w:pPr>
              <w:cnfStyle w:val="000000000000" w:firstRow="0" w:lastRow="0" w:firstColumn="0" w:lastColumn="0" w:oddVBand="0" w:evenVBand="0" w:oddHBand="0" w:evenHBand="0" w:firstRowFirstColumn="0" w:firstRowLastColumn="0" w:lastRowFirstColumn="0" w:lastRowLastColumn="0"/>
            </w:pPr>
            <w:r w:rsidRPr="008021D1">
              <w:t>Total pharmacy department non-payroll costs (sum of previous 14 questions)</w:t>
            </w:r>
          </w:p>
        </w:tc>
      </w:tr>
      <w:tr w:rsidR="00957D45" w:rsidRPr="008021D1" w14:paraId="51BFCCE4" w14:textId="77777777" w:rsidTr="00B45D1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6A71C0A3" w14:textId="77777777" w:rsidR="00957D45" w:rsidRPr="008021D1" w:rsidRDefault="00957D45" w:rsidP="008021D1">
            <w:r w:rsidRPr="008021D1">
              <w:t>70</w:t>
            </w:r>
          </w:p>
        </w:tc>
        <w:tc>
          <w:tcPr>
            <w:tcW w:w="3859" w:type="pct"/>
            <w:shd w:val="clear" w:color="auto" w:fill="F2F2F2"/>
            <w:hideMark/>
          </w:tcPr>
          <w:p w14:paraId="28F81EBC" w14:textId="77777777" w:rsidR="00957D45" w:rsidRPr="008021D1" w:rsidRDefault="00957D45" w:rsidP="008021D1">
            <w:pPr>
              <w:cnfStyle w:val="000000010000" w:firstRow="0" w:lastRow="0" w:firstColumn="0" w:lastColumn="0" w:oddVBand="0" w:evenVBand="0" w:oddHBand="0" w:evenHBand="1" w:firstRowFirstColumn="0" w:firstRowLastColumn="0" w:lastRowFirstColumn="0" w:lastRowLastColumn="0"/>
            </w:pPr>
            <w:r w:rsidRPr="008021D1">
              <w:t xml:space="preserve">Number of pharmacist full-time employees (FTEs) </w:t>
            </w:r>
          </w:p>
        </w:tc>
      </w:tr>
      <w:tr w:rsidR="00957D45" w:rsidRPr="008021D1" w14:paraId="44F28BBB" w14:textId="77777777" w:rsidTr="00B45D14">
        <w:trPr>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46242251" w14:textId="77777777" w:rsidR="00957D45" w:rsidRPr="008021D1" w:rsidRDefault="00957D45" w:rsidP="008021D1">
            <w:r w:rsidRPr="008021D1">
              <w:t>71</w:t>
            </w:r>
          </w:p>
        </w:tc>
        <w:tc>
          <w:tcPr>
            <w:tcW w:w="3859" w:type="pct"/>
            <w:shd w:val="clear" w:color="auto" w:fill="F2F2F2"/>
            <w:hideMark/>
          </w:tcPr>
          <w:p w14:paraId="73454EF2" w14:textId="77777777" w:rsidR="00957D45" w:rsidRPr="008021D1" w:rsidRDefault="00957D45" w:rsidP="008021D1">
            <w:pPr>
              <w:cnfStyle w:val="000000000000" w:firstRow="0" w:lastRow="0" w:firstColumn="0" w:lastColumn="0" w:oddVBand="0" w:evenVBand="0" w:oddHBand="0" w:evenHBand="0" w:firstRowFirstColumn="0" w:firstRowLastColumn="0" w:lastRowFirstColumn="0" w:lastRowLastColumn="0"/>
            </w:pPr>
            <w:r w:rsidRPr="008021D1">
              <w:t>Number of other pharmacy department FTEs (do not include pharmacist(s) counted in previous question)</w:t>
            </w:r>
          </w:p>
        </w:tc>
      </w:tr>
      <w:tr w:rsidR="00957D45" w:rsidRPr="008021D1" w14:paraId="1B15F126" w14:textId="77777777" w:rsidTr="00B45D1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27E75B7A" w14:textId="77777777" w:rsidR="00957D45" w:rsidRPr="008021D1" w:rsidRDefault="00957D45" w:rsidP="008021D1">
            <w:r w:rsidRPr="008021D1">
              <w:t>72</w:t>
            </w:r>
          </w:p>
        </w:tc>
        <w:tc>
          <w:tcPr>
            <w:tcW w:w="3859" w:type="pct"/>
            <w:shd w:val="clear" w:color="auto" w:fill="F2F2F2"/>
            <w:hideMark/>
          </w:tcPr>
          <w:p w14:paraId="71AD294A" w14:textId="77777777" w:rsidR="00957D45" w:rsidRPr="008021D1" w:rsidRDefault="00957D45" w:rsidP="008021D1">
            <w:pPr>
              <w:cnfStyle w:val="000000010000" w:firstRow="0" w:lastRow="0" w:firstColumn="0" w:lastColumn="0" w:oddVBand="0" w:evenVBand="0" w:oddHBand="0" w:evenHBand="1" w:firstRowFirstColumn="0" w:firstRowLastColumn="0" w:lastRowFirstColumn="0" w:lastRowLastColumn="0"/>
            </w:pPr>
            <w:r w:rsidRPr="008021D1">
              <w:t>Pharmacist manager (owner) wages</w:t>
            </w:r>
          </w:p>
        </w:tc>
      </w:tr>
      <w:tr w:rsidR="00957D45" w:rsidRPr="008021D1" w14:paraId="656F0451" w14:textId="77777777" w:rsidTr="00B45D14">
        <w:trPr>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33D0FC9F" w14:textId="77777777" w:rsidR="00957D45" w:rsidRPr="008021D1" w:rsidRDefault="00957D45" w:rsidP="008021D1">
            <w:r w:rsidRPr="008021D1">
              <w:lastRenderedPageBreak/>
              <w:t>73</w:t>
            </w:r>
          </w:p>
        </w:tc>
        <w:tc>
          <w:tcPr>
            <w:tcW w:w="3859" w:type="pct"/>
            <w:shd w:val="clear" w:color="auto" w:fill="F2F2F2"/>
            <w:hideMark/>
          </w:tcPr>
          <w:p w14:paraId="737833FA" w14:textId="77777777" w:rsidR="00957D45" w:rsidRPr="008021D1" w:rsidRDefault="00957D45" w:rsidP="008021D1">
            <w:pPr>
              <w:cnfStyle w:val="000000000000" w:firstRow="0" w:lastRow="0" w:firstColumn="0" w:lastColumn="0" w:oddVBand="0" w:evenVBand="0" w:oddHBand="0" w:evenHBand="0" w:firstRowFirstColumn="0" w:firstRowLastColumn="0" w:lastRowFirstColumn="0" w:lastRowLastColumn="0"/>
            </w:pPr>
            <w:r w:rsidRPr="008021D1">
              <w:t>Pharmacist manager (non-owner) wages</w:t>
            </w:r>
          </w:p>
        </w:tc>
      </w:tr>
      <w:tr w:rsidR="00957D45" w:rsidRPr="008021D1" w14:paraId="320F9CCB" w14:textId="77777777" w:rsidTr="00B45D1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6F05730F" w14:textId="77777777" w:rsidR="00957D45" w:rsidRPr="008021D1" w:rsidRDefault="00957D45" w:rsidP="008021D1">
            <w:r w:rsidRPr="008021D1">
              <w:t>74</w:t>
            </w:r>
          </w:p>
        </w:tc>
        <w:tc>
          <w:tcPr>
            <w:tcW w:w="3859" w:type="pct"/>
            <w:shd w:val="clear" w:color="auto" w:fill="F2F2F2"/>
            <w:hideMark/>
          </w:tcPr>
          <w:p w14:paraId="3F1C0C46" w14:textId="77777777" w:rsidR="00957D45" w:rsidRPr="008021D1" w:rsidRDefault="00957D45" w:rsidP="008021D1">
            <w:pPr>
              <w:cnfStyle w:val="000000010000" w:firstRow="0" w:lastRow="0" w:firstColumn="0" w:lastColumn="0" w:oddVBand="0" w:evenVBand="0" w:oddHBand="0" w:evenHBand="1" w:firstRowFirstColumn="0" w:firstRowLastColumn="0" w:lastRowFirstColumn="0" w:lastRowLastColumn="0"/>
            </w:pPr>
            <w:r w:rsidRPr="008021D1">
              <w:t>Staff pharmacist wages</w:t>
            </w:r>
          </w:p>
        </w:tc>
      </w:tr>
      <w:tr w:rsidR="00957D45" w:rsidRPr="008021D1" w14:paraId="34FAA71E" w14:textId="77777777" w:rsidTr="00B45D14">
        <w:trPr>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1BFED68A" w14:textId="77777777" w:rsidR="00957D45" w:rsidRPr="008021D1" w:rsidRDefault="00957D45" w:rsidP="008021D1">
            <w:r w:rsidRPr="008021D1">
              <w:t>75</w:t>
            </w:r>
          </w:p>
        </w:tc>
        <w:tc>
          <w:tcPr>
            <w:tcW w:w="3859" w:type="pct"/>
            <w:shd w:val="clear" w:color="auto" w:fill="F2F2F2"/>
            <w:hideMark/>
          </w:tcPr>
          <w:p w14:paraId="1A7927DA" w14:textId="77777777" w:rsidR="00957D45" w:rsidRPr="008021D1" w:rsidRDefault="00957D45" w:rsidP="008021D1">
            <w:pPr>
              <w:cnfStyle w:val="000000000000" w:firstRow="0" w:lastRow="0" w:firstColumn="0" w:lastColumn="0" w:oddVBand="0" w:evenVBand="0" w:oddHBand="0" w:evenHBand="0" w:firstRowFirstColumn="0" w:firstRowLastColumn="0" w:lastRowFirstColumn="0" w:lastRowLastColumn="0"/>
            </w:pPr>
            <w:r w:rsidRPr="008021D1">
              <w:t>Pharmacy technician wages</w:t>
            </w:r>
          </w:p>
        </w:tc>
      </w:tr>
      <w:tr w:rsidR="00957D45" w:rsidRPr="008021D1" w14:paraId="338B6BA6" w14:textId="77777777" w:rsidTr="00B45D1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0EEA0A56" w14:textId="77777777" w:rsidR="00957D45" w:rsidRPr="008021D1" w:rsidRDefault="00957D45" w:rsidP="008021D1">
            <w:r w:rsidRPr="008021D1">
              <w:t>76</w:t>
            </w:r>
          </w:p>
        </w:tc>
        <w:tc>
          <w:tcPr>
            <w:tcW w:w="3859" w:type="pct"/>
            <w:shd w:val="clear" w:color="auto" w:fill="F2F2F2"/>
            <w:hideMark/>
          </w:tcPr>
          <w:p w14:paraId="439B2FF4" w14:textId="77777777" w:rsidR="00957D45" w:rsidRPr="008021D1" w:rsidRDefault="00957D45" w:rsidP="008021D1">
            <w:pPr>
              <w:cnfStyle w:val="000000010000" w:firstRow="0" w:lastRow="0" w:firstColumn="0" w:lastColumn="0" w:oddVBand="0" w:evenVBand="0" w:oddHBand="0" w:evenHBand="1" w:firstRowFirstColumn="0" w:firstRowLastColumn="0" w:lastRowFirstColumn="0" w:lastRowLastColumn="0"/>
            </w:pPr>
            <w:r w:rsidRPr="008021D1">
              <w:t>Delivery personnel wages</w:t>
            </w:r>
          </w:p>
        </w:tc>
      </w:tr>
      <w:tr w:rsidR="00957D45" w:rsidRPr="008021D1" w14:paraId="715D36BE" w14:textId="77777777" w:rsidTr="00B45D14">
        <w:trPr>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06AD8824" w14:textId="77777777" w:rsidR="00957D45" w:rsidRPr="008021D1" w:rsidRDefault="00957D45" w:rsidP="008021D1">
            <w:r w:rsidRPr="008021D1">
              <w:t>77</w:t>
            </w:r>
          </w:p>
        </w:tc>
        <w:tc>
          <w:tcPr>
            <w:tcW w:w="3859" w:type="pct"/>
            <w:shd w:val="clear" w:color="auto" w:fill="F2F2F2"/>
            <w:hideMark/>
          </w:tcPr>
          <w:p w14:paraId="4A4C6F78" w14:textId="77777777" w:rsidR="00957D45" w:rsidRPr="008021D1" w:rsidRDefault="00957D45" w:rsidP="008021D1">
            <w:pPr>
              <w:cnfStyle w:val="000000000000" w:firstRow="0" w:lastRow="0" w:firstColumn="0" w:lastColumn="0" w:oddVBand="0" w:evenVBand="0" w:oddHBand="0" w:evenHBand="0" w:firstRowFirstColumn="0" w:firstRowLastColumn="0" w:lastRowFirstColumn="0" w:lastRowLastColumn="0"/>
            </w:pPr>
            <w:r w:rsidRPr="008021D1">
              <w:t>Other personnel wages (explain in comments section)</w:t>
            </w:r>
          </w:p>
        </w:tc>
      </w:tr>
      <w:tr w:rsidR="00957D45" w:rsidRPr="008021D1" w14:paraId="5205745E" w14:textId="77777777" w:rsidTr="00B45D1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200A034C" w14:textId="77777777" w:rsidR="00957D45" w:rsidRPr="008021D1" w:rsidRDefault="00957D45" w:rsidP="008021D1">
            <w:r w:rsidRPr="008021D1">
              <w:t>78</w:t>
            </w:r>
          </w:p>
        </w:tc>
        <w:tc>
          <w:tcPr>
            <w:tcW w:w="3859" w:type="pct"/>
            <w:shd w:val="clear" w:color="auto" w:fill="F2F2F2"/>
            <w:hideMark/>
          </w:tcPr>
          <w:p w14:paraId="3B2D4038" w14:textId="77777777" w:rsidR="00957D45" w:rsidRPr="008021D1" w:rsidRDefault="00957D45" w:rsidP="008021D1">
            <w:pPr>
              <w:cnfStyle w:val="000000010000" w:firstRow="0" w:lastRow="0" w:firstColumn="0" w:lastColumn="0" w:oddVBand="0" w:evenVBand="0" w:oddHBand="0" w:evenHBand="1" w:firstRowFirstColumn="0" w:firstRowLastColumn="0" w:lastRowFirstColumn="0" w:lastRowLastColumn="0"/>
            </w:pPr>
            <w:r w:rsidRPr="008021D1">
              <w:t>Pharmacy department payroll taxes</w:t>
            </w:r>
          </w:p>
        </w:tc>
      </w:tr>
      <w:tr w:rsidR="00957D45" w:rsidRPr="008021D1" w14:paraId="3F8D5FF5" w14:textId="77777777" w:rsidTr="00B45D14">
        <w:trPr>
          <w:trHeight w:val="49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364E13B0" w14:textId="77777777" w:rsidR="00957D45" w:rsidRPr="008021D1" w:rsidRDefault="00957D45" w:rsidP="008021D1">
            <w:r w:rsidRPr="008021D1">
              <w:t>79</w:t>
            </w:r>
          </w:p>
        </w:tc>
        <w:tc>
          <w:tcPr>
            <w:tcW w:w="3859" w:type="pct"/>
            <w:shd w:val="clear" w:color="auto" w:fill="F2F2F2"/>
            <w:hideMark/>
          </w:tcPr>
          <w:p w14:paraId="6C562319" w14:textId="77777777" w:rsidR="00957D45" w:rsidRPr="008021D1" w:rsidRDefault="00957D45" w:rsidP="008021D1">
            <w:pPr>
              <w:cnfStyle w:val="000000000000" w:firstRow="0" w:lastRow="0" w:firstColumn="0" w:lastColumn="0" w:oddVBand="0" w:evenVBand="0" w:oddHBand="0" w:evenHBand="0" w:firstRowFirstColumn="0" w:firstRowLastColumn="0" w:lastRowFirstColumn="0" w:lastRowLastColumn="0"/>
            </w:pPr>
            <w:r w:rsidRPr="008021D1">
              <w:t>Pharmacy department benefits (Including health insurance and pension/profit sharing/retirement expenses)</w:t>
            </w:r>
          </w:p>
        </w:tc>
      </w:tr>
      <w:tr w:rsidR="00957D45" w:rsidRPr="008021D1" w14:paraId="19F5A07F" w14:textId="77777777" w:rsidTr="00B45D1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2DA706CF" w14:textId="77777777" w:rsidR="00957D45" w:rsidRPr="008021D1" w:rsidRDefault="00957D45" w:rsidP="008021D1">
            <w:r w:rsidRPr="008021D1">
              <w:t>80</w:t>
            </w:r>
          </w:p>
        </w:tc>
        <w:tc>
          <w:tcPr>
            <w:tcW w:w="3859" w:type="pct"/>
            <w:shd w:val="clear" w:color="auto" w:fill="F2F2F2"/>
            <w:hideMark/>
          </w:tcPr>
          <w:p w14:paraId="7BBCEDA4" w14:textId="77777777" w:rsidR="00957D45" w:rsidRPr="008021D1" w:rsidRDefault="00957D45" w:rsidP="008021D1">
            <w:pPr>
              <w:cnfStyle w:val="000000010000" w:firstRow="0" w:lastRow="0" w:firstColumn="0" w:lastColumn="0" w:oddVBand="0" w:evenVBand="0" w:oddHBand="0" w:evenHBand="1" w:firstRowFirstColumn="0" w:firstRowLastColumn="0" w:lastRowFirstColumn="0" w:lastRowLastColumn="0"/>
            </w:pPr>
            <w:r w:rsidRPr="008021D1">
              <w:t>Total pharmacy department payroll (sum of previous 8 questions)</w:t>
            </w:r>
          </w:p>
        </w:tc>
      </w:tr>
      <w:tr w:rsidR="00957D45" w:rsidRPr="008021D1" w14:paraId="6130E44B" w14:textId="77777777" w:rsidTr="00B45D14">
        <w:trPr>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7F1ADB9C" w14:textId="77777777" w:rsidR="00957D45" w:rsidRPr="008021D1" w:rsidRDefault="00957D45" w:rsidP="008021D1">
            <w:r w:rsidRPr="008021D1">
              <w:t>81</w:t>
            </w:r>
          </w:p>
        </w:tc>
        <w:tc>
          <w:tcPr>
            <w:tcW w:w="3859" w:type="pct"/>
            <w:shd w:val="clear" w:color="auto" w:fill="F2F2F2"/>
            <w:hideMark/>
          </w:tcPr>
          <w:p w14:paraId="4467E7B5" w14:textId="77777777" w:rsidR="00957D45" w:rsidRPr="008021D1" w:rsidRDefault="00957D45" w:rsidP="008021D1">
            <w:pPr>
              <w:cnfStyle w:val="000000000000" w:firstRow="0" w:lastRow="0" w:firstColumn="0" w:lastColumn="0" w:oddVBand="0" w:evenVBand="0" w:oddHBand="0" w:evenHBand="0" w:firstRowFirstColumn="0" w:firstRowLastColumn="0" w:lastRowFirstColumn="0" w:lastRowLastColumn="0"/>
            </w:pPr>
            <w:r w:rsidRPr="008021D1">
              <w:t>Wages, payroll taxes, and benefits for personnel directly attributed to non-pharmacy sales and services</w:t>
            </w:r>
          </w:p>
        </w:tc>
      </w:tr>
      <w:tr w:rsidR="00957D45" w:rsidRPr="008021D1" w14:paraId="6ACF31C1" w14:textId="77777777" w:rsidTr="00B45D1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2BB2ED69" w14:textId="77777777" w:rsidR="00957D45" w:rsidRPr="008021D1" w:rsidRDefault="00957D45" w:rsidP="008021D1">
            <w:r w:rsidRPr="008021D1">
              <w:t>82</w:t>
            </w:r>
          </w:p>
        </w:tc>
        <w:tc>
          <w:tcPr>
            <w:tcW w:w="3859" w:type="pct"/>
            <w:shd w:val="clear" w:color="auto" w:fill="F2F2F2"/>
            <w:hideMark/>
          </w:tcPr>
          <w:p w14:paraId="0A4A98A9" w14:textId="77777777" w:rsidR="00957D45" w:rsidRPr="008021D1" w:rsidRDefault="00957D45" w:rsidP="008021D1">
            <w:pPr>
              <w:cnfStyle w:val="000000010000" w:firstRow="0" w:lastRow="0" w:firstColumn="0" w:lastColumn="0" w:oddVBand="0" w:evenVBand="0" w:oddHBand="0" w:evenHBand="1" w:firstRowFirstColumn="0" w:firstRowLastColumn="0" w:lastRowFirstColumn="0" w:lastRowLastColumn="0"/>
            </w:pPr>
            <w:r w:rsidRPr="008021D1">
              <w:t>Wages, payroll taxes, and benefits for personnel directly attributed to administrative or shared services</w:t>
            </w:r>
          </w:p>
        </w:tc>
      </w:tr>
      <w:tr w:rsidR="00957D45" w:rsidRPr="008021D1" w14:paraId="59FCBA57" w14:textId="77777777" w:rsidTr="00B45D14">
        <w:trPr>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29B4B951" w14:textId="77777777" w:rsidR="00957D45" w:rsidRPr="008021D1" w:rsidRDefault="00957D45" w:rsidP="008021D1">
            <w:r w:rsidRPr="008021D1">
              <w:t>83</w:t>
            </w:r>
          </w:p>
        </w:tc>
        <w:tc>
          <w:tcPr>
            <w:tcW w:w="3859" w:type="pct"/>
            <w:shd w:val="clear" w:color="auto" w:fill="F2F2F2"/>
            <w:hideMark/>
          </w:tcPr>
          <w:p w14:paraId="15362A2D" w14:textId="77777777" w:rsidR="00957D45" w:rsidRPr="008021D1" w:rsidRDefault="00957D45" w:rsidP="008021D1">
            <w:pPr>
              <w:cnfStyle w:val="000000000000" w:firstRow="0" w:lastRow="0" w:firstColumn="0" w:lastColumn="0" w:oddVBand="0" w:evenVBand="0" w:oddHBand="0" w:evenHBand="0" w:firstRowFirstColumn="0" w:firstRowLastColumn="0" w:lastRowFirstColumn="0" w:lastRowLastColumn="0"/>
            </w:pPr>
            <w:r w:rsidRPr="008021D1">
              <w:t>Payroll taxes and benefits not reported elsewhere</w:t>
            </w:r>
          </w:p>
        </w:tc>
      </w:tr>
      <w:tr w:rsidR="00957D45" w:rsidRPr="008021D1" w14:paraId="3E71D85D" w14:textId="77777777" w:rsidTr="00B45D1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4F858C12" w14:textId="77777777" w:rsidR="00957D45" w:rsidRPr="008021D1" w:rsidRDefault="00957D45" w:rsidP="008021D1">
            <w:r w:rsidRPr="008021D1">
              <w:t>84</w:t>
            </w:r>
          </w:p>
        </w:tc>
        <w:tc>
          <w:tcPr>
            <w:tcW w:w="3859" w:type="pct"/>
            <w:shd w:val="clear" w:color="auto" w:fill="F2F2F2"/>
            <w:hideMark/>
          </w:tcPr>
          <w:p w14:paraId="515B8107" w14:textId="77777777" w:rsidR="00957D45" w:rsidRPr="008021D1" w:rsidRDefault="00957D45" w:rsidP="008021D1">
            <w:pPr>
              <w:cnfStyle w:val="000000010000" w:firstRow="0" w:lastRow="0" w:firstColumn="0" w:lastColumn="0" w:oddVBand="0" w:evenVBand="0" w:oddHBand="0" w:evenHBand="1" w:firstRowFirstColumn="0" w:firstRowLastColumn="0" w:lastRowFirstColumn="0" w:lastRowLastColumn="0"/>
            </w:pPr>
            <w:r w:rsidRPr="008021D1">
              <w:t>General employee expenses attributable to all employee types</w:t>
            </w:r>
          </w:p>
        </w:tc>
      </w:tr>
      <w:tr w:rsidR="00957D45" w:rsidRPr="008021D1" w14:paraId="2C48554A" w14:textId="77777777" w:rsidTr="00B45D14">
        <w:trPr>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30863410" w14:textId="77777777" w:rsidR="00957D45" w:rsidRPr="008021D1" w:rsidRDefault="00957D45" w:rsidP="008021D1">
            <w:r w:rsidRPr="008021D1">
              <w:t>85</w:t>
            </w:r>
          </w:p>
        </w:tc>
        <w:tc>
          <w:tcPr>
            <w:tcW w:w="3859" w:type="pct"/>
            <w:shd w:val="clear" w:color="auto" w:fill="F2F2F2"/>
            <w:hideMark/>
          </w:tcPr>
          <w:p w14:paraId="27882035" w14:textId="77777777" w:rsidR="00957D45" w:rsidRPr="008021D1" w:rsidRDefault="00957D45" w:rsidP="008021D1">
            <w:pPr>
              <w:cnfStyle w:val="000000000000" w:firstRow="0" w:lastRow="0" w:firstColumn="0" w:lastColumn="0" w:oddVBand="0" w:evenVBand="0" w:oddHBand="0" w:evenHBand="0" w:firstRowFirstColumn="0" w:firstRowLastColumn="0" w:lastRowFirstColumn="0" w:lastRowLastColumn="0"/>
            </w:pPr>
            <w:r w:rsidRPr="008021D1">
              <w:t>Non-pharmacy department payroll (sum of previous 4 questions)</w:t>
            </w:r>
          </w:p>
        </w:tc>
      </w:tr>
      <w:tr w:rsidR="00957D45" w:rsidRPr="008021D1" w14:paraId="6C4AE836" w14:textId="77777777" w:rsidTr="00B45D1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6DFCCF06" w14:textId="77777777" w:rsidR="00957D45" w:rsidRPr="008021D1" w:rsidRDefault="00957D45" w:rsidP="008021D1">
            <w:r w:rsidRPr="008021D1">
              <w:t>86</w:t>
            </w:r>
          </w:p>
        </w:tc>
        <w:tc>
          <w:tcPr>
            <w:tcW w:w="3859" w:type="pct"/>
            <w:shd w:val="clear" w:color="auto" w:fill="F2F2F2"/>
            <w:hideMark/>
          </w:tcPr>
          <w:p w14:paraId="169EFC8A" w14:textId="77777777" w:rsidR="00957D45" w:rsidRPr="008021D1" w:rsidRDefault="00957D45" w:rsidP="008021D1">
            <w:pPr>
              <w:cnfStyle w:val="000000010000" w:firstRow="0" w:lastRow="0" w:firstColumn="0" w:lastColumn="0" w:oddVBand="0" w:evenVBand="0" w:oddHBand="0" w:evenHBand="1" w:firstRowFirstColumn="0" w:firstRowLastColumn="0" w:lastRowFirstColumn="0" w:lastRowLastColumn="0"/>
            </w:pPr>
            <w:r w:rsidRPr="008021D1">
              <w:t>Total payroll expense (sum of total pharmacy department payroll and previous question)</w:t>
            </w:r>
          </w:p>
        </w:tc>
      </w:tr>
      <w:tr w:rsidR="00957D45" w:rsidRPr="008021D1" w14:paraId="3768F0CA" w14:textId="77777777" w:rsidTr="00B45D14">
        <w:trPr>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10BB54A9" w14:textId="77777777" w:rsidR="00957D45" w:rsidRPr="008021D1" w:rsidRDefault="00957D45" w:rsidP="008021D1">
            <w:r w:rsidRPr="008021D1">
              <w:t>87</w:t>
            </w:r>
          </w:p>
        </w:tc>
        <w:tc>
          <w:tcPr>
            <w:tcW w:w="3859" w:type="pct"/>
            <w:shd w:val="clear" w:color="auto" w:fill="F2F2F2"/>
            <w:hideMark/>
          </w:tcPr>
          <w:p w14:paraId="7DAB8060" w14:textId="77777777" w:rsidR="00957D45" w:rsidRPr="008021D1" w:rsidRDefault="00957D45" w:rsidP="008021D1">
            <w:pPr>
              <w:cnfStyle w:val="000000000000" w:firstRow="0" w:lastRow="0" w:firstColumn="0" w:lastColumn="0" w:oddVBand="0" w:evenVBand="0" w:oddHBand="0" w:evenHBand="0" w:firstRowFirstColumn="0" w:firstRowLastColumn="0" w:lastRowFirstColumn="0" w:lastRowLastColumn="0"/>
            </w:pPr>
            <w:r w:rsidRPr="008021D1">
              <w:t>Does the provider or a related party own the building?</w:t>
            </w:r>
          </w:p>
        </w:tc>
      </w:tr>
      <w:tr w:rsidR="00957D45" w:rsidRPr="008021D1" w14:paraId="2E3773E1" w14:textId="77777777" w:rsidTr="00B45D1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4FEA506C" w14:textId="77777777" w:rsidR="00957D45" w:rsidRPr="008021D1" w:rsidRDefault="00957D45" w:rsidP="008021D1">
            <w:r w:rsidRPr="008021D1">
              <w:t>88</w:t>
            </w:r>
          </w:p>
        </w:tc>
        <w:tc>
          <w:tcPr>
            <w:tcW w:w="3859" w:type="pct"/>
            <w:shd w:val="clear" w:color="auto" w:fill="F2F2F2"/>
            <w:hideMark/>
          </w:tcPr>
          <w:p w14:paraId="6B1C0D4F" w14:textId="77777777" w:rsidR="00957D45" w:rsidRPr="008021D1" w:rsidRDefault="00957D45" w:rsidP="008021D1">
            <w:pPr>
              <w:cnfStyle w:val="000000010000" w:firstRow="0" w:lastRow="0" w:firstColumn="0" w:lastColumn="0" w:oddVBand="0" w:evenVBand="0" w:oddHBand="0" w:evenHBand="1" w:firstRowFirstColumn="0" w:firstRowLastColumn="0" w:lastRowFirstColumn="0" w:lastRowLastColumn="0"/>
            </w:pPr>
            <w:r w:rsidRPr="008021D1">
              <w:t>If so, is the building fully depreciated?</w:t>
            </w:r>
          </w:p>
        </w:tc>
      </w:tr>
      <w:tr w:rsidR="00957D45" w:rsidRPr="008021D1" w14:paraId="31DDC12B" w14:textId="77777777" w:rsidTr="00B45D14">
        <w:trPr>
          <w:trHeight w:val="49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20655309" w14:textId="77777777" w:rsidR="00957D45" w:rsidRPr="008021D1" w:rsidRDefault="00957D45" w:rsidP="008021D1">
            <w:r w:rsidRPr="008021D1">
              <w:t>89</w:t>
            </w:r>
          </w:p>
        </w:tc>
        <w:tc>
          <w:tcPr>
            <w:tcW w:w="3859" w:type="pct"/>
            <w:shd w:val="clear" w:color="auto" w:fill="F2F2F2"/>
            <w:hideMark/>
          </w:tcPr>
          <w:p w14:paraId="6A2F4101" w14:textId="77777777" w:rsidR="00957D45" w:rsidRPr="008021D1" w:rsidRDefault="00957D45" w:rsidP="008021D1">
            <w:pPr>
              <w:cnfStyle w:val="000000000000" w:firstRow="0" w:lastRow="0" w:firstColumn="0" w:lastColumn="0" w:oddVBand="0" w:evenVBand="0" w:oddHBand="0" w:evenHBand="0" w:firstRowFirstColumn="0" w:firstRowLastColumn="0" w:lastRowFirstColumn="0" w:lastRowLastColumn="0"/>
            </w:pPr>
            <w:r w:rsidRPr="008021D1">
              <w:t>If owned by a related party, enter the amount of building depreciation in the reporting period (this number is not included in the total facility cost)</w:t>
            </w:r>
          </w:p>
        </w:tc>
      </w:tr>
      <w:tr w:rsidR="00957D45" w:rsidRPr="008021D1" w14:paraId="23444EF2" w14:textId="77777777" w:rsidTr="00B45D1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2348677D" w14:textId="77777777" w:rsidR="00957D45" w:rsidRPr="008021D1" w:rsidRDefault="00957D45" w:rsidP="008021D1">
            <w:r w:rsidRPr="008021D1">
              <w:t>90</w:t>
            </w:r>
          </w:p>
        </w:tc>
        <w:tc>
          <w:tcPr>
            <w:tcW w:w="3859" w:type="pct"/>
            <w:shd w:val="clear" w:color="auto" w:fill="F2F2F2"/>
            <w:hideMark/>
          </w:tcPr>
          <w:p w14:paraId="2BB6EA39" w14:textId="77777777" w:rsidR="00957D45" w:rsidRPr="008021D1" w:rsidRDefault="00957D45" w:rsidP="008021D1">
            <w:pPr>
              <w:cnfStyle w:val="000000010000" w:firstRow="0" w:lastRow="0" w:firstColumn="0" w:lastColumn="0" w:oddVBand="0" w:evenVBand="0" w:oddHBand="0" w:evenHBand="1" w:firstRowFirstColumn="0" w:firstRowLastColumn="0" w:lastRowFirstColumn="0" w:lastRowLastColumn="0"/>
            </w:pPr>
            <w:r w:rsidRPr="008021D1">
              <w:t>Rent (explain in comments section if building is owned)</w:t>
            </w:r>
          </w:p>
        </w:tc>
      </w:tr>
      <w:tr w:rsidR="00957D45" w:rsidRPr="008021D1" w14:paraId="7D1DEC76" w14:textId="77777777" w:rsidTr="00B45D14">
        <w:trPr>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0E956346" w14:textId="77777777" w:rsidR="00957D45" w:rsidRPr="008021D1" w:rsidRDefault="00957D45" w:rsidP="008021D1">
            <w:r w:rsidRPr="008021D1">
              <w:t>91</w:t>
            </w:r>
          </w:p>
        </w:tc>
        <w:tc>
          <w:tcPr>
            <w:tcW w:w="3859" w:type="pct"/>
            <w:shd w:val="clear" w:color="auto" w:fill="F2F2F2"/>
            <w:hideMark/>
          </w:tcPr>
          <w:p w14:paraId="140E213D" w14:textId="77777777" w:rsidR="00957D45" w:rsidRPr="008021D1" w:rsidRDefault="00957D45" w:rsidP="008021D1">
            <w:pPr>
              <w:cnfStyle w:val="000000000000" w:firstRow="0" w:lastRow="0" w:firstColumn="0" w:lastColumn="0" w:oddVBand="0" w:evenVBand="0" w:oddHBand="0" w:evenHBand="0" w:firstRowFirstColumn="0" w:firstRowLastColumn="0" w:lastRowFirstColumn="0" w:lastRowLastColumn="0"/>
            </w:pPr>
            <w:r w:rsidRPr="008021D1">
              <w:t>Utilities (gas, electric, water, and sewer)</w:t>
            </w:r>
          </w:p>
        </w:tc>
      </w:tr>
      <w:tr w:rsidR="00957D45" w:rsidRPr="008021D1" w14:paraId="15065B45" w14:textId="77777777" w:rsidTr="00B45D1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000559C4" w14:textId="77777777" w:rsidR="00957D45" w:rsidRPr="008021D1" w:rsidRDefault="00957D45" w:rsidP="008021D1">
            <w:r w:rsidRPr="008021D1">
              <w:t>92</w:t>
            </w:r>
          </w:p>
        </w:tc>
        <w:tc>
          <w:tcPr>
            <w:tcW w:w="3859" w:type="pct"/>
            <w:shd w:val="clear" w:color="auto" w:fill="F2F2F2"/>
            <w:hideMark/>
          </w:tcPr>
          <w:p w14:paraId="68516115" w14:textId="77777777" w:rsidR="00957D45" w:rsidRPr="008021D1" w:rsidRDefault="00957D45" w:rsidP="008021D1">
            <w:pPr>
              <w:cnfStyle w:val="000000010000" w:firstRow="0" w:lastRow="0" w:firstColumn="0" w:lastColumn="0" w:oddVBand="0" w:evenVBand="0" w:oddHBand="0" w:evenHBand="1" w:firstRowFirstColumn="0" w:firstRowLastColumn="0" w:lastRowFirstColumn="0" w:lastRowLastColumn="0"/>
            </w:pPr>
            <w:r w:rsidRPr="008021D1">
              <w:t>Real estate taxes</w:t>
            </w:r>
          </w:p>
        </w:tc>
      </w:tr>
      <w:tr w:rsidR="00957D45" w:rsidRPr="008021D1" w14:paraId="11D9730F" w14:textId="77777777" w:rsidTr="00B45D14">
        <w:trPr>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2FE811FA" w14:textId="77777777" w:rsidR="00957D45" w:rsidRPr="008021D1" w:rsidRDefault="00957D45" w:rsidP="008021D1">
            <w:r w:rsidRPr="008021D1">
              <w:t>93</w:t>
            </w:r>
          </w:p>
        </w:tc>
        <w:tc>
          <w:tcPr>
            <w:tcW w:w="3859" w:type="pct"/>
            <w:shd w:val="clear" w:color="auto" w:fill="F2F2F2"/>
            <w:hideMark/>
          </w:tcPr>
          <w:p w14:paraId="7506683A" w14:textId="77777777" w:rsidR="00957D45" w:rsidRPr="008021D1" w:rsidRDefault="00957D45" w:rsidP="008021D1">
            <w:pPr>
              <w:cnfStyle w:val="000000000000" w:firstRow="0" w:lastRow="0" w:firstColumn="0" w:lastColumn="0" w:oddVBand="0" w:evenVBand="0" w:oddHBand="0" w:evenHBand="0" w:firstRowFirstColumn="0" w:firstRowLastColumn="0" w:lastRowFirstColumn="0" w:lastRowLastColumn="0"/>
            </w:pPr>
            <w:r w:rsidRPr="008021D1">
              <w:t>Facility insurance</w:t>
            </w:r>
          </w:p>
        </w:tc>
      </w:tr>
      <w:tr w:rsidR="00957D45" w:rsidRPr="008021D1" w14:paraId="411F4923" w14:textId="77777777" w:rsidTr="00B45D1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5E1FAED6" w14:textId="77777777" w:rsidR="00957D45" w:rsidRPr="008021D1" w:rsidRDefault="00957D45" w:rsidP="008021D1">
            <w:r w:rsidRPr="008021D1">
              <w:t>94</w:t>
            </w:r>
          </w:p>
        </w:tc>
        <w:tc>
          <w:tcPr>
            <w:tcW w:w="3859" w:type="pct"/>
            <w:shd w:val="clear" w:color="auto" w:fill="F2F2F2"/>
            <w:hideMark/>
          </w:tcPr>
          <w:p w14:paraId="00831DEA" w14:textId="77777777" w:rsidR="00957D45" w:rsidRPr="008021D1" w:rsidRDefault="00957D45" w:rsidP="008021D1">
            <w:pPr>
              <w:cnfStyle w:val="000000010000" w:firstRow="0" w:lastRow="0" w:firstColumn="0" w:lastColumn="0" w:oddVBand="0" w:evenVBand="0" w:oddHBand="0" w:evenHBand="1" w:firstRowFirstColumn="0" w:firstRowLastColumn="0" w:lastRowFirstColumn="0" w:lastRowLastColumn="0"/>
            </w:pPr>
            <w:r w:rsidRPr="008021D1">
              <w:t>Maintenance and cleaning</w:t>
            </w:r>
          </w:p>
        </w:tc>
      </w:tr>
      <w:tr w:rsidR="00957D45" w:rsidRPr="008021D1" w14:paraId="7FF43F79" w14:textId="77777777" w:rsidTr="00B45D14">
        <w:trPr>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6845A738" w14:textId="77777777" w:rsidR="00957D45" w:rsidRPr="008021D1" w:rsidRDefault="00957D45" w:rsidP="008021D1">
            <w:r w:rsidRPr="008021D1">
              <w:t>95</w:t>
            </w:r>
          </w:p>
        </w:tc>
        <w:tc>
          <w:tcPr>
            <w:tcW w:w="3859" w:type="pct"/>
            <w:shd w:val="clear" w:color="auto" w:fill="F2F2F2"/>
            <w:hideMark/>
          </w:tcPr>
          <w:p w14:paraId="532CFD0A" w14:textId="77777777" w:rsidR="00957D45" w:rsidRPr="008021D1" w:rsidRDefault="00957D45" w:rsidP="008021D1">
            <w:pPr>
              <w:cnfStyle w:val="000000000000" w:firstRow="0" w:lastRow="0" w:firstColumn="0" w:lastColumn="0" w:oddVBand="0" w:evenVBand="0" w:oddHBand="0" w:evenHBand="0" w:firstRowFirstColumn="0" w:firstRowLastColumn="0" w:lastRowFirstColumn="0" w:lastRowLastColumn="0"/>
            </w:pPr>
            <w:r w:rsidRPr="008021D1">
              <w:t>Depreciation expense (e.g., building, leasehold improvements, furniture, and fixtures)</w:t>
            </w:r>
          </w:p>
        </w:tc>
      </w:tr>
      <w:tr w:rsidR="00957D45" w:rsidRPr="008021D1" w14:paraId="1BB54799" w14:textId="77777777" w:rsidTr="00B45D1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5833F2CD" w14:textId="77777777" w:rsidR="00957D45" w:rsidRPr="008021D1" w:rsidRDefault="00957D45" w:rsidP="008021D1">
            <w:r w:rsidRPr="008021D1">
              <w:t>96</w:t>
            </w:r>
          </w:p>
        </w:tc>
        <w:tc>
          <w:tcPr>
            <w:tcW w:w="3859" w:type="pct"/>
            <w:shd w:val="clear" w:color="auto" w:fill="F2F2F2"/>
            <w:hideMark/>
          </w:tcPr>
          <w:p w14:paraId="5BF68766" w14:textId="77777777" w:rsidR="00957D45" w:rsidRPr="008021D1" w:rsidRDefault="00957D45" w:rsidP="008021D1">
            <w:pPr>
              <w:cnfStyle w:val="000000010000" w:firstRow="0" w:lastRow="0" w:firstColumn="0" w:lastColumn="0" w:oddVBand="0" w:evenVBand="0" w:oddHBand="0" w:evenHBand="1" w:firstRowFirstColumn="0" w:firstRowLastColumn="0" w:lastRowFirstColumn="0" w:lastRowLastColumn="0"/>
            </w:pPr>
            <w:r w:rsidRPr="008021D1">
              <w:t>Mortgage interest</w:t>
            </w:r>
          </w:p>
        </w:tc>
      </w:tr>
      <w:tr w:rsidR="00957D45" w:rsidRPr="008021D1" w14:paraId="67907E9F" w14:textId="77777777" w:rsidTr="00B45D14">
        <w:trPr>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14886F82" w14:textId="77777777" w:rsidR="00957D45" w:rsidRPr="008021D1" w:rsidRDefault="00957D45" w:rsidP="008021D1">
            <w:r w:rsidRPr="008021D1">
              <w:t>97</w:t>
            </w:r>
          </w:p>
        </w:tc>
        <w:tc>
          <w:tcPr>
            <w:tcW w:w="3859" w:type="pct"/>
            <w:shd w:val="clear" w:color="auto" w:fill="F2F2F2"/>
            <w:hideMark/>
          </w:tcPr>
          <w:p w14:paraId="512A872C" w14:textId="77777777" w:rsidR="00957D45" w:rsidRPr="008021D1" w:rsidRDefault="00957D45" w:rsidP="008021D1">
            <w:pPr>
              <w:cnfStyle w:val="000000000000" w:firstRow="0" w:lastRow="0" w:firstColumn="0" w:lastColumn="0" w:oddVBand="0" w:evenVBand="0" w:oddHBand="0" w:evenHBand="0" w:firstRowFirstColumn="0" w:firstRowLastColumn="0" w:lastRowFirstColumn="0" w:lastRowLastColumn="0"/>
            </w:pPr>
            <w:r w:rsidRPr="008021D1">
              <w:t>Other facility-specific costs not identified elsewhere (explain in comments section)</w:t>
            </w:r>
          </w:p>
        </w:tc>
      </w:tr>
      <w:tr w:rsidR="00957D45" w:rsidRPr="008021D1" w14:paraId="52950896" w14:textId="77777777" w:rsidTr="00B45D1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2D567939" w14:textId="77777777" w:rsidR="00957D45" w:rsidRPr="008021D1" w:rsidRDefault="00957D45" w:rsidP="008021D1">
            <w:r w:rsidRPr="008021D1">
              <w:lastRenderedPageBreak/>
              <w:t>98</w:t>
            </w:r>
          </w:p>
        </w:tc>
        <w:tc>
          <w:tcPr>
            <w:tcW w:w="3859" w:type="pct"/>
            <w:shd w:val="clear" w:color="auto" w:fill="F2F2F2"/>
            <w:hideMark/>
          </w:tcPr>
          <w:p w14:paraId="697542EA" w14:textId="77777777" w:rsidR="00957D45" w:rsidRPr="008021D1" w:rsidRDefault="00957D45" w:rsidP="008021D1">
            <w:pPr>
              <w:cnfStyle w:val="000000010000" w:firstRow="0" w:lastRow="0" w:firstColumn="0" w:lastColumn="0" w:oddVBand="0" w:evenVBand="0" w:oddHBand="0" w:evenHBand="1" w:firstRowFirstColumn="0" w:firstRowLastColumn="0" w:lastRowFirstColumn="0" w:lastRowLastColumn="0"/>
            </w:pPr>
            <w:r w:rsidRPr="008021D1">
              <w:t>Total facility costs (sum of previous 8 questions)</w:t>
            </w:r>
          </w:p>
        </w:tc>
      </w:tr>
      <w:tr w:rsidR="00957D45" w:rsidRPr="008021D1" w14:paraId="35EBAC8F" w14:textId="77777777" w:rsidTr="00B45D14">
        <w:trPr>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3A774CD1" w14:textId="77777777" w:rsidR="00957D45" w:rsidRPr="008021D1" w:rsidRDefault="00957D45" w:rsidP="008021D1">
            <w:r w:rsidRPr="008021D1">
              <w:t>99</w:t>
            </w:r>
          </w:p>
        </w:tc>
        <w:tc>
          <w:tcPr>
            <w:tcW w:w="3859" w:type="pct"/>
            <w:shd w:val="clear" w:color="auto" w:fill="F2F2F2"/>
            <w:hideMark/>
          </w:tcPr>
          <w:p w14:paraId="0DCABE1A" w14:textId="77777777" w:rsidR="00957D45" w:rsidRPr="008021D1" w:rsidRDefault="00957D45" w:rsidP="008021D1">
            <w:pPr>
              <w:cnfStyle w:val="000000000000" w:firstRow="0" w:lastRow="0" w:firstColumn="0" w:lastColumn="0" w:oddVBand="0" w:evenVBand="0" w:oddHBand="0" w:evenHBand="0" w:firstRowFirstColumn="0" w:firstRowLastColumn="0" w:lastRowFirstColumn="0" w:lastRowLastColumn="0"/>
            </w:pPr>
            <w:r w:rsidRPr="008021D1">
              <w:t>Marketing and advertising</w:t>
            </w:r>
          </w:p>
        </w:tc>
      </w:tr>
      <w:tr w:rsidR="00957D45" w:rsidRPr="008021D1" w14:paraId="5CB4BB1D" w14:textId="77777777" w:rsidTr="00B45D1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2D47BDDF" w14:textId="77777777" w:rsidR="00957D45" w:rsidRPr="008021D1" w:rsidRDefault="00957D45" w:rsidP="008021D1">
            <w:r w:rsidRPr="008021D1">
              <w:t>100</w:t>
            </w:r>
          </w:p>
        </w:tc>
        <w:tc>
          <w:tcPr>
            <w:tcW w:w="3859" w:type="pct"/>
            <w:shd w:val="clear" w:color="auto" w:fill="F2F2F2"/>
            <w:hideMark/>
          </w:tcPr>
          <w:p w14:paraId="344BD846" w14:textId="77777777" w:rsidR="00957D45" w:rsidRPr="008021D1" w:rsidRDefault="00957D45" w:rsidP="008021D1">
            <w:pPr>
              <w:cnfStyle w:val="000000010000" w:firstRow="0" w:lastRow="0" w:firstColumn="0" w:lastColumn="0" w:oddVBand="0" w:evenVBand="0" w:oddHBand="0" w:evenHBand="1" w:firstRowFirstColumn="0" w:firstRowLastColumn="0" w:lastRowFirstColumn="0" w:lastRowLastColumn="0"/>
            </w:pPr>
            <w:r w:rsidRPr="008021D1">
              <w:t xml:space="preserve">Professional services (e.g., accounting, legal, consulting) </w:t>
            </w:r>
          </w:p>
        </w:tc>
      </w:tr>
      <w:tr w:rsidR="00957D45" w:rsidRPr="008021D1" w14:paraId="0251E968" w14:textId="77777777" w:rsidTr="00B45D14">
        <w:trPr>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1C7B1E88" w14:textId="77777777" w:rsidR="00957D45" w:rsidRPr="008021D1" w:rsidRDefault="00957D45" w:rsidP="008021D1">
            <w:r w:rsidRPr="008021D1">
              <w:t>101</w:t>
            </w:r>
          </w:p>
        </w:tc>
        <w:tc>
          <w:tcPr>
            <w:tcW w:w="3859" w:type="pct"/>
            <w:shd w:val="clear" w:color="auto" w:fill="F2F2F2"/>
            <w:hideMark/>
          </w:tcPr>
          <w:p w14:paraId="3A4EF676" w14:textId="77777777" w:rsidR="00957D45" w:rsidRPr="008021D1" w:rsidRDefault="00957D45" w:rsidP="008021D1">
            <w:pPr>
              <w:cnfStyle w:val="000000000000" w:firstRow="0" w:lastRow="0" w:firstColumn="0" w:lastColumn="0" w:oddVBand="0" w:evenVBand="0" w:oddHBand="0" w:evenHBand="0" w:firstRowFirstColumn="0" w:firstRowLastColumn="0" w:lastRowFirstColumn="0" w:lastRowLastColumn="0"/>
            </w:pPr>
            <w:r w:rsidRPr="008021D1">
              <w:t>Security costs</w:t>
            </w:r>
          </w:p>
        </w:tc>
      </w:tr>
      <w:tr w:rsidR="00957D45" w:rsidRPr="008021D1" w14:paraId="77EE836F" w14:textId="77777777" w:rsidTr="00B45D1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1B73FAC6" w14:textId="77777777" w:rsidR="00957D45" w:rsidRPr="008021D1" w:rsidRDefault="00957D45" w:rsidP="008021D1">
            <w:r w:rsidRPr="008021D1">
              <w:t>102</w:t>
            </w:r>
          </w:p>
        </w:tc>
        <w:tc>
          <w:tcPr>
            <w:tcW w:w="3859" w:type="pct"/>
            <w:shd w:val="clear" w:color="auto" w:fill="F2F2F2"/>
            <w:hideMark/>
          </w:tcPr>
          <w:p w14:paraId="4B68360E" w14:textId="77777777" w:rsidR="00957D45" w:rsidRPr="008021D1" w:rsidRDefault="00957D45" w:rsidP="008021D1">
            <w:pPr>
              <w:cnfStyle w:val="000000010000" w:firstRow="0" w:lastRow="0" w:firstColumn="0" w:lastColumn="0" w:oddVBand="0" w:evenVBand="0" w:oddHBand="0" w:evenHBand="1" w:firstRowFirstColumn="0" w:firstRowLastColumn="0" w:lastRowFirstColumn="0" w:lastRowLastColumn="0"/>
            </w:pPr>
            <w:r w:rsidRPr="008021D1">
              <w:t>Telephone and data communication</w:t>
            </w:r>
          </w:p>
        </w:tc>
      </w:tr>
      <w:tr w:rsidR="00957D45" w:rsidRPr="008021D1" w14:paraId="4CC39379" w14:textId="77777777" w:rsidTr="00B45D14">
        <w:trPr>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14353D0D" w14:textId="77777777" w:rsidR="00957D45" w:rsidRPr="008021D1" w:rsidRDefault="00957D45" w:rsidP="008021D1">
            <w:r w:rsidRPr="008021D1">
              <w:t>103</w:t>
            </w:r>
          </w:p>
        </w:tc>
        <w:tc>
          <w:tcPr>
            <w:tcW w:w="3859" w:type="pct"/>
            <w:shd w:val="clear" w:color="auto" w:fill="F2F2F2"/>
            <w:hideMark/>
          </w:tcPr>
          <w:p w14:paraId="5973DBC9" w14:textId="77777777" w:rsidR="00957D45" w:rsidRPr="008021D1" w:rsidRDefault="00957D45" w:rsidP="008021D1">
            <w:pPr>
              <w:cnfStyle w:val="000000000000" w:firstRow="0" w:lastRow="0" w:firstColumn="0" w:lastColumn="0" w:oddVBand="0" w:evenVBand="0" w:oddHBand="0" w:evenHBand="0" w:firstRowFirstColumn="0" w:firstRowLastColumn="0" w:lastRowFirstColumn="0" w:lastRowLastColumn="0"/>
            </w:pPr>
            <w:r w:rsidRPr="008021D1">
              <w:t>Transaction fees/merchant fees/credit card fees</w:t>
            </w:r>
          </w:p>
        </w:tc>
      </w:tr>
      <w:tr w:rsidR="00957D45" w:rsidRPr="008021D1" w14:paraId="61AB5253" w14:textId="77777777" w:rsidTr="00B45D1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05FD608D" w14:textId="77777777" w:rsidR="00957D45" w:rsidRPr="008021D1" w:rsidRDefault="00957D45" w:rsidP="008021D1">
            <w:r w:rsidRPr="008021D1">
              <w:t>104</w:t>
            </w:r>
          </w:p>
        </w:tc>
        <w:tc>
          <w:tcPr>
            <w:tcW w:w="3859" w:type="pct"/>
            <w:shd w:val="clear" w:color="auto" w:fill="F2F2F2"/>
            <w:hideMark/>
          </w:tcPr>
          <w:p w14:paraId="646DC1A9" w14:textId="77777777" w:rsidR="00957D45" w:rsidRPr="008021D1" w:rsidRDefault="00957D45" w:rsidP="008021D1">
            <w:pPr>
              <w:cnfStyle w:val="000000010000" w:firstRow="0" w:lastRow="0" w:firstColumn="0" w:lastColumn="0" w:oddVBand="0" w:evenVBand="0" w:oddHBand="0" w:evenHBand="1" w:firstRowFirstColumn="0" w:firstRowLastColumn="0" w:lastRowFirstColumn="0" w:lastRowLastColumn="0"/>
            </w:pPr>
            <w:r w:rsidRPr="008021D1">
              <w:t>Computer systems and support</w:t>
            </w:r>
          </w:p>
        </w:tc>
      </w:tr>
      <w:tr w:rsidR="00957D45" w:rsidRPr="008021D1" w14:paraId="742A64AB" w14:textId="77777777" w:rsidTr="00B45D14">
        <w:trPr>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04822381" w14:textId="77777777" w:rsidR="00957D45" w:rsidRPr="008021D1" w:rsidRDefault="00957D45" w:rsidP="008021D1">
            <w:r w:rsidRPr="008021D1">
              <w:t>105</w:t>
            </w:r>
          </w:p>
        </w:tc>
        <w:tc>
          <w:tcPr>
            <w:tcW w:w="3859" w:type="pct"/>
            <w:shd w:val="clear" w:color="auto" w:fill="F2F2F2"/>
            <w:hideMark/>
          </w:tcPr>
          <w:p w14:paraId="0F98CE2E" w14:textId="77777777" w:rsidR="00957D45" w:rsidRPr="008021D1" w:rsidRDefault="00957D45" w:rsidP="008021D1">
            <w:pPr>
              <w:cnfStyle w:val="000000000000" w:firstRow="0" w:lastRow="0" w:firstColumn="0" w:lastColumn="0" w:oddVBand="0" w:evenVBand="0" w:oddHBand="0" w:evenHBand="0" w:firstRowFirstColumn="0" w:firstRowLastColumn="0" w:lastRowFirstColumn="0" w:lastRowLastColumn="0"/>
            </w:pPr>
            <w:r w:rsidRPr="008021D1">
              <w:t>Depreciation (not captured elsewhere)</w:t>
            </w:r>
          </w:p>
        </w:tc>
      </w:tr>
      <w:tr w:rsidR="00957D45" w:rsidRPr="008021D1" w14:paraId="2FCDF8A9" w14:textId="77777777" w:rsidTr="00B45D1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1964E989" w14:textId="77777777" w:rsidR="00957D45" w:rsidRPr="008021D1" w:rsidRDefault="00957D45" w:rsidP="008021D1">
            <w:r w:rsidRPr="008021D1">
              <w:t>106</w:t>
            </w:r>
          </w:p>
        </w:tc>
        <w:tc>
          <w:tcPr>
            <w:tcW w:w="3859" w:type="pct"/>
            <w:shd w:val="clear" w:color="auto" w:fill="F2F2F2"/>
            <w:hideMark/>
          </w:tcPr>
          <w:p w14:paraId="4F5FF885" w14:textId="77777777" w:rsidR="00957D45" w:rsidRPr="008021D1" w:rsidRDefault="00957D45" w:rsidP="008021D1">
            <w:pPr>
              <w:cnfStyle w:val="000000010000" w:firstRow="0" w:lastRow="0" w:firstColumn="0" w:lastColumn="0" w:oddVBand="0" w:evenVBand="0" w:oddHBand="0" w:evenHBand="1" w:firstRowFirstColumn="0" w:firstRowLastColumn="0" w:lastRowFirstColumn="0" w:lastRowLastColumn="0"/>
            </w:pPr>
            <w:r w:rsidRPr="008021D1">
              <w:t xml:space="preserve">Amortization </w:t>
            </w:r>
          </w:p>
        </w:tc>
      </w:tr>
      <w:tr w:rsidR="00957D45" w:rsidRPr="008021D1" w14:paraId="73C44EAF" w14:textId="77777777" w:rsidTr="00B45D14">
        <w:trPr>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0BC925EB" w14:textId="77777777" w:rsidR="00957D45" w:rsidRPr="008021D1" w:rsidRDefault="00957D45" w:rsidP="008021D1">
            <w:r w:rsidRPr="008021D1">
              <w:t>107</w:t>
            </w:r>
          </w:p>
        </w:tc>
        <w:tc>
          <w:tcPr>
            <w:tcW w:w="3859" w:type="pct"/>
            <w:shd w:val="clear" w:color="auto" w:fill="F2F2F2"/>
            <w:hideMark/>
          </w:tcPr>
          <w:p w14:paraId="3EC05687" w14:textId="77777777" w:rsidR="00957D45" w:rsidRPr="008021D1" w:rsidRDefault="00957D45" w:rsidP="008021D1">
            <w:pPr>
              <w:cnfStyle w:val="000000000000" w:firstRow="0" w:lastRow="0" w:firstColumn="0" w:lastColumn="0" w:oddVBand="0" w:evenVBand="0" w:oddHBand="0" w:evenHBand="0" w:firstRowFirstColumn="0" w:firstRowLastColumn="0" w:lastRowFirstColumn="0" w:lastRowLastColumn="0"/>
            </w:pPr>
            <w:r w:rsidRPr="008021D1">
              <w:t>Office supplies</w:t>
            </w:r>
          </w:p>
        </w:tc>
      </w:tr>
      <w:tr w:rsidR="00957D45" w:rsidRPr="008021D1" w14:paraId="295D9E67" w14:textId="77777777" w:rsidTr="00B45D1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4D0B8104" w14:textId="77777777" w:rsidR="00957D45" w:rsidRPr="008021D1" w:rsidRDefault="00957D45" w:rsidP="008021D1">
            <w:r w:rsidRPr="008021D1">
              <w:t>108</w:t>
            </w:r>
          </w:p>
        </w:tc>
        <w:tc>
          <w:tcPr>
            <w:tcW w:w="3859" w:type="pct"/>
            <w:shd w:val="clear" w:color="auto" w:fill="F2F2F2"/>
            <w:hideMark/>
          </w:tcPr>
          <w:p w14:paraId="4D615097" w14:textId="77777777" w:rsidR="00957D45" w:rsidRPr="008021D1" w:rsidRDefault="00957D45" w:rsidP="008021D1">
            <w:pPr>
              <w:cnfStyle w:val="000000010000" w:firstRow="0" w:lastRow="0" w:firstColumn="0" w:lastColumn="0" w:oddVBand="0" w:evenVBand="0" w:oddHBand="0" w:evenHBand="1" w:firstRowFirstColumn="0" w:firstRowLastColumn="0" w:lastRowFirstColumn="0" w:lastRowLastColumn="0"/>
            </w:pPr>
            <w:r w:rsidRPr="008021D1">
              <w:t>Office expense</w:t>
            </w:r>
          </w:p>
        </w:tc>
      </w:tr>
      <w:tr w:rsidR="00957D45" w:rsidRPr="008021D1" w14:paraId="45786667" w14:textId="77777777" w:rsidTr="00B45D14">
        <w:trPr>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07929E54" w14:textId="77777777" w:rsidR="00957D45" w:rsidRPr="008021D1" w:rsidRDefault="00957D45" w:rsidP="008021D1">
            <w:r w:rsidRPr="008021D1">
              <w:t>109</w:t>
            </w:r>
          </w:p>
        </w:tc>
        <w:tc>
          <w:tcPr>
            <w:tcW w:w="3859" w:type="pct"/>
            <w:shd w:val="clear" w:color="auto" w:fill="F2F2F2"/>
            <w:hideMark/>
          </w:tcPr>
          <w:p w14:paraId="1ED0A5E1" w14:textId="77777777" w:rsidR="00957D45" w:rsidRPr="008021D1" w:rsidRDefault="00957D45" w:rsidP="008021D1">
            <w:pPr>
              <w:cnfStyle w:val="000000000000" w:firstRow="0" w:lastRow="0" w:firstColumn="0" w:lastColumn="0" w:oddVBand="0" w:evenVBand="0" w:oddHBand="0" w:evenHBand="0" w:firstRowFirstColumn="0" w:firstRowLastColumn="0" w:lastRowFirstColumn="0" w:lastRowLastColumn="0"/>
            </w:pPr>
            <w:r w:rsidRPr="008021D1">
              <w:t>Other insurance (not captured elsewhere)</w:t>
            </w:r>
          </w:p>
        </w:tc>
      </w:tr>
      <w:tr w:rsidR="00957D45" w:rsidRPr="008021D1" w14:paraId="0F719C41" w14:textId="77777777" w:rsidTr="00B45D1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36FD6A11" w14:textId="77777777" w:rsidR="00957D45" w:rsidRPr="008021D1" w:rsidRDefault="00957D45" w:rsidP="008021D1">
            <w:r w:rsidRPr="008021D1">
              <w:t>110</w:t>
            </w:r>
          </w:p>
        </w:tc>
        <w:tc>
          <w:tcPr>
            <w:tcW w:w="3859" w:type="pct"/>
            <w:shd w:val="clear" w:color="auto" w:fill="F2F2F2"/>
            <w:hideMark/>
          </w:tcPr>
          <w:p w14:paraId="32DAD030" w14:textId="77777777" w:rsidR="00957D45" w:rsidRPr="008021D1" w:rsidRDefault="00957D45" w:rsidP="008021D1">
            <w:pPr>
              <w:cnfStyle w:val="000000010000" w:firstRow="0" w:lastRow="0" w:firstColumn="0" w:lastColumn="0" w:oddVBand="0" w:evenVBand="0" w:oddHBand="0" w:evenHBand="1" w:firstRowFirstColumn="0" w:firstRowLastColumn="0" w:lastRowFirstColumn="0" w:lastRowLastColumn="0"/>
            </w:pPr>
            <w:r w:rsidRPr="008021D1">
              <w:t xml:space="preserve">Taxes other than real estate, payroll, or sales </w:t>
            </w:r>
          </w:p>
        </w:tc>
      </w:tr>
      <w:tr w:rsidR="00957D45" w:rsidRPr="008021D1" w14:paraId="5F19CE9F" w14:textId="77777777" w:rsidTr="00B45D14">
        <w:trPr>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148422C9" w14:textId="77777777" w:rsidR="00957D45" w:rsidRPr="008021D1" w:rsidRDefault="00957D45" w:rsidP="008021D1">
            <w:r w:rsidRPr="008021D1">
              <w:t>111</w:t>
            </w:r>
          </w:p>
        </w:tc>
        <w:tc>
          <w:tcPr>
            <w:tcW w:w="3859" w:type="pct"/>
            <w:shd w:val="clear" w:color="auto" w:fill="F2F2F2"/>
            <w:hideMark/>
          </w:tcPr>
          <w:p w14:paraId="2C374333" w14:textId="77777777" w:rsidR="00957D45" w:rsidRPr="008021D1" w:rsidRDefault="00957D45" w:rsidP="008021D1">
            <w:pPr>
              <w:cnfStyle w:val="000000000000" w:firstRow="0" w:lastRow="0" w:firstColumn="0" w:lastColumn="0" w:oddVBand="0" w:evenVBand="0" w:oddHBand="0" w:evenHBand="0" w:firstRowFirstColumn="0" w:firstRowLastColumn="0" w:lastRowFirstColumn="0" w:lastRowLastColumn="0"/>
            </w:pPr>
            <w:r w:rsidRPr="008021D1">
              <w:t>Franchise fees (if applicable)</w:t>
            </w:r>
          </w:p>
        </w:tc>
      </w:tr>
      <w:tr w:rsidR="00957D45" w:rsidRPr="008021D1" w14:paraId="7C05A442" w14:textId="77777777" w:rsidTr="00B45D1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7C189475" w14:textId="77777777" w:rsidR="00957D45" w:rsidRPr="008021D1" w:rsidRDefault="00957D45" w:rsidP="008021D1">
            <w:r w:rsidRPr="008021D1">
              <w:t>112</w:t>
            </w:r>
          </w:p>
        </w:tc>
        <w:tc>
          <w:tcPr>
            <w:tcW w:w="3859" w:type="pct"/>
            <w:shd w:val="clear" w:color="auto" w:fill="F2F2F2"/>
            <w:hideMark/>
          </w:tcPr>
          <w:p w14:paraId="56043F85" w14:textId="77777777" w:rsidR="00957D45" w:rsidRPr="008021D1" w:rsidRDefault="00957D45" w:rsidP="008021D1">
            <w:pPr>
              <w:cnfStyle w:val="000000010000" w:firstRow="0" w:lastRow="0" w:firstColumn="0" w:lastColumn="0" w:oddVBand="0" w:evenVBand="0" w:oddHBand="0" w:evenHBand="1" w:firstRowFirstColumn="0" w:firstRowLastColumn="0" w:lastRowFirstColumn="0" w:lastRowLastColumn="0"/>
            </w:pPr>
            <w:r w:rsidRPr="008021D1">
              <w:t>Other interest</w:t>
            </w:r>
          </w:p>
        </w:tc>
      </w:tr>
      <w:tr w:rsidR="00957D45" w:rsidRPr="008021D1" w14:paraId="7291C08A" w14:textId="77777777" w:rsidTr="00B45D14">
        <w:trPr>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7F7B7B19" w14:textId="77777777" w:rsidR="00957D45" w:rsidRPr="008021D1" w:rsidRDefault="00957D45" w:rsidP="008021D1">
            <w:r w:rsidRPr="008021D1">
              <w:t>113</w:t>
            </w:r>
          </w:p>
        </w:tc>
        <w:tc>
          <w:tcPr>
            <w:tcW w:w="3859" w:type="pct"/>
            <w:shd w:val="clear" w:color="auto" w:fill="F2F2F2"/>
            <w:hideMark/>
          </w:tcPr>
          <w:p w14:paraId="3F2E697D" w14:textId="77777777" w:rsidR="00957D45" w:rsidRPr="008021D1" w:rsidRDefault="00957D45" w:rsidP="008021D1">
            <w:pPr>
              <w:cnfStyle w:val="000000000000" w:firstRow="0" w:lastRow="0" w:firstColumn="0" w:lastColumn="0" w:oddVBand="0" w:evenVBand="0" w:oddHBand="0" w:evenHBand="0" w:firstRowFirstColumn="0" w:firstRowLastColumn="0" w:lastRowFirstColumn="0" w:lastRowLastColumn="0"/>
            </w:pPr>
            <w:r w:rsidRPr="008021D1">
              <w:t>Charitable contributions</w:t>
            </w:r>
          </w:p>
        </w:tc>
      </w:tr>
      <w:tr w:rsidR="00957D45" w:rsidRPr="008021D1" w14:paraId="0457EFA1" w14:textId="77777777" w:rsidTr="00B45D1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5C94700F" w14:textId="77777777" w:rsidR="00957D45" w:rsidRPr="008021D1" w:rsidRDefault="00957D45" w:rsidP="008021D1">
            <w:r w:rsidRPr="008021D1">
              <w:t>114</w:t>
            </w:r>
          </w:p>
        </w:tc>
        <w:tc>
          <w:tcPr>
            <w:tcW w:w="3859" w:type="pct"/>
            <w:shd w:val="clear" w:color="auto" w:fill="F2F2F2"/>
            <w:hideMark/>
          </w:tcPr>
          <w:p w14:paraId="459BC817" w14:textId="77777777" w:rsidR="00957D45" w:rsidRPr="008021D1" w:rsidRDefault="00957D45" w:rsidP="008021D1">
            <w:pPr>
              <w:cnfStyle w:val="000000010000" w:firstRow="0" w:lastRow="0" w:firstColumn="0" w:lastColumn="0" w:oddVBand="0" w:evenVBand="0" w:oddHBand="0" w:evenHBand="1" w:firstRowFirstColumn="0" w:firstRowLastColumn="0" w:lastRowFirstColumn="0" w:lastRowLastColumn="0"/>
            </w:pPr>
            <w:r w:rsidRPr="008021D1">
              <w:t>Corporate overhead</w:t>
            </w:r>
          </w:p>
        </w:tc>
      </w:tr>
      <w:tr w:rsidR="00957D45" w:rsidRPr="008021D1" w14:paraId="76B2F434" w14:textId="77777777" w:rsidTr="00B45D14">
        <w:trPr>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3C909BBA" w14:textId="77777777" w:rsidR="00957D45" w:rsidRPr="008021D1" w:rsidRDefault="00957D45" w:rsidP="008021D1">
            <w:r w:rsidRPr="008021D1">
              <w:t>115</w:t>
            </w:r>
          </w:p>
        </w:tc>
        <w:tc>
          <w:tcPr>
            <w:tcW w:w="3859" w:type="pct"/>
            <w:shd w:val="clear" w:color="auto" w:fill="F2F2F2"/>
            <w:hideMark/>
          </w:tcPr>
          <w:p w14:paraId="12B2F6CE" w14:textId="77777777" w:rsidR="00957D45" w:rsidRPr="008021D1" w:rsidRDefault="00957D45" w:rsidP="008021D1">
            <w:pPr>
              <w:cnfStyle w:val="000000000000" w:firstRow="0" w:lastRow="0" w:firstColumn="0" w:lastColumn="0" w:oddVBand="0" w:evenVBand="0" w:oddHBand="0" w:evenHBand="0" w:firstRowFirstColumn="0" w:firstRowLastColumn="0" w:lastRowFirstColumn="0" w:lastRowLastColumn="0"/>
            </w:pPr>
            <w:r w:rsidRPr="008021D1">
              <w:t>Other costs not included elsewhere (explain in comments section)</w:t>
            </w:r>
          </w:p>
        </w:tc>
      </w:tr>
      <w:tr w:rsidR="00957D45" w:rsidRPr="008021D1" w14:paraId="70E07772" w14:textId="77777777" w:rsidTr="00B45D1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4A4F7802" w14:textId="77777777" w:rsidR="00957D45" w:rsidRPr="008021D1" w:rsidRDefault="00957D45" w:rsidP="008021D1">
            <w:r w:rsidRPr="008021D1">
              <w:t>116</w:t>
            </w:r>
          </w:p>
        </w:tc>
        <w:tc>
          <w:tcPr>
            <w:tcW w:w="3859" w:type="pct"/>
            <w:shd w:val="clear" w:color="auto" w:fill="F2F2F2"/>
            <w:hideMark/>
          </w:tcPr>
          <w:p w14:paraId="65BBCE26" w14:textId="77777777" w:rsidR="00957D45" w:rsidRPr="008021D1" w:rsidRDefault="00957D45" w:rsidP="008021D1">
            <w:pPr>
              <w:cnfStyle w:val="000000010000" w:firstRow="0" w:lastRow="0" w:firstColumn="0" w:lastColumn="0" w:oddVBand="0" w:evenVBand="0" w:oddHBand="0" w:evenHBand="1" w:firstRowFirstColumn="0" w:firstRowLastColumn="0" w:lastRowFirstColumn="0" w:lastRowLastColumn="0"/>
            </w:pPr>
            <w:r w:rsidRPr="008021D1">
              <w:t>Total non-facility overhead (sum of previous 17 questions)</w:t>
            </w:r>
          </w:p>
        </w:tc>
      </w:tr>
      <w:tr w:rsidR="00957D45" w:rsidRPr="008021D1" w14:paraId="4D9916C6" w14:textId="77777777" w:rsidTr="00B45D14">
        <w:trPr>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6E5342FA" w14:textId="77777777" w:rsidR="00957D45" w:rsidRPr="008021D1" w:rsidRDefault="00957D45" w:rsidP="008021D1">
            <w:r w:rsidRPr="008021D1">
              <w:t>117</w:t>
            </w:r>
          </w:p>
        </w:tc>
        <w:tc>
          <w:tcPr>
            <w:tcW w:w="3859" w:type="pct"/>
            <w:shd w:val="clear" w:color="auto" w:fill="F2F2F2"/>
            <w:hideMark/>
          </w:tcPr>
          <w:p w14:paraId="0B3D66B0" w14:textId="77777777" w:rsidR="00957D45" w:rsidRPr="008021D1" w:rsidRDefault="00957D45" w:rsidP="008021D1">
            <w:pPr>
              <w:cnfStyle w:val="000000000000" w:firstRow="0" w:lastRow="0" w:firstColumn="0" w:lastColumn="0" w:oddVBand="0" w:evenVBand="0" w:oddHBand="0" w:evenHBand="0" w:firstRowFirstColumn="0" w:firstRowLastColumn="0" w:lastRowFirstColumn="0" w:lastRowLastColumn="0"/>
            </w:pPr>
            <w:r w:rsidRPr="008021D1">
              <w:t>Total overhead (sum of previous question and total facility costs)</w:t>
            </w:r>
          </w:p>
        </w:tc>
      </w:tr>
      <w:tr w:rsidR="00957D45" w:rsidRPr="008021D1" w14:paraId="2A4F35E1" w14:textId="77777777" w:rsidTr="00B45D1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050B838C" w14:textId="77777777" w:rsidR="00957D45" w:rsidRPr="008021D1" w:rsidRDefault="00957D45" w:rsidP="008021D1">
            <w:r w:rsidRPr="008021D1">
              <w:t>118</w:t>
            </w:r>
          </w:p>
        </w:tc>
        <w:tc>
          <w:tcPr>
            <w:tcW w:w="3859" w:type="pct"/>
            <w:shd w:val="clear" w:color="auto" w:fill="F2F2F2"/>
            <w:hideMark/>
          </w:tcPr>
          <w:p w14:paraId="25C24EA1" w14:textId="77777777" w:rsidR="00957D45" w:rsidRPr="008021D1" w:rsidRDefault="00957D45" w:rsidP="008021D1">
            <w:pPr>
              <w:cnfStyle w:val="000000010000" w:firstRow="0" w:lastRow="0" w:firstColumn="0" w:lastColumn="0" w:oddVBand="0" w:evenVBand="0" w:oddHBand="0" w:evenHBand="1" w:firstRowFirstColumn="0" w:firstRowLastColumn="0" w:lastRowFirstColumn="0" w:lastRowLastColumn="0"/>
            </w:pPr>
            <w:r w:rsidRPr="008021D1">
              <w:t>Total net sales from your financial statements or tax return</w:t>
            </w:r>
          </w:p>
        </w:tc>
      </w:tr>
      <w:tr w:rsidR="00957D45" w:rsidRPr="008021D1" w14:paraId="397CD5AA" w14:textId="77777777" w:rsidTr="00B45D14">
        <w:trPr>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3BD2C5D7" w14:textId="77777777" w:rsidR="00957D45" w:rsidRPr="008021D1" w:rsidRDefault="00957D45" w:rsidP="008021D1">
            <w:r w:rsidRPr="008021D1">
              <w:t>119</w:t>
            </w:r>
          </w:p>
        </w:tc>
        <w:tc>
          <w:tcPr>
            <w:tcW w:w="3859" w:type="pct"/>
            <w:shd w:val="clear" w:color="auto" w:fill="F2F2F2"/>
            <w:hideMark/>
          </w:tcPr>
          <w:p w14:paraId="1FFC9F6D" w14:textId="77777777" w:rsidR="00957D45" w:rsidRPr="008021D1" w:rsidRDefault="00957D45" w:rsidP="008021D1">
            <w:pPr>
              <w:cnfStyle w:val="000000000000" w:firstRow="0" w:lastRow="0" w:firstColumn="0" w:lastColumn="0" w:oddVBand="0" w:evenVBand="0" w:oddHBand="0" w:evenHBand="0" w:firstRowFirstColumn="0" w:firstRowLastColumn="0" w:lastRowFirstColumn="0" w:lastRowLastColumn="0"/>
            </w:pPr>
            <w:r w:rsidRPr="008021D1">
              <w:t>Total net sales reported in the survey (same value as question 51)</w:t>
            </w:r>
          </w:p>
        </w:tc>
      </w:tr>
      <w:tr w:rsidR="00957D45" w:rsidRPr="008021D1" w14:paraId="32DD29ED" w14:textId="77777777" w:rsidTr="00B45D14">
        <w:trPr>
          <w:cnfStyle w:val="000000010000" w:firstRow="0" w:lastRow="0" w:firstColumn="0" w:lastColumn="0" w:oddVBand="0" w:evenVBand="0" w:oddHBand="0" w:evenHBand="1"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051DB606" w14:textId="77777777" w:rsidR="00957D45" w:rsidRPr="008021D1" w:rsidRDefault="00957D45" w:rsidP="008021D1">
            <w:r w:rsidRPr="008021D1">
              <w:t>120</w:t>
            </w:r>
          </w:p>
        </w:tc>
        <w:tc>
          <w:tcPr>
            <w:tcW w:w="3859" w:type="pct"/>
            <w:shd w:val="clear" w:color="auto" w:fill="F2F2F2"/>
            <w:hideMark/>
          </w:tcPr>
          <w:p w14:paraId="5FDCC0CC" w14:textId="77777777" w:rsidR="00957D45" w:rsidRPr="008021D1" w:rsidRDefault="00957D45" w:rsidP="008021D1">
            <w:pPr>
              <w:cnfStyle w:val="000000010000" w:firstRow="0" w:lastRow="0" w:firstColumn="0" w:lastColumn="0" w:oddVBand="0" w:evenVBand="0" w:oddHBand="0" w:evenHBand="1" w:firstRowFirstColumn="0" w:firstRowLastColumn="0" w:lastRowFirstColumn="0" w:lastRowLastColumn="0"/>
            </w:pPr>
            <w:r w:rsidRPr="008021D1">
              <w:t>Sales variance (difference between the previous 2 questions, if not zero, please explain in comments section)</w:t>
            </w:r>
          </w:p>
        </w:tc>
      </w:tr>
      <w:tr w:rsidR="00957D45" w:rsidRPr="008021D1" w14:paraId="631179DF" w14:textId="77777777" w:rsidTr="00B45D14">
        <w:trPr>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699E3E70" w14:textId="77777777" w:rsidR="00957D45" w:rsidRPr="008021D1" w:rsidRDefault="00957D45" w:rsidP="008021D1">
            <w:r w:rsidRPr="008021D1">
              <w:t>121</w:t>
            </w:r>
          </w:p>
        </w:tc>
        <w:tc>
          <w:tcPr>
            <w:tcW w:w="3859" w:type="pct"/>
            <w:shd w:val="clear" w:color="auto" w:fill="F2F2F2"/>
            <w:hideMark/>
          </w:tcPr>
          <w:p w14:paraId="76CE4A9E" w14:textId="77777777" w:rsidR="00957D45" w:rsidRPr="008021D1" w:rsidRDefault="00957D45" w:rsidP="008021D1">
            <w:pPr>
              <w:cnfStyle w:val="000000000000" w:firstRow="0" w:lastRow="0" w:firstColumn="0" w:lastColumn="0" w:oddVBand="0" w:evenVBand="0" w:oddHBand="0" w:evenHBand="0" w:firstRowFirstColumn="0" w:firstRowLastColumn="0" w:lastRowFirstColumn="0" w:lastRowLastColumn="0"/>
            </w:pPr>
            <w:r w:rsidRPr="008021D1">
              <w:t>Total payroll expenses from your financial statements or tax return</w:t>
            </w:r>
          </w:p>
        </w:tc>
      </w:tr>
      <w:tr w:rsidR="00957D45" w:rsidRPr="008021D1" w14:paraId="4376E8B2" w14:textId="77777777" w:rsidTr="00B45D1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307D3E33" w14:textId="77777777" w:rsidR="00957D45" w:rsidRPr="008021D1" w:rsidRDefault="00957D45" w:rsidP="008021D1">
            <w:r w:rsidRPr="008021D1">
              <w:t>122</w:t>
            </w:r>
          </w:p>
        </w:tc>
        <w:tc>
          <w:tcPr>
            <w:tcW w:w="3859" w:type="pct"/>
            <w:shd w:val="clear" w:color="auto" w:fill="F2F2F2"/>
            <w:hideMark/>
          </w:tcPr>
          <w:p w14:paraId="4FC7EA5E" w14:textId="77777777" w:rsidR="00957D45" w:rsidRPr="008021D1" w:rsidRDefault="00957D45" w:rsidP="008021D1">
            <w:pPr>
              <w:cnfStyle w:val="000000010000" w:firstRow="0" w:lastRow="0" w:firstColumn="0" w:lastColumn="0" w:oddVBand="0" w:evenVBand="0" w:oddHBand="0" w:evenHBand="1" w:firstRowFirstColumn="0" w:firstRowLastColumn="0" w:lastRowFirstColumn="0" w:lastRowLastColumn="0"/>
            </w:pPr>
            <w:r w:rsidRPr="008021D1">
              <w:t>Total payroll reported in the survey (same value as question 86)</w:t>
            </w:r>
          </w:p>
        </w:tc>
      </w:tr>
      <w:tr w:rsidR="00957D45" w:rsidRPr="008021D1" w14:paraId="4B1DC466" w14:textId="77777777" w:rsidTr="00B45D14">
        <w:trPr>
          <w:trHeight w:val="49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43C9D89E" w14:textId="77777777" w:rsidR="00957D45" w:rsidRPr="008021D1" w:rsidRDefault="00957D45" w:rsidP="008021D1">
            <w:r w:rsidRPr="008021D1">
              <w:t>123</w:t>
            </w:r>
          </w:p>
        </w:tc>
        <w:tc>
          <w:tcPr>
            <w:tcW w:w="3859" w:type="pct"/>
            <w:shd w:val="clear" w:color="auto" w:fill="F2F2F2"/>
            <w:hideMark/>
          </w:tcPr>
          <w:p w14:paraId="31880B14" w14:textId="77777777" w:rsidR="00957D45" w:rsidRPr="008021D1" w:rsidRDefault="00957D45" w:rsidP="008021D1">
            <w:pPr>
              <w:cnfStyle w:val="000000000000" w:firstRow="0" w:lastRow="0" w:firstColumn="0" w:lastColumn="0" w:oddVBand="0" w:evenVBand="0" w:oddHBand="0" w:evenHBand="0" w:firstRowFirstColumn="0" w:firstRowLastColumn="0" w:lastRowFirstColumn="0" w:lastRowLastColumn="0"/>
            </w:pPr>
            <w:r w:rsidRPr="008021D1">
              <w:t>Payroll variance (difference between the previous 2 questions, if not zero, please explain in comments section)</w:t>
            </w:r>
          </w:p>
        </w:tc>
      </w:tr>
      <w:tr w:rsidR="00957D45" w:rsidRPr="008021D1" w14:paraId="1D7226CD" w14:textId="77777777" w:rsidTr="00B45D1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5004577E" w14:textId="77777777" w:rsidR="00957D45" w:rsidRPr="008021D1" w:rsidRDefault="00957D45" w:rsidP="008021D1">
            <w:r w:rsidRPr="008021D1">
              <w:t>124</w:t>
            </w:r>
          </w:p>
        </w:tc>
        <w:tc>
          <w:tcPr>
            <w:tcW w:w="3859" w:type="pct"/>
            <w:shd w:val="clear" w:color="auto" w:fill="F2F2F2"/>
            <w:hideMark/>
          </w:tcPr>
          <w:p w14:paraId="519D5FD4" w14:textId="77777777" w:rsidR="00957D45" w:rsidRPr="008021D1" w:rsidRDefault="00957D45" w:rsidP="008021D1">
            <w:pPr>
              <w:cnfStyle w:val="000000010000" w:firstRow="0" w:lastRow="0" w:firstColumn="0" w:lastColumn="0" w:oddVBand="0" w:evenVBand="0" w:oddHBand="0" w:evenHBand="1" w:firstRowFirstColumn="0" w:firstRowLastColumn="0" w:lastRowFirstColumn="0" w:lastRowLastColumn="0"/>
            </w:pPr>
            <w:r w:rsidRPr="008021D1">
              <w:t>Total expenses from your financial statements</w:t>
            </w:r>
          </w:p>
        </w:tc>
      </w:tr>
      <w:tr w:rsidR="00957D45" w:rsidRPr="008021D1" w14:paraId="1908AA43" w14:textId="77777777" w:rsidTr="00B45D14">
        <w:trPr>
          <w:trHeight w:val="49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3F4757B2" w14:textId="77777777" w:rsidR="00957D45" w:rsidRPr="008021D1" w:rsidRDefault="00957D45" w:rsidP="008021D1">
            <w:r w:rsidRPr="008021D1">
              <w:lastRenderedPageBreak/>
              <w:t>125</w:t>
            </w:r>
          </w:p>
        </w:tc>
        <w:tc>
          <w:tcPr>
            <w:tcW w:w="3859" w:type="pct"/>
            <w:shd w:val="clear" w:color="auto" w:fill="F2F2F2"/>
            <w:hideMark/>
          </w:tcPr>
          <w:p w14:paraId="2EFC1D9C" w14:textId="77777777" w:rsidR="00957D45" w:rsidRPr="008021D1" w:rsidRDefault="00957D45" w:rsidP="008021D1">
            <w:pPr>
              <w:cnfStyle w:val="000000000000" w:firstRow="0" w:lastRow="0" w:firstColumn="0" w:lastColumn="0" w:oddVBand="0" w:evenVBand="0" w:oddHBand="0" w:evenHBand="0" w:firstRowFirstColumn="0" w:firstRowLastColumn="0" w:lastRowFirstColumn="0" w:lastRowLastColumn="0"/>
            </w:pPr>
            <w:r w:rsidRPr="008021D1">
              <w:t>Total expenses reported in the survey (question 69, total pharmacy department non-payroll costs + 86, total payroll expense + 117, total overhead)</w:t>
            </w:r>
          </w:p>
        </w:tc>
      </w:tr>
      <w:tr w:rsidR="00957D45" w:rsidRPr="008021D1" w14:paraId="1D9AD0D4" w14:textId="77777777" w:rsidTr="00B45D14">
        <w:trPr>
          <w:cnfStyle w:val="000000010000" w:firstRow="0" w:lastRow="0" w:firstColumn="0" w:lastColumn="0" w:oddVBand="0" w:evenVBand="0" w:oddHBand="0" w:evenHBand="1"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7C7895D7" w14:textId="77777777" w:rsidR="00957D45" w:rsidRPr="008021D1" w:rsidRDefault="00957D45" w:rsidP="008021D1">
            <w:r w:rsidRPr="008021D1">
              <w:t>126</w:t>
            </w:r>
          </w:p>
        </w:tc>
        <w:tc>
          <w:tcPr>
            <w:tcW w:w="3859" w:type="pct"/>
            <w:shd w:val="clear" w:color="auto" w:fill="F2F2F2"/>
            <w:hideMark/>
          </w:tcPr>
          <w:p w14:paraId="39196094" w14:textId="77777777" w:rsidR="00957D45" w:rsidRPr="008021D1" w:rsidRDefault="00957D45" w:rsidP="008021D1">
            <w:pPr>
              <w:cnfStyle w:val="000000010000" w:firstRow="0" w:lastRow="0" w:firstColumn="0" w:lastColumn="0" w:oddVBand="0" w:evenVBand="0" w:oddHBand="0" w:evenHBand="1" w:firstRowFirstColumn="0" w:firstRowLastColumn="0" w:lastRowFirstColumn="0" w:lastRowLastColumn="0"/>
            </w:pPr>
            <w:r w:rsidRPr="008021D1">
              <w:t>Total expense variance (difference between the previous 2 questions, if not zero, please explain in comments section)</w:t>
            </w:r>
          </w:p>
        </w:tc>
      </w:tr>
      <w:tr w:rsidR="00957D45" w:rsidRPr="008021D1" w14:paraId="2D469BFD" w14:textId="77777777" w:rsidTr="00B45D14">
        <w:trPr>
          <w:trHeight w:val="735"/>
        </w:trPr>
        <w:tc>
          <w:tcPr>
            <w:cnfStyle w:val="001000000000" w:firstRow="0" w:lastRow="0" w:firstColumn="1" w:lastColumn="0" w:oddVBand="0" w:evenVBand="0" w:oddHBand="0" w:evenHBand="0" w:firstRowFirstColumn="0" w:firstRowLastColumn="0" w:lastRowFirstColumn="0" w:lastRowLastColumn="0"/>
            <w:tcW w:w="1141" w:type="pct"/>
            <w:shd w:val="clear" w:color="auto" w:fill="F2F2F2"/>
            <w:noWrap/>
            <w:hideMark/>
          </w:tcPr>
          <w:p w14:paraId="574A1E4B" w14:textId="77777777" w:rsidR="00957D45" w:rsidRPr="008021D1" w:rsidRDefault="00957D45" w:rsidP="008021D1">
            <w:r w:rsidRPr="008021D1">
              <w:t>127</w:t>
            </w:r>
          </w:p>
        </w:tc>
        <w:tc>
          <w:tcPr>
            <w:tcW w:w="3859" w:type="pct"/>
            <w:shd w:val="clear" w:color="auto" w:fill="F2F2F2"/>
            <w:hideMark/>
          </w:tcPr>
          <w:p w14:paraId="517915D0" w14:textId="77777777" w:rsidR="00957D45" w:rsidRPr="008021D1" w:rsidRDefault="00957D45" w:rsidP="008021D1">
            <w:pPr>
              <w:cnfStyle w:val="000000000000" w:firstRow="0" w:lastRow="0" w:firstColumn="0" w:lastColumn="0" w:oddVBand="0" w:evenVBand="0" w:oddHBand="0" w:evenHBand="0" w:firstRowFirstColumn="0" w:firstRowLastColumn="0" w:lastRowFirstColumn="0" w:lastRowLastColumn="0"/>
            </w:pPr>
            <w:r w:rsidRPr="008021D1">
              <w:t>The Comments section is for comments and clarifications. If reporting more than one location, be specific as to which location the comment pertains. If comments are provided in response to a question, be specific as to which question the comment pertains.</w:t>
            </w:r>
          </w:p>
        </w:tc>
      </w:tr>
    </w:tbl>
    <w:p w14:paraId="4196CE82" w14:textId="275DD9B4" w:rsidR="00F07922" w:rsidRPr="00FB493A" w:rsidRDefault="00F07922" w:rsidP="003F38FA"/>
    <w:sdt>
      <w:sdtPr>
        <w:tag w:val="ProtectedSection"/>
        <w:id w:val="1797632175"/>
        <w:lock w:val="sdtContentLocked"/>
        <w:placeholder>
          <w:docPart w:val="D4D98BDEA0F74421BFA867A9EF851100"/>
        </w:placeholder>
        <w15:appearance w15:val="hidden"/>
      </w:sdtPr>
      <w:sdtEndPr/>
      <w:sdtContent>
        <w:p w14:paraId="1D7CB45A" w14:textId="77777777" w:rsidR="00D6661C" w:rsidRPr="00217284" w:rsidRDefault="00217284" w:rsidP="00D6661C">
          <w:pPr>
            <w:pStyle w:val="SectionWrapper"/>
            <w:sectPr w:rsidR="00D6661C" w:rsidRPr="00217284" w:rsidSect="00B45D14">
              <w:headerReference w:type="even" r:id="rId22"/>
              <w:headerReference w:type="default" r:id="rId23"/>
              <w:footerReference w:type="default" r:id="rId24"/>
              <w:headerReference w:type="first" r:id="rId25"/>
              <w:pgSz w:w="12240" w:h="15840" w:code="9"/>
              <w:pgMar w:top="1985" w:right="1751" w:bottom="702" w:left="1418" w:header="766" w:footer="567" w:gutter="0"/>
              <w:pgNumType w:start="21"/>
              <w:cols w:space="708"/>
              <w:docGrid w:linePitch="360"/>
            </w:sectPr>
          </w:pPr>
          <w:r w:rsidRPr="00217284">
            <w:t xml:space="preserve"> </w:t>
          </w:r>
        </w:p>
      </w:sdtContent>
    </w:sdt>
    <w:p w14:paraId="541F9944" w14:textId="77777777" w:rsidR="008A712B" w:rsidRDefault="00FB493A" w:rsidP="008A712B">
      <w:pPr>
        <w:pStyle w:val="LegalCompanyName"/>
      </w:pPr>
      <w:bookmarkStart w:id="79" w:name="LegalCompanyName"/>
      <w:r>
        <w:lastRenderedPageBreak/>
        <w:t>Mercer Health &amp; Benefits LLC</w:t>
      </w:r>
      <w:bookmarkEnd w:id="79"/>
    </w:p>
    <w:p w14:paraId="5B47A4DC" w14:textId="77777777" w:rsidR="00FB493A" w:rsidRDefault="00FB493A" w:rsidP="008A712B">
      <w:pPr>
        <w:pStyle w:val="LegalCompanyAddress"/>
      </w:pPr>
      <w:bookmarkStart w:id="80" w:name="OfficeAddress"/>
      <w:r>
        <w:t>333 South 7th Street, Suite 1400</w:t>
      </w:r>
    </w:p>
    <w:p w14:paraId="668C7FFC" w14:textId="77777777" w:rsidR="008A712B" w:rsidRDefault="00FB493A" w:rsidP="008A712B">
      <w:pPr>
        <w:pStyle w:val="LegalCompanyAddress"/>
      </w:pPr>
      <w:r>
        <w:t>Minneapolis, MN 55402</w:t>
      </w:r>
      <w:bookmarkEnd w:id="80"/>
    </w:p>
    <w:p w14:paraId="3716CE40" w14:textId="77777777" w:rsidR="008A712B" w:rsidRDefault="00FB493A" w:rsidP="008A712B">
      <w:pPr>
        <w:pStyle w:val="LegalCompanyAddress"/>
      </w:pPr>
      <w:bookmarkStart w:id="81" w:name="WebsiteAddress"/>
      <w:r>
        <w:t>www.mercer-government.mercer.com</w:t>
      </w:r>
      <w:bookmarkEnd w:id="81"/>
    </w:p>
    <w:p w14:paraId="00F32FB7" w14:textId="77777777" w:rsidR="00D375F0" w:rsidRPr="00D375F0" w:rsidRDefault="00D375F0" w:rsidP="0001446E"/>
    <w:p w14:paraId="0C7A3761" w14:textId="77777777" w:rsidR="00D375F0" w:rsidRPr="00D375F0" w:rsidRDefault="00FB493A" w:rsidP="0001446E">
      <w:pPr>
        <w:pStyle w:val="Legalcopy"/>
      </w:pPr>
      <w:bookmarkStart w:id="82" w:name="LegalText"/>
      <w:r>
        <w:t>Services provided by Mercer Health &amp; Benefits LLC.</w:t>
      </w:r>
      <w:bookmarkEnd w:id="82"/>
    </w:p>
    <w:p w14:paraId="47AB4B0C" w14:textId="77777777" w:rsidR="00D375F0" w:rsidRPr="00D375F0" w:rsidRDefault="00FB493A" w:rsidP="00903A6E">
      <w:pPr>
        <w:pStyle w:val="Copyright"/>
      </w:pPr>
      <w:bookmarkStart w:id="83" w:name="Copyright"/>
      <w:r>
        <w:t>Copyright © 2023 Mercer Health &amp; Benefits LLC. All rights reserved.</w:t>
      </w:r>
      <w:bookmarkEnd w:id="83"/>
    </w:p>
    <w:p w14:paraId="116AE34A" w14:textId="77777777" w:rsidR="00D375F0" w:rsidRPr="00D375F0" w:rsidRDefault="00D375F0" w:rsidP="00725BFE"/>
    <w:p w14:paraId="4C9E5A76" w14:textId="77777777" w:rsidR="00456EA6" w:rsidRPr="00D375F0" w:rsidRDefault="00080BED" w:rsidP="00903A6E">
      <w:bookmarkStart w:id="84" w:name="ExternalEndorsement"/>
      <w:r>
        <w:t xml:space="preserve">   </w:t>
      </w:r>
      <w:bookmarkEnd w:id="84"/>
    </w:p>
    <w:sectPr w:rsidR="00456EA6" w:rsidRPr="00D375F0" w:rsidSect="00D43CA9">
      <w:headerReference w:type="even" r:id="rId26"/>
      <w:headerReference w:type="default" r:id="rId27"/>
      <w:footerReference w:type="default" r:id="rId28"/>
      <w:headerReference w:type="first" r:id="rId29"/>
      <w:footerReference w:type="first" r:id="rId30"/>
      <w:pgSz w:w="12240" w:h="15840" w:code="9"/>
      <w:pgMar w:top="2835" w:right="1751" w:bottom="702" w:left="1418"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88CBC8" w14:textId="77777777" w:rsidR="00757447" w:rsidRDefault="00757447" w:rsidP="00ED3C22">
      <w:r>
        <w:separator/>
      </w:r>
    </w:p>
  </w:endnote>
  <w:endnote w:type="continuationSeparator" w:id="0">
    <w:p w14:paraId="50A59A69" w14:textId="77777777" w:rsidR="00757447" w:rsidRDefault="00757447" w:rsidP="00ED3C22">
      <w:r>
        <w:continuationSeparator/>
      </w:r>
    </w:p>
    <w:p w14:paraId="7C218236" w14:textId="77777777" w:rsidR="00757447" w:rsidRDefault="00757447" w:rsidP="00ED3C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4535"/>
    </w:tblGrid>
    <w:tr w:rsidR="00D6661C" w14:paraId="62FBD5BE" w14:textId="77777777" w:rsidTr="00FB493A">
      <w:trPr>
        <w:trHeight w:hRule="exact" w:val="600"/>
      </w:trPr>
      <w:tc>
        <w:tcPr>
          <w:tcW w:w="2500" w:type="pct"/>
          <w:vAlign w:val="bottom"/>
        </w:tcPr>
        <w:p w14:paraId="581E4370" w14:textId="77777777" w:rsidR="00D6661C" w:rsidRDefault="00FB493A" w:rsidP="00D6661C">
          <w:pPr>
            <w:pStyle w:val="BusinessLine"/>
          </w:pPr>
          <w:bookmarkStart w:id="3" w:name="LowerLeftText"/>
          <w:r>
            <w:t>welcome to brighter</w:t>
          </w:r>
          <w:bookmarkEnd w:id="3"/>
        </w:p>
      </w:tc>
      <w:tc>
        <w:tcPr>
          <w:tcW w:w="2500" w:type="pct"/>
          <w:vAlign w:val="bottom"/>
        </w:tcPr>
        <w:p w14:paraId="1C0E1301" w14:textId="77777777" w:rsidR="00D6661C" w:rsidRDefault="00FB493A" w:rsidP="00D6661C">
          <w:pPr>
            <w:pStyle w:val="BusinessOf"/>
            <w:jc w:val="right"/>
          </w:pPr>
          <w:bookmarkStart w:id="4" w:name="BusinessOfText"/>
          <w:r>
            <w:t>A business of Marsh McLennan</w:t>
          </w:r>
          <w:bookmarkEnd w:id="4"/>
        </w:p>
      </w:tc>
    </w:tr>
  </w:tbl>
  <w:p w14:paraId="7243C5B1" w14:textId="77777777" w:rsidR="00D6661C" w:rsidRDefault="00D6661C" w:rsidP="00D6661C">
    <w:pPr>
      <w:tabs>
        <w:tab w:val="left" w:pos="3473"/>
      </w:tabs>
      <w:spacing w:line="20" w:lineRule="exact"/>
      <w:rPr>
        <w:sz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50"/>
      <w:gridCol w:w="4521"/>
    </w:tblGrid>
    <w:tr w:rsidR="00D6661C" w14:paraId="578F78BC" w14:textId="77777777" w:rsidTr="00582B34">
      <w:tc>
        <w:tcPr>
          <w:tcW w:w="4814" w:type="dxa"/>
        </w:tcPr>
        <w:p w14:paraId="3A11E53C" w14:textId="77777777" w:rsidR="00D6661C" w:rsidRDefault="00FB493A" w:rsidP="00903A6E">
          <w:pPr>
            <w:pStyle w:val="CompanyName"/>
          </w:pPr>
          <w:bookmarkStart w:id="8" w:name="CompanyName"/>
          <w:r>
            <w:t>Mercer</w:t>
          </w:r>
          <w:bookmarkEnd w:id="8"/>
        </w:p>
      </w:tc>
      <w:tc>
        <w:tcPr>
          <w:tcW w:w="4814" w:type="dxa"/>
        </w:tcPr>
        <w:p w14:paraId="5B93FE4B" w14:textId="77777777" w:rsidR="00D6661C" w:rsidRPr="00396ACC" w:rsidRDefault="00D6661C" w:rsidP="00ED3C22">
          <w:pPr>
            <w:pStyle w:val="Footer-Pagenumber"/>
            <w:rPr>
              <w:rStyle w:val="PageNumber"/>
            </w:rPr>
          </w:pPr>
          <w:r w:rsidRPr="00396ACC">
            <w:rPr>
              <w:rStyle w:val="PageNumber"/>
            </w:rPr>
            <w:fldChar w:fldCharType="begin"/>
          </w:r>
          <w:r w:rsidRPr="00396ACC">
            <w:rPr>
              <w:rStyle w:val="PageNumber"/>
            </w:rPr>
            <w:instrText xml:space="preserve">PAGE  </w:instrText>
          </w:r>
          <w:r w:rsidRPr="00396ACC">
            <w:rPr>
              <w:rStyle w:val="PageNumber"/>
            </w:rPr>
            <w:fldChar w:fldCharType="separate"/>
          </w:r>
          <w:r w:rsidR="00F93B5D">
            <w:rPr>
              <w:rStyle w:val="PageNumber"/>
              <w:noProof/>
            </w:rPr>
            <w:t>i</w:t>
          </w:r>
          <w:r w:rsidRPr="00396ACC">
            <w:rPr>
              <w:rStyle w:val="PageNumber"/>
            </w:rPr>
            <w:fldChar w:fldCharType="end"/>
          </w:r>
        </w:p>
      </w:tc>
    </w:tr>
  </w:tbl>
  <w:p w14:paraId="361796F2" w14:textId="77777777" w:rsidR="00D6661C" w:rsidRPr="00E817E0" w:rsidRDefault="00D6661C" w:rsidP="00E817E0">
    <w:pPr>
      <w:pStyle w:val="Filestam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3196A" w14:textId="77777777" w:rsidR="001645FC" w:rsidRDefault="001645F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48"/>
      <w:gridCol w:w="4523"/>
    </w:tblGrid>
    <w:tr w:rsidR="00D6661C" w14:paraId="0904DAFD" w14:textId="77777777" w:rsidTr="006562E5">
      <w:tc>
        <w:tcPr>
          <w:tcW w:w="4548" w:type="dxa"/>
        </w:tcPr>
        <w:p w14:paraId="6BCBBAD9" w14:textId="77777777" w:rsidR="00D6661C" w:rsidRDefault="00FB493A" w:rsidP="00903A6E">
          <w:pPr>
            <w:pStyle w:val="CompanyName"/>
          </w:pPr>
          <w:bookmarkStart w:id="76" w:name="CompanyNameBodyFooter"/>
          <w:r>
            <w:t>Mercer</w:t>
          </w:r>
          <w:bookmarkEnd w:id="76"/>
        </w:p>
      </w:tc>
      <w:tc>
        <w:tcPr>
          <w:tcW w:w="4523" w:type="dxa"/>
        </w:tcPr>
        <w:p w14:paraId="01CBF865" w14:textId="77777777" w:rsidR="00D6661C" w:rsidRPr="00396ACC" w:rsidRDefault="00D6661C" w:rsidP="00ED3C22">
          <w:pPr>
            <w:pStyle w:val="Footer-Pagenumber"/>
            <w:rPr>
              <w:rStyle w:val="PageNumber"/>
            </w:rPr>
          </w:pPr>
          <w:r w:rsidRPr="00396ACC">
            <w:rPr>
              <w:rStyle w:val="PageNumber"/>
            </w:rPr>
            <w:fldChar w:fldCharType="begin"/>
          </w:r>
          <w:r w:rsidRPr="00396ACC">
            <w:rPr>
              <w:rStyle w:val="PageNumber"/>
            </w:rPr>
            <w:instrText xml:space="preserve">PAGE  </w:instrText>
          </w:r>
          <w:r w:rsidRPr="00396ACC">
            <w:rPr>
              <w:rStyle w:val="PageNumber"/>
            </w:rPr>
            <w:fldChar w:fldCharType="separate"/>
          </w:r>
          <w:r w:rsidR="00F93B5D">
            <w:rPr>
              <w:rStyle w:val="PageNumber"/>
              <w:noProof/>
            </w:rPr>
            <w:t>1</w:t>
          </w:r>
          <w:r w:rsidRPr="00396ACC">
            <w:rPr>
              <w:rStyle w:val="PageNumber"/>
            </w:rPr>
            <w:fldChar w:fldCharType="end"/>
          </w:r>
        </w:p>
      </w:tc>
    </w:tr>
  </w:tbl>
  <w:p w14:paraId="1A51DA68" w14:textId="77777777" w:rsidR="00D6661C" w:rsidRPr="00E817E0" w:rsidRDefault="00D6661C" w:rsidP="00E817E0">
    <w:pPr>
      <w:pStyle w:val="Filestam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D2049" w14:textId="77777777" w:rsidR="00D6661C" w:rsidRPr="00D6661C" w:rsidRDefault="00D6661C" w:rsidP="00D6661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41D7C" w14:textId="77777777" w:rsidR="006958C2" w:rsidRDefault="006958C2"/>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48"/>
      <w:gridCol w:w="4523"/>
    </w:tblGrid>
    <w:tr w:rsidR="006958C2" w14:paraId="5E0C90C3" w14:textId="77777777" w:rsidTr="006562E5">
      <w:tc>
        <w:tcPr>
          <w:tcW w:w="2507" w:type="pct"/>
        </w:tcPr>
        <w:p w14:paraId="789C073E" w14:textId="77777777" w:rsidR="006958C2" w:rsidRDefault="006958C2" w:rsidP="00903A6E">
          <w:pPr>
            <w:pStyle w:val="CompanyName"/>
          </w:pPr>
          <w:r>
            <w:t>Mercer</w:t>
          </w:r>
        </w:p>
      </w:tc>
      <w:tc>
        <w:tcPr>
          <w:tcW w:w="2493" w:type="pct"/>
        </w:tcPr>
        <w:p w14:paraId="14CED6A1" w14:textId="77777777" w:rsidR="006958C2" w:rsidRPr="00396ACC" w:rsidRDefault="006958C2" w:rsidP="00ED3C22">
          <w:pPr>
            <w:pStyle w:val="Footer-Pagenumber"/>
            <w:rPr>
              <w:rStyle w:val="PageNumber"/>
            </w:rPr>
          </w:pPr>
          <w:r w:rsidRPr="00396ACC">
            <w:rPr>
              <w:rStyle w:val="PageNumber"/>
            </w:rPr>
            <w:fldChar w:fldCharType="begin"/>
          </w:r>
          <w:r w:rsidRPr="00396ACC">
            <w:rPr>
              <w:rStyle w:val="PageNumber"/>
            </w:rPr>
            <w:instrText xml:space="preserve">PAGE  </w:instrText>
          </w:r>
          <w:r w:rsidRPr="00396ACC">
            <w:rPr>
              <w:rStyle w:val="PageNumber"/>
            </w:rPr>
            <w:fldChar w:fldCharType="separate"/>
          </w:r>
          <w:r>
            <w:rPr>
              <w:rStyle w:val="PageNumber"/>
              <w:noProof/>
            </w:rPr>
            <w:t>1</w:t>
          </w:r>
          <w:r w:rsidRPr="00396ACC">
            <w:rPr>
              <w:rStyle w:val="PageNumber"/>
            </w:rPr>
            <w:fldChar w:fldCharType="end"/>
          </w:r>
        </w:p>
      </w:tc>
    </w:tr>
  </w:tbl>
  <w:p w14:paraId="231A8479" w14:textId="77777777" w:rsidR="006958C2" w:rsidRPr="00E817E0" w:rsidRDefault="006958C2" w:rsidP="00E817E0">
    <w:pPr>
      <w:pStyle w:val="Filestamp"/>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94867" w14:textId="77777777" w:rsidR="000158F0" w:rsidRPr="006D30AD" w:rsidRDefault="00FB493A" w:rsidP="001F0615">
    <w:pPr>
      <w:pStyle w:val="BusinessOfBack"/>
    </w:pPr>
    <w:bookmarkStart w:id="86" w:name="BusinessOfTextBack"/>
    <w:r>
      <w:t>A business of Marsh McLennan</w:t>
    </w:r>
    <w:bookmarkEnd w:id="86"/>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A34F8" w14:textId="77777777" w:rsidR="00D6661C" w:rsidRPr="00D6661C" w:rsidRDefault="00D6661C" w:rsidP="00D66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1B46A7" w14:textId="77777777" w:rsidR="00757447" w:rsidRDefault="00757447" w:rsidP="00ED3C22">
      <w:r>
        <w:separator/>
      </w:r>
    </w:p>
  </w:footnote>
  <w:footnote w:type="continuationSeparator" w:id="0">
    <w:p w14:paraId="481E923B" w14:textId="77777777" w:rsidR="00757447" w:rsidRDefault="00757447" w:rsidP="00ED3C22">
      <w:r>
        <w:continuationSeparator/>
      </w:r>
    </w:p>
    <w:p w14:paraId="57DCC6F6" w14:textId="77777777" w:rsidR="00757447" w:rsidRDefault="00757447" w:rsidP="00ED3C22"/>
  </w:footnote>
  <w:footnote w:id="1">
    <w:p w14:paraId="7B157334" w14:textId="08C8DEAC" w:rsidR="00CE074E" w:rsidRDefault="00CE074E">
      <w:pPr>
        <w:pStyle w:val="FootnoteText"/>
      </w:pPr>
      <w:r>
        <w:rPr>
          <w:rStyle w:val="FootnoteReference"/>
        </w:rPr>
        <w:footnoteRef/>
      </w:r>
      <w:r>
        <w:t xml:space="preserve"> </w:t>
      </w:r>
      <w:r w:rsidRPr="00CE074E">
        <w:t>These counts are non-unique. Pharmacies that had multiple missing essential data elements are counted multiple times.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B42F9" w14:textId="47D1C5B2" w:rsidR="00D6661C" w:rsidRDefault="00FB493A" w:rsidP="00483B25">
    <w:pPr>
      <w:pStyle w:val="LogoHide"/>
    </w:pPr>
    <w:bookmarkStart w:id="1" w:name="Logo"/>
    <w:r>
      <w:drawing>
        <wp:anchor distT="0" distB="0" distL="114300" distR="114300" simplePos="0" relativeHeight="251657216" behindDoc="0" locked="0" layoutInCell="1" allowOverlap="1" wp14:anchorId="2846926A" wp14:editId="2048818A">
          <wp:simplePos x="0" y="0"/>
          <wp:positionH relativeFrom="page">
            <wp:posOffset>899795</wp:posOffset>
          </wp:positionH>
          <wp:positionV relativeFrom="page">
            <wp:posOffset>719455</wp:posOffset>
          </wp:positionV>
          <wp:extent cx="1319530" cy="210185"/>
          <wp:effectExtent l="0" t="0" r="0" b="0"/>
          <wp:wrapNone/>
          <wp:docPr id="128" name="MMC_Logo_White_3"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8" name="MMC_Logo_White_3" hidden="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19530" cy="210185"/>
                  </a:xfrm>
                  <a:prstGeom prst="rect">
                    <a:avLst/>
                  </a:prstGeom>
                </pic:spPr>
              </pic:pic>
            </a:graphicData>
          </a:graphic>
        </wp:anchor>
      </w:drawing>
    </w:r>
    <w:r>
      <w:drawing>
        <wp:anchor distT="0" distB="0" distL="114300" distR="114300" simplePos="0" relativeHeight="251655168" behindDoc="0" locked="0" layoutInCell="1" allowOverlap="1" wp14:anchorId="5C85F9F4" wp14:editId="189E5E88">
          <wp:simplePos x="0" y="0"/>
          <wp:positionH relativeFrom="page">
            <wp:posOffset>899795</wp:posOffset>
          </wp:positionH>
          <wp:positionV relativeFrom="page">
            <wp:posOffset>719455</wp:posOffset>
          </wp:positionV>
          <wp:extent cx="1319530" cy="210185"/>
          <wp:effectExtent l="0" t="0" r="0" b="0"/>
          <wp:wrapNone/>
          <wp:docPr id="129" name="MMC_Logo_Colour_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9" name="MMC_Logo_Colour_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319530" cy="210185"/>
                  </a:xfrm>
                  <a:prstGeom prst="rect">
                    <a:avLst/>
                  </a:prstGeom>
                </pic:spPr>
              </pic:pic>
            </a:graphicData>
          </a:graphic>
        </wp:anchor>
      </w:drawing>
    </w:r>
    <w:r w:rsidR="00D6661C">
      <w:t xml:space="preserve">    </w:t>
    </w:r>
    <w:bookmarkEnd w:id="1"/>
  </w:p>
  <w:p w14:paraId="70B51349" w14:textId="77777777" w:rsidR="00D6661C" w:rsidRPr="001129B4" w:rsidRDefault="00FB493A" w:rsidP="001129B4">
    <w:pPr>
      <w:pStyle w:val="OperatingUnitBusinessLine"/>
    </w:pPr>
    <w:bookmarkStart w:id="2" w:name="UpperRightText"/>
    <w:r>
      <w:drawing>
        <wp:anchor distT="0" distB="0" distL="114300" distR="114300" simplePos="0" relativeHeight="251659264" behindDoc="1" locked="0" layoutInCell="0" allowOverlap="1" wp14:anchorId="2BB98AF9" wp14:editId="0E9D4141">
          <wp:simplePos x="0" y="0"/>
          <wp:positionH relativeFrom="page">
            <wp:posOffset>2382779</wp:posOffset>
          </wp:positionH>
          <wp:positionV relativeFrom="page">
            <wp:posOffset>4546242</wp:posOffset>
          </wp:positionV>
          <wp:extent cx="5391132" cy="5513669"/>
          <wp:effectExtent l="0" t="0" r="0" b="0"/>
          <wp:wrapNone/>
          <wp:docPr id="130" name="MMC_Cover_Foregroun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MMC_Cover_Foreground">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5397890" cy="5520580"/>
                  </a:xfrm>
                  <a:prstGeom prst="rect">
                    <a:avLst/>
                  </a:prstGeom>
                </pic:spPr>
              </pic:pic>
            </a:graphicData>
          </a:graphic>
          <wp14:sizeRelH relativeFrom="margin">
            <wp14:pctWidth>0</wp14:pctWidth>
          </wp14:sizeRelH>
          <wp14:sizeRelV relativeFrom="margin">
            <wp14:pctHeight>0</wp14:pctHeight>
          </wp14:sizeRelV>
        </wp:anchor>
      </w:drawing>
    </w:r>
    <w:r>
      <mc:AlternateContent>
        <mc:Choice Requires="wps">
          <w:drawing>
            <wp:anchor distT="0" distB="0" distL="114300" distR="114300" simplePos="0" relativeHeight="251658240" behindDoc="1" locked="0" layoutInCell="0" allowOverlap="1" wp14:anchorId="2F3D4969" wp14:editId="41DD16C8">
              <wp:simplePos x="0" y="0"/>
              <wp:positionH relativeFrom="page">
                <wp:posOffset>0</wp:posOffset>
              </wp:positionH>
              <wp:positionV relativeFrom="page">
                <wp:posOffset>0</wp:posOffset>
              </wp:positionV>
              <wp:extent cx="7772400" cy="10691495"/>
              <wp:effectExtent l="0" t="0" r="19050" b="14605"/>
              <wp:wrapNone/>
              <wp:docPr id="5" name="MMC_Cover_Backgroun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0691495"/>
                      </a:xfrm>
                      <a:prstGeom prst="rect">
                        <a:avLst/>
                      </a:prstGeom>
                      <a:solidFill>
                        <a:srgbClr val="FFFFF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793BAE" id="MMC_Cover_Background" o:spid="_x0000_s1026" alt="&quot;&quot;" style="position:absolute;margin-left:0;margin-top:0;width:612pt;height:841.85pt;z-index:-25165824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m22cwIAAEkFAAAOAAAAZHJzL2Uyb0RvYy54bWysVEtv2zAMvg/YfxB0X+0EabMGdYqgRYYB&#10;RVesHXpWZCk2IIsapcTJfv0o+ZGgK3YY5oNMieTHhz7q5vbQGLZX6GuwBZ9c5JwpK6Gs7bbgP17W&#10;nz5z5oOwpTBgVcGPyvPb5ccPN61bqClUYEqFjECsX7Su4FUIbpFlXlaqEf4CnLKk1ICNCLTFbVai&#10;aAm9Mdk0z6+yFrB0CFJ5T6f3nZIvE77WSoZvWnsVmCk45RbSimndxDVb3ojFFoWratmnIf4hi0bU&#10;loKOUPciCLbD+g+oppYIHnS4kNBkoHUtVaqBqpnkb6p5roRTqRZqjndjm/z/g5WP+2f3hNSG1vmF&#10;JzFWcdDYxD/lxw6pWcexWeoQmKTD+Xw+neXUU0m6SX51PZldX8Z+Zid/hz58UdCwKBQc6TpSl8T+&#10;wYfOdDCJ4TyYulzXxqQNbjd3Btle0NWt09ejn5llp6yTFI5GRWdjvyvN6pLynKaIiVBqxBNSKhsm&#10;naoSperCXOb0DVEiBaNHqigBRmRN6Y3YPcBg2YEM2F19vX10VYmPo3P+t8Q659EjRQYbRuemtoDv&#10;ARiqqo/c2VP6Z62J4gbK4xMyhG4avJPrmu7nQfjwJJDoT5dKIx2+0aINtAWHXuKsAvz13nm0J1aS&#10;lrOWxqng/udOoOLMfLXEV2LHLM5f2swu51Pa4Llmc66xu+YO6Non9Hg4mcRoH8wgaoTmlSZ/FaOS&#10;SlhJsQsuAw6bu9CNOb0dUq1WyYxmzonwYJ+djOCxq5F/L4dXga4naSCCP8IwemLxhqudbfS0sNoF&#10;0HUi8qmvfb9pXhNx+rclPgjn+2R1egGXvwEAAP//AwBQSwMEFAAGAAgAAAAhAKrHYTPcAAAABwEA&#10;AA8AAABkcnMvZG93bnJldi54bWxMj0FPwzAMhe9I/IfISNxYSpnG1jWdOhA3dthA2jVrvKaicUqT&#10;bt2/x+MCF8tPz3r+Xr4aXStO2IfGk4LHSQICqfKmoVrB58fbwxxEiJqMbj2hggsGWBW3N7nOjD/T&#10;Fk+7WAsOoZBpBTbGLpMyVBadDhPfIbF39L3TkWVfS9PrM4e7VqZJMpNON8QfrO7wxWL1tRucgoVx&#10;w3e58cf1fv1q3vebqb2UXqn7u7Fcgog4xr9juOIzOhTMdPADmSBaBVwk/s6rl6ZT1gfeZvOnZ5BF&#10;Lv/zFz8AAAD//wMAUEsBAi0AFAAGAAgAAAAhALaDOJL+AAAA4QEAABMAAAAAAAAAAAAAAAAAAAAA&#10;AFtDb250ZW50X1R5cGVzXS54bWxQSwECLQAUAAYACAAAACEAOP0h/9YAAACUAQAACwAAAAAAAAAA&#10;AAAAAAAvAQAAX3JlbHMvLnJlbHNQSwECLQAUAAYACAAAACEACrJttnMCAABJBQAADgAAAAAAAAAA&#10;AAAAAAAuAgAAZHJzL2Uyb0RvYy54bWxQSwECLQAUAAYACAAAACEAqsdhM9wAAAAHAQAADwAAAAAA&#10;AAAAAAAAAADNBAAAZHJzL2Rvd25yZXYueG1sUEsFBgAAAAAEAAQA8wAAANYFAAAAAA==&#10;" o:allowincell="f" strokecolor="#004d6f [1604]" strokeweight="1pt">
              <w10:wrap anchorx="page" anchory="page"/>
            </v:rect>
          </w:pict>
        </mc:Fallback>
      </mc:AlternateContent>
    </w:r>
    <w:r>
      <w:t>Government Human Services Consulting</w:t>
    </w:r>
    <w:bookmarkEnd w:id="2"/>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BBDD8" w14:textId="77777777" w:rsidR="00D448A1" w:rsidRDefault="00D448A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3F142" w14:textId="735A4804" w:rsidR="00436854" w:rsidRDefault="0043685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0564C" w14:textId="6989B7D6" w:rsidR="000158F0" w:rsidRDefault="00FB493A" w:rsidP="000158F0">
    <w:pPr>
      <w:pStyle w:val="LogoHide"/>
    </w:pPr>
    <w:bookmarkStart w:id="85" w:name="LogoBack"/>
    <w:r>
      <w:drawing>
        <wp:anchor distT="0" distB="0" distL="114300" distR="114300" simplePos="0" relativeHeight="251656192" behindDoc="0" locked="0" layoutInCell="1" allowOverlap="1" wp14:anchorId="7D772115" wp14:editId="59BFCB06">
          <wp:simplePos x="0" y="0"/>
          <wp:positionH relativeFrom="page">
            <wp:posOffset>899795</wp:posOffset>
          </wp:positionH>
          <wp:positionV relativeFrom="page">
            <wp:posOffset>719455</wp:posOffset>
          </wp:positionV>
          <wp:extent cx="1319530" cy="210185"/>
          <wp:effectExtent l="0" t="0" r="0" b="0"/>
          <wp:wrapNone/>
          <wp:docPr id="3" name="MMC_LogoBack_None_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MMC_LogoBack_None_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19530" cy="210185"/>
                  </a:xfrm>
                  <a:prstGeom prst="rect">
                    <a:avLst/>
                  </a:prstGeom>
                </pic:spPr>
              </pic:pic>
            </a:graphicData>
          </a:graphic>
        </wp:anchor>
      </w:drawing>
    </w:r>
    <w:r w:rsidR="000158F0">
      <w:t xml:space="preserve">    </w:t>
    </w:r>
    <w:bookmarkEnd w:id="85"/>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60C46" w14:textId="3596C041" w:rsidR="00D6661C" w:rsidRPr="00D6661C" w:rsidRDefault="00D6661C" w:rsidP="00D6661C">
    <w:pPr>
      <w:pStyle w:val="Header"/>
    </w:pPr>
    <w:r w:rsidRPr="00D6661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3C6AF" w14:textId="26EE01BA" w:rsidR="00436854" w:rsidRDefault="004368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left w:w="0" w:type="dxa"/>
        <w:right w:w="0" w:type="dxa"/>
      </w:tblCellMar>
      <w:tblLook w:val="0000" w:firstRow="0" w:lastRow="0" w:firstColumn="0" w:lastColumn="0" w:noHBand="0" w:noVBand="0"/>
    </w:tblPr>
    <w:tblGrid>
      <w:gridCol w:w="4534"/>
      <w:gridCol w:w="4537"/>
    </w:tblGrid>
    <w:tr w:rsidR="00D6661C" w:rsidRPr="006D30AD" w14:paraId="72A04AF1" w14:textId="77777777" w:rsidTr="00582B34">
      <w:tc>
        <w:tcPr>
          <w:tcW w:w="2499" w:type="pct"/>
        </w:tcPr>
        <w:p w14:paraId="11206060" w14:textId="6401D5EA" w:rsidR="00D6661C" w:rsidRPr="006D30AD" w:rsidRDefault="003F38FA" w:rsidP="00F27213">
          <w:pPr>
            <w:pStyle w:val="ReportCrossRef"/>
          </w:pPr>
          <w:bookmarkStart w:id="7" w:name="AbbreviatedReportTitle"/>
          <w:r>
            <w:t xml:space="preserve">Pharmacy Reimbursement </w:t>
          </w:r>
          <w:r w:rsidR="00FB493A">
            <w:t>Cost of Dispensing Survey</w:t>
          </w:r>
          <w:bookmarkEnd w:id="7"/>
          <w:r>
            <w:t xml:space="preserve"> Results</w:t>
          </w:r>
        </w:p>
      </w:tc>
      <w:tc>
        <w:tcPr>
          <w:tcW w:w="2501" w:type="pct"/>
        </w:tcPr>
        <w:p w14:paraId="221DF72D" w14:textId="0236ADB5" w:rsidR="00D6661C" w:rsidRPr="006D30AD" w:rsidRDefault="0067505A" w:rsidP="00F27213">
          <w:pPr>
            <w:pStyle w:val="ClientNameCrossRef"/>
          </w:pPr>
          <w:r>
            <w:t>Common</w:t>
          </w:r>
          <w:r w:rsidR="008720BE">
            <w:t>w</w:t>
          </w:r>
          <w:r>
            <w:t>ealth of Massachusetts</w:t>
          </w:r>
          <w:r w:rsidR="00651C5C">
            <w:br/>
          </w:r>
        </w:p>
      </w:tc>
    </w:tr>
  </w:tbl>
  <w:p w14:paraId="0A67F857" w14:textId="13C5075A" w:rsidR="00D6661C" w:rsidRDefault="00D6661C" w:rsidP="00ED3C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4D7DB" w14:textId="425A8D5D" w:rsidR="00D6661C" w:rsidRPr="00D6661C" w:rsidRDefault="00D6661C" w:rsidP="00D6661C">
    <w:pPr>
      <w:pStyle w:val="Header"/>
    </w:pPr>
    <w:r w:rsidRPr="00D6661C">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28588" w14:textId="0D2C864C" w:rsidR="00436854" w:rsidRDefault="0043685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left w:w="0" w:type="dxa"/>
        <w:right w:w="0" w:type="dxa"/>
      </w:tblCellMar>
      <w:tblLook w:val="0000" w:firstRow="0" w:lastRow="0" w:firstColumn="0" w:lastColumn="0" w:noHBand="0" w:noVBand="0"/>
    </w:tblPr>
    <w:tblGrid>
      <w:gridCol w:w="4534"/>
      <w:gridCol w:w="4537"/>
    </w:tblGrid>
    <w:tr w:rsidR="00F66C3C" w:rsidRPr="006D30AD" w14:paraId="6860B20E" w14:textId="77777777" w:rsidTr="00E66D21">
      <w:tc>
        <w:tcPr>
          <w:tcW w:w="2499" w:type="pct"/>
        </w:tcPr>
        <w:p w14:paraId="62683B94" w14:textId="77777777" w:rsidR="00F66C3C" w:rsidRPr="006D30AD" w:rsidRDefault="00F66C3C" w:rsidP="00F66C3C">
          <w:pPr>
            <w:pStyle w:val="ReportCrossRef"/>
          </w:pPr>
          <w:r>
            <w:t>Pharmacy Reimbursement Cost of Dispensing Survey Results</w:t>
          </w:r>
        </w:p>
      </w:tc>
      <w:tc>
        <w:tcPr>
          <w:tcW w:w="2501" w:type="pct"/>
        </w:tcPr>
        <w:p w14:paraId="4C9E3454" w14:textId="2F873DC4" w:rsidR="006A6095" w:rsidRDefault="006A6095" w:rsidP="00F66C3C">
          <w:pPr>
            <w:pStyle w:val="ClientNameCrossRef"/>
          </w:pPr>
          <w:r>
            <w:t>Common</w:t>
          </w:r>
          <w:r w:rsidR="008720BE">
            <w:t>wealth</w:t>
          </w:r>
          <w:r>
            <w:t xml:space="preserve"> of Massachusetts</w:t>
          </w:r>
        </w:p>
        <w:p w14:paraId="53C28477" w14:textId="4681AF93" w:rsidR="00F66C3C" w:rsidRPr="006D30AD" w:rsidRDefault="00F66C3C" w:rsidP="00F66C3C">
          <w:pPr>
            <w:pStyle w:val="ClientNameCrossRef"/>
          </w:pPr>
        </w:p>
      </w:tc>
    </w:tr>
  </w:tbl>
  <w:p w14:paraId="6862D707" w14:textId="1BB9C801" w:rsidR="006A6095" w:rsidRDefault="006A609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A62DA" w14:textId="08B7C5D1" w:rsidR="00D6661C" w:rsidRPr="00D6661C" w:rsidRDefault="00D6661C" w:rsidP="00D6661C">
    <w:pPr>
      <w:pStyle w:val="Header"/>
    </w:pPr>
    <w:r w:rsidRPr="00D6661C">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C4CAC" w14:textId="77777777" w:rsidR="00D448A1" w:rsidRDefault="00D448A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995" w:type="pct"/>
      <w:tblCellMar>
        <w:left w:w="0" w:type="dxa"/>
        <w:right w:w="0" w:type="dxa"/>
      </w:tblCellMar>
      <w:tblLook w:val="0000" w:firstRow="0" w:lastRow="0" w:firstColumn="0" w:lastColumn="0" w:noHBand="0" w:noVBand="0"/>
    </w:tblPr>
    <w:tblGrid>
      <w:gridCol w:w="3126"/>
      <w:gridCol w:w="5936"/>
    </w:tblGrid>
    <w:tr w:rsidR="009A56A4" w:rsidRPr="006D30AD" w14:paraId="697D233A" w14:textId="77777777" w:rsidTr="00AA3887">
      <w:tc>
        <w:tcPr>
          <w:tcW w:w="1725" w:type="pct"/>
        </w:tcPr>
        <w:p w14:paraId="38065CE0" w14:textId="77777777" w:rsidR="009A56A4" w:rsidRPr="006D30AD" w:rsidRDefault="009A56A4" w:rsidP="00F66C3C">
          <w:pPr>
            <w:pStyle w:val="ReportCrossRef"/>
          </w:pPr>
          <w:r>
            <w:t>Pharmacy Reimbursement Cost of Dispensing Survey Results</w:t>
          </w:r>
        </w:p>
      </w:tc>
      <w:tc>
        <w:tcPr>
          <w:tcW w:w="3275" w:type="pct"/>
        </w:tcPr>
        <w:p w14:paraId="6725D50A" w14:textId="77777777" w:rsidR="009A56A4" w:rsidRDefault="009A56A4" w:rsidP="00F66C3C">
          <w:pPr>
            <w:pStyle w:val="ClientNameCrossRef"/>
          </w:pPr>
          <w:r>
            <w:t>Commonwealth of Massachusetts</w:t>
          </w:r>
        </w:p>
        <w:p w14:paraId="316ACE67" w14:textId="77777777" w:rsidR="009A56A4" w:rsidRPr="006D30AD" w:rsidRDefault="009A56A4" w:rsidP="00F66C3C">
          <w:pPr>
            <w:pStyle w:val="ClientNameCrossRef"/>
          </w:pPr>
        </w:p>
      </w:tc>
    </w:tr>
  </w:tbl>
  <w:p w14:paraId="00BD51CC" w14:textId="77777777" w:rsidR="009A56A4" w:rsidRDefault="009A56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EAE3A4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B1664C"/>
    <w:multiLevelType w:val="multilevel"/>
    <w:tmpl w:val="04B62BAC"/>
    <w:name w:val="HeadingList"/>
    <w:lvl w:ilvl="0">
      <w:start w:val="1"/>
      <w:numFmt w:val="none"/>
      <w:pStyle w:val="Heading1"/>
      <w:suff w:val="nothing"/>
      <w:lvlText w:val=""/>
      <w:lvlJc w:val="left"/>
      <w:pPr>
        <w:tabs>
          <w:tab w:val="num" w:pos="0"/>
        </w:tabs>
        <w:ind w:left="0" w:firstLine="0"/>
      </w:pPr>
      <w:rPr>
        <w:rFonts w:ascii="Arial" w:hAnsi="Arial" w:cs="Arial"/>
        <w:b/>
        <w:i w:val="0"/>
        <w:caps w:val="0"/>
        <w:smallCaps w:val="0"/>
        <w:vanish w:val="0"/>
        <w:sz w:val="56"/>
        <w:u w:val="none"/>
      </w:rPr>
    </w:lvl>
    <w:lvl w:ilvl="1">
      <w:start w:val="1"/>
      <w:numFmt w:val="none"/>
      <w:pStyle w:val="Heading2"/>
      <w:suff w:val="nothing"/>
      <w:lvlText w:val=""/>
      <w:lvlJc w:val="left"/>
      <w:pPr>
        <w:tabs>
          <w:tab w:val="num" w:pos="0"/>
        </w:tabs>
        <w:ind w:left="0" w:firstLine="0"/>
      </w:pPr>
      <w:rPr>
        <w:rFonts w:ascii="Arial" w:hAnsi="Arial" w:cs="Arial"/>
        <w:b/>
        <w:i w:val="0"/>
        <w:caps w:val="0"/>
        <w:smallCaps w:val="0"/>
        <w:vanish w:val="0"/>
        <w:sz w:val="32"/>
        <w:u w:val="none"/>
      </w:rPr>
    </w:lvl>
    <w:lvl w:ilvl="2">
      <w:start w:val="1"/>
      <w:numFmt w:val="none"/>
      <w:pStyle w:val="Heading3"/>
      <w:suff w:val="nothing"/>
      <w:lvlText w:val=""/>
      <w:lvlJc w:val="left"/>
      <w:pPr>
        <w:tabs>
          <w:tab w:val="num" w:pos="0"/>
        </w:tabs>
        <w:ind w:left="0" w:firstLine="0"/>
      </w:pPr>
      <w:rPr>
        <w:rFonts w:ascii="Arial" w:hAnsi="Arial" w:cs="Arial"/>
        <w:b/>
        <w:i w:val="0"/>
        <w:caps w:val="0"/>
        <w:smallCaps w:val="0"/>
        <w:vanish w:val="0"/>
        <w:sz w:val="28"/>
        <w:u w:val="none"/>
      </w:rPr>
    </w:lvl>
    <w:lvl w:ilvl="3">
      <w:start w:val="1"/>
      <w:numFmt w:val="none"/>
      <w:pStyle w:val="Heading4"/>
      <w:suff w:val="nothing"/>
      <w:lvlText w:val=""/>
      <w:lvlJc w:val="left"/>
      <w:pPr>
        <w:tabs>
          <w:tab w:val="num" w:pos="0"/>
        </w:tabs>
        <w:ind w:left="0" w:firstLine="0"/>
      </w:pPr>
      <w:rPr>
        <w:rFonts w:ascii="Arial" w:hAnsi="Arial" w:cs="Arial"/>
        <w:b/>
        <w:i w:val="0"/>
        <w:caps w:val="0"/>
        <w:smallCaps w:val="0"/>
        <w:vanish w:val="0"/>
        <w:sz w:val="24"/>
        <w:u w:val="none"/>
      </w:rPr>
    </w:lvl>
    <w:lvl w:ilvl="4">
      <w:start w:val="1"/>
      <w:numFmt w:val="none"/>
      <w:pStyle w:val="Heading5"/>
      <w:suff w:val="nothing"/>
      <w:lvlText w:val=""/>
      <w:lvlJc w:val="left"/>
      <w:pPr>
        <w:tabs>
          <w:tab w:val="num" w:pos="0"/>
        </w:tabs>
        <w:ind w:left="0" w:firstLine="0"/>
      </w:pPr>
      <w:rPr>
        <w:rFonts w:ascii="Arial" w:hAnsi="Arial" w:cs="Arial"/>
        <w:b/>
        <w:i w:val="0"/>
        <w:caps w:val="0"/>
        <w:smallCaps w:val="0"/>
        <w:vanish w:val="0"/>
        <w:sz w:val="22"/>
        <w:u w:val="none"/>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1B2488"/>
    <w:multiLevelType w:val="multilevel"/>
    <w:tmpl w:val="A96AD9E0"/>
    <w:name w:val="HeadingNumberDo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tabs>
          <w:tab w:val="num" w:pos="720"/>
        </w:tabs>
        <w:ind w:left="720" w:hanging="720"/>
      </w:pPr>
    </w:lvl>
    <w:lvl w:ilvl="5">
      <w:start w:val="1"/>
      <w:numFmt w:val="decimal"/>
      <w:lvlText w:val="%5.%6."/>
      <w:lvlJc w:val="left"/>
      <w:pPr>
        <w:tabs>
          <w:tab w:val="num" w:pos="840"/>
        </w:tabs>
        <w:ind w:left="840" w:hanging="840"/>
      </w:pPr>
    </w:lvl>
    <w:lvl w:ilvl="6">
      <w:start w:val="1"/>
      <w:numFmt w:val="decimal"/>
      <w:lvlText w:val="%5.%6.%7."/>
      <w:lvlJc w:val="left"/>
      <w:pPr>
        <w:tabs>
          <w:tab w:val="num" w:pos="1080"/>
        </w:tabs>
        <w:ind w:left="1080" w:hanging="1080"/>
      </w:pPr>
    </w:lvl>
    <w:lvl w:ilvl="7">
      <w:start w:val="1"/>
      <w:numFmt w:val="decimal"/>
      <w:lvlText w:val="%5.%6.%7.%8."/>
      <w:lvlJc w:val="left"/>
      <w:pPr>
        <w:tabs>
          <w:tab w:val="num" w:pos="1080"/>
        </w:tabs>
        <w:ind w:left="1080" w:hanging="1080"/>
      </w:pPr>
    </w:lvl>
    <w:lvl w:ilvl="8">
      <w:start w:val="1"/>
      <w:numFmt w:val="decimal"/>
      <w:lvlText w:val="%5.%6.%7.%8.%9"/>
      <w:lvlJc w:val="left"/>
      <w:pPr>
        <w:tabs>
          <w:tab w:val="num" w:pos="1080"/>
        </w:tabs>
        <w:ind w:left="1080" w:hanging="1080"/>
      </w:pPr>
    </w:lvl>
  </w:abstractNum>
  <w:abstractNum w:abstractNumId="3" w15:restartNumberingAfterBreak="0">
    <w:nsid w:val="0B945A36"/>
    <w:multiLevelType w:val="singleLevel"/>
    <w:tmpl w:val="29C822FE"/>
    <w:name w:val="SectionStart"/>
    <w:lvl w:ilvl="0">
      <w:start w:val="1"/>
      <w:numFmt w:val="decimal"/>
      <w:lvlRestart w:val="0"/>
      <w:pStyle w:val="SectionStart"/>
      <w:suff w:val="nothing"/>
      <w:lvlText w:val="Section %1"/>
      <w:lvlJc w:val="left"/>
      <w:pPr>
        <w:tabs>
          <w:tab w:val="num" w:pos="360"/>
        </w:tabs>
        <w:ind w:left="360" w:hanging="360"/>
      </w:pPr>
      <w:rPr>
        <w:rFonts w:ascii="Arial" w:hAnsi="Arial" w:cs="Arial"/>
        <w:b/>
        <w:i w:val="0"/>
        <w:caps w:val="0"/>
        <w:smallCaps w:val="0"/>
        <w:vanish w:val="0"/>
        <w:sz w:val="36"/>
        <w:u w:val="none"/>
      </w:rPr>
    </w:lvl>
  </w:abstractNum>
  <w:abstractNum w:abstractNumId="4" w15:restartNumberingAfterBreak="0">
    <w:nsid w:val="0E9228AC"/>
    <w:multiLevelType w:val="multilevel"/>
    <w:tmpl w:val="F036D17C"/>
    <w:name w:val="HeadingNumberRep"/>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tabs>
          <w:tab w:val="num" w:pos="0"/>
        </w:tabs>
        <w:ind w:left="0" w:firstLine="0"/>
      </w:pPr>
      <w:rPr>
        <w:vanish/>
      </w:rPr>
    </w:lvl>
    <w:lvl w:ilvl="5">
      <w:start w:val="1"/>
      <w:numFmt w:val="decimal"/>
      <w:lvlText w:val="%5.%6."/>
      <w:lvlJc w:val="left"/>
      <w:pPr>
        <w:tabs>
          <w:tab w:val="num" w:pos="840"/>
        </w:tabs>
        <w:ind w:left="840" w:hanging="840"/>
      </w:pPr>
    </w:lvl>
    <w:lvl w:ilvl="6">
      <w:start w:val="1"/>
      <w:numFmt w:val="decimal"/>
      <w:lvlText w:val="%5.%6.%7."/>
      <w:lvlJc w:val="left"/>
      <w:pPr>
        <w:tabs>
          <w:tab w:val="num" w:pos="1080"/>
        </w:tabs>
        <w:ind w:left="1080" w:hanging="1080"/>
      </w:pPr>
    </w:lvl>
    <w:lvl w:ilvl="7">
      <w:start w:val="1"/>
      <w:numFmt w:val="decimal"/>
      <w:lvlText w:val="%5.%6.%7.%8."/>
      <w:lvlJc w:val="left"/>
      <w:pPr>
        <w:tabs>
          <w:tab w:val="num" w:pos="1080"/>
        </w:tabs>
        <w:ind w:left="1080" w:hanging="1080"/>
      </w:pPr>
    </w:lvl>
    <w:lvl w:ilvl="8">
      <w:start w:val="1"/>
      <w:numFmt w:val="decimal"/>
      <w:lvlText w:val="%5.%6.%7.%8.%9"/>
      <w:lvlJc w:val="left"/>
      <w:pPr>
        <w:tabs>
          <w:tab w:val="num" w:pos="1080"/>
        </w:tabs>
        <w:ind w:left="1080" w:hanging="1080"/>
      </w:pPr>
    </w:lvl>
  </w:abstractNum>
  <w:abstractNum w:abstractNumId="5" w15:restartNumberingAfterBreak="0">
    <w:nsid w:val="141935B9"/>
    <w:multiLevelType w:val="multilevel"/>
    <w:tmpl w:val="3F609E72"/>
    <w:name w:val="Bullet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pStyle w:val="ListBullet"/>
      <w:lvlText w:val="•"/>
      <w:lvlJc w:val="left"/>
      <w:pPr>
        <w:tabs>
          <w:tab w:val="num" w:pos="360"/>
        </w:tabs>
        <w:ind w:left="360" w:hanging="360"/>
      </w:pPr>
      <w:rPr>
        <w:rFonts w:ascii="Arial" w:hAnsi="Arial" w:cs="Arial"/>
        <w:b w:val="0"/>
        <w:i w:val="0"/>
        <w:caps w:val="0"/>
        <w:smallCaps w:val="0"/>
        <w:vanish w:val="0"/>
        <w:sz w:val="22"/>
        <w:u w:val="none"/>
      </w:rPr>
    </w:lvl>
    <w:lvl w:ilvl="5">
      <w:start w:val="1"/>
      <w:numFmt w:val="lowerRoman"/>
      <w:pStyle w:val="ListBullet2"/>
      <w:lvlText w:val="─"/>
      <w:lvlJc w:val="left"/>
      <w:pPr>
        <w:tabs>
          <w:tab w:val="num" w:pos="720"/>
        </w:tabs>
        <w:ind w:left="720" w:hanging="360"/>
      </w:pPr>
      <w:rPr>
        <w:rFonts w:ascii="Arial" w:hAnsi="Arial" w:cs="Arial"/>
        <w:b w:val="0"/>
        <w:i w:val="0"/>
        <w:caps w:val="0"/>
        <w:smallCaps w:val="0"/>
        <w:vanish w:val="0"/>
        <w:sz w:val="22"/>
        <w:u w:val="none"/>
      </w:rPr>
    </w:lvl>
    <w:lvl w:ilvl="6">
      <w:start w:val="1"/>
      <w:numFmt w:val="decimal"/>
      <w:pStyle w:val="ListBullet3"/>
      <w:lvlText w:val="•"/>
      <w:lvlJc w:val="left"/>
      <w:pPr>
        <w:tabs>
          <w:tab w:val="num" w:pos="1080"/>
        </w:tabs>
        <w:ind w:left="1080" w:hanging="360"/>
      </w:pPr>
      <w:rPr>
        <w:rFonts w:ascii="Arial" w:hAnsi="Arial" w:cs="Arial"/>
        <w:b w:val="0"/>
        <w:i w:val="0"/>
        <w:caps w:val="0"/>
        <w:smallCaps w:val="0"/>
        <w:vanish w:val="0"/>
        <w:sz w:val="22"/>
        <w:u w:val="none"/>
      </w:rPr>
    </w:lvl>
    <w:lvl w:ilvl="7">
      <w:start w:val="1"/>
      <w:numFmt w:val="lowerLetter"/>
      <w:pStyle w:val="ListBullet4"/>
      <w:lvlText w:val="─"/>
      <w:lvlJc w:val="left"/>
      <w:pPr>
        <w:tabs>
          <w:tab w:val="num" w:pos="1440"/>
        </w:tabs>
        <w:ind w:left="1440" w:hanging="360"/>
      </w:pPr>
      <w:rPr>
        <w:rFonts w:ascii="Arial" w:hAnsi="Arial" w:cs="Arial"/>
        <w:b w:val="0"/>
        <w:i w:val="0"/>
        <w:caps w:val="0"/>
        <w:smallCaps w:val="0"/>
        <w:vanish w:val="0"/>
        <w:sz w:val="22"/>
        <w:u w:val="none"/>
      </w:rPr>
    </w:lvl>
    <w:lvl w:ilvl="8">
      <w:start w:val="1"/>
      <w:numFmt w:val="lowerRoman"/>
      <w:lvlText w:val="%9."/>
      <w:lvlJc w:val="left"/>
      <w:pPr>
        <w:ind w:left="3240" w:hanging="360"/>
      </w:pPr>
    </w:lvl>
  </w:abstractNum>
  <w:abstractNum w:abstractNumId="6" w15:restartNumberingAfterBreak="0">
    <w:nsid w:val="1D336D1B"/>
    <w:multiLevelType w:val="multilevel"/>
    <w:tmpl w:val="BA5E28BE"/>
    <w:name w:val="NumHeading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pStyle w:val="ListNumber"/>
      <w:lvlText w:val="%6."/>
      <w:lvlJc w:val="left"/>
      <w:pPr>
        <w:tabs>
          <w:tab w:val="num" w:pos="360"/>
        </w:tabs>
        <w:ind w:left="360" w:hanging="360"/>
      </w:pPr>
      <w:rPr>
        <w:rFonts w:ascii="Arial" w:hAnsi="Arial" w:cs="Arial"/>
        <w:b w:val="0"/>
        <w:i w:val="0"/>
        <w:caps w:val="0"/>
        <w:smallCaps w:val="0"/>
        <w:vanish w:val="0"/>
        <w:sz w:val="22"/>
        <w:u w:val="none"/>
      </w:rPr>
    </w:lvl>
    <w:lvl w:ilvl="6">
      <w:start w:val="1"/>
      <w:numFmt w:val="upperLetter"/>
      <w:pStyle w:val="ListNumber2"/>
      <w:lvlText w:val="%7."/>
      <w:lvlJc w:val="left"/>
      <w:pPr>
        <w:tabs>
          <w:tab w:val="num" w:pos="720"/>
        </w:tabs>
        <w:ind w:left="720" w:hanging="360"/>
      </w:pPr>
      <w:rPr>
        <w:rFonts w:ascii="Arial" w:hAnsi="Arial" w:cs="Arial"/>
        <w:b w:val="0"/>
        <w:i w:val="0"/>
        <w:caps w:val="0"/>
        <w:smallCaps w:val="0"/>
        <w:vanish w:val="0"/>
        <w:sz w:val="22"/>
        <w:u w:val="none"/>
      </w:rPr>
    </w:lvl>
    <w:lvl w:ilvl="7">
      <w:start w:val="1"/>
      <w:numFmt w:val="lowerRoman"/>
      <w:pStyle w:val="ListNumber3"/>
      <w:lvlText w:val="%8."/>
      <w:lvlJc w:val="left"/>
      <w:pPr>
        <w:tabs>
          <w:tab w:val="num" w:pos="1080"/>
        </w:tabs>
        <w:ind w:left="1080" w:hanging="360"/>
      </w:pPr>
      <w:rPr>
        <w:rFonts w:ascii="Arial" w:hAnsi="Arial" w:cs="Arial"/>
        <w:b w:val="0"/>
        <w:i w:val="0"/>
        <w:caps w:val="0"/>
        <w:smallCaps w:val="0"/>
        <w:vanish w:val="0"/>
        <w:sz w:val="22"/>
        <w:u w:val="none"/>
      </w:rPr>
    </w:lvl>
    <w:lvl w:ilvl="8">
      <w:start w:val="1"/>
      <w:numFmt w:val="lowerLetter"/>
      <w:pStyle w:val="ListNumber4"/>
      <w:lvlText w:val="%9."/>
      <w:lvlJc w:val="left"/>
      <w:pPr>
        <w:tabs>
          <w:tab w:val="num" w:pos="1440"/>
        </w:tabs>
        <w:ind w:left="1440" w:hanging="360"/>
      </w:pPr>
      <w:rPr>
        <w:rFonts w:ascii="Arial" w:hAnsi="Arial" w:cs="Arial"/>
        <w:b w:val="0"/>
        <w:i w:val="0"/>
        <w:caps w:val="0"/>
        <w:smallCaps w:val="0"/>
        <w:vanish w:val="0"/>
        <w:sz w:val="22"/>
        <w:u w:val="none"/>
      </w:rPr>
    </w:lvl>
  </w:abstractNum>
  <w:abstractNum w:abstractNumId="7" w15:restartNumberingAfterBreak="0">
    <w:nsid w:val="24091320"/>
    <w:multiLevelType w:val="singleLevel"/>
    <w:tmpl w:val="105A8FA4"/>
    <w:lvl w:ilvl="0">
      <w:start w:val="1"/>
      <w:numFmt w:val="decimal"/>
      <w:pStyle w:val="TOC1"/>
      <w:lvlText w:val="%1."/>
      <w:lvlJc w:val="left"/>
      <w:pPr>
        <w:tabs>
          <w:tab w:val="num" w:pos="360"/>
        </w:tabs>
        <w:ind w:left="360" w:hanging="360"/>
      </w:pPr>
      <w:rPr>
        <w:rFonts w:ascii="Arial" w:hAnsi="Arial" w:cs="Arial" w:hint="default"/>
        <w:b w:val="0"/>
        <w:i w:val="0"/>
        <w:color w:val="002C77" w:themeColor="text1"/>
        <w:sz w:val="22"/>
        <w:szCs w:val="22"/>
      </w:rPr>
    </w:lvl>
  </w:abstractNum>
  <w:abstractNum w:abstractNumId="8" w15:restartNumberingAfterBreak="0">
    <w:nsid w:val="24C0087F"/>
    <w:multiLevelType w:val="singleLevel"/>
    <w:tmpl w:val="42AAE86A"/>
    <w:lvl w:ilvl="0">
      <w:start w:val="1"/>
      <w:numFmt w:val="bullet"/>
      <w:pStyle w:val="TOC2"/>
      <w:lvlText w:val="•"/>
      <w:lvlJc w:val="left"/>
      <w:pPr>
        <w:tabs>
          <w:tab w:val="num" w:pos="806"/>
        </w:tabs>
        <w:ind w:left="806" w:hanging="360"/>
      </w:pPr>
      <w:rPr>
        <w:rFonts w:ascii="Arial" w:hAnsi="Arial" w:cs="Arial" w:hint="default"/>
        <w:color w:val="002C77" w:themeColor="text1"/>
        <w:sz w:val="22"/>
      </w:rPr>
    </w:lvl>
  </w:abstractNum>
  <w:abstractNum w:abstractNumId="9" w15:restartNumberingAfterBreak="0">
    <w:nsid w:val="422A0216"/>
    <w:multiLevelType w:val="multilevel"/>
    <w:tmpl w:val="6898F57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none"/>
      <w:lvlText w:val="•"/>
      <w:lvlJc w:val="left"/>
      <w:pPr>
        <w:tabs>
          <w:tab w:val="num" w:pos="360"/>
        </w:tabs>
        <w:ind w:left="360" w:hanging="360"/>
      </w:pPr>
      <w:rPr>
        <w:rFonts w:ascii="Arial" w:hAnsi="Arial" w:cs="Arial" w:hint="default"/>
      </w:rPr>
    </w:lvl>
    <w:lvl w:ilvl="5">
      <w:start w:val="1"/>
      <w:numFmt w:val="none"/>
      <w:lvlText w:val="–"/>
      <w:lvlJc w:val="left"/>
      <w:pPr>
        <w:tabs>
          <w:tab w:val="num" w:pos="720"/>
        </w:tabs>
        <w:ind w:left="720" w:hanging="360"/>
      </w:pPr>
      <w:rPr>
        <w:rFonts w:ascii="Arial" w:hAnsi="Arial" w:cs="Arial" w:hint="default"/>
      </w:rPr>
    </w:lvl>
    <w:lvl w:ilvl="6">
      <w:start w:val="1"/>
      <w:numFmt w:val="none"/>
      <w:lvlText w:val="•"/>
      <w:lvlJc w:val="left"/>
      <w:pPr>
        <w:tabs>
          <w:tab w:val="num" w:pos="1080"/>
        </w:tabs>
        <w:ind w:left="1080" w:hanging="360"/>
      </w:pPr>
      <w:rPr>
        <w:rFonts w:ascii="Arial" w:hAnsi="Arial" w:cs="Arial" w:hint="default"/>
      </w:rPr>
    </w:lvl>
    <w:lvl w:ilvl="7">
      <w:start w:val="1"/>
      <w:numFmt w:val="none"/>
      <w:lvlText w:val="–"/>
      <w:lvlJc w:val="left"/>
      <w:pPr>
        <w:tabs>
          <w:tab w:val="num" w:pos="1440"/>
        </w:tabs>
        <w:ind w:left="1440" w:hanging="360"/>
      </w:pPr>
      <w:rPr>
        <w:rFonts w:ascii="Arial" w:hAnsi="Arial" w:cs="Arial"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31D722B"/>
    <w:multiLevelType w:val="hybridMultilevel"/>
    <w:tmpl w:val="3E5CA134"/>
    <w:lvl w:ilvl="0" w:tplc="3544CE16">
      <w:start w:val="1"/>
      <w:numFmt w:val="bullet"/>
      <w:pStyle w:val="TOC4"/>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5F7623"/>
    <w:multiLevelType w:val="multilevel"/>
    <w:tmpl w:val="CBA628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F7B761C"/>
    <w:multiLevelType w:val="multilevel"/>
    <w:tmpl w:val="F120DF10"/>
    <w:name w:val="AppHeadingNumberRep"/>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upperLetter"/>
      <w:suff w:val="nothing"/>
      <w:lvlText w:val=""/>
      <w:lvlJc w:val="left"/>
      <w:pPr>
        <w:tabs>
          <w:tab w:val="num" w:pos="0"/>
        </w:tabs>
        <w:ind w:left="0" w:firstLine="0"/>
      </w:pPr>
    </w:lvl>
    <w:lvl w:ilvl="5">
      <w:start w:val="1"/>
      <w:numFmt w:val="decimal"/>
      <w:lvlText w:val="%5.%6."/>
      <w:lvlJc w:val="left"/>
      <w:pPr>
        <w:tabs>
          <w:tab w:val="num" w:pos="840"/>
        </w:tabs>
        <w:ind w:left="840" w:hanging="840"/>
      </w:pPr>
    </w:lvl>
    <w:lvl w:ilvl="6">
      <w:start w:val="1"/>
      <w:numFmt w:val="decimal"/>
      <w:lvlText w:val="%5.%6.%7."/>
      <w:lvlJc w:val="left"/>
      <w:pPr>
        <w:tabs>
          <w:tab w:val="num" w:pos="1080"/>
        </w:tabs>
        <w:ind w:left="1080" w:hanging="1080"/>
      </w:pPr>
    </w:lvl>
    <w:lvl w:ilvl="7">
      <w:start w:val="1"/>
      <w:numFmt w:val="decimal"/>
      <w:lvlText w:val="%5.%6.%7.%8."/>
      <w:lvlJc w:val="left"/>
      <w:pPr>
        <w:tabs>
          <w:tab w:val="num" w:pos="1080"/>
        </w:tabs>
        <w:ind w:left="1080" w:hanging="1080"/>
      </w:pPr>
    </w:lvl>
    <w:lvl w:ilvl="8">
      <w:start w:val="1"/>
      <w:numFmt w:val="decimal"/>
      <w:lvlText w:val="%5.%6.%7.%8.%9"/>
      <w:lvlJc w:val="left"/>
      <w:pPr>
        <w:tabs>
          <w:tab w:val="num" w:pos="1080"/>
        </w:tabs>
        <w:ind w:left="1080" w:hanging="1080"/>
      </w:pPr>
    </w:lvl>
  </w:abstractNum>
  <w:abstractNum w:abstractNumId="13" w15:restartNumberingAfterBreak="0">
    <w:nsid w:val="530C4BB1"/>
    <w:multiLevelType w:val="multilevel"/>
    <w:tmpl w:val="6592EADC"/>
    <w:name w:val="TableBullet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pStyle w:val="TableBullet1"/>
      <w:lvlText w:val="•"/>
      <w:lvlJc w:val="left"/>
      <w:pPr>
        <w:tabs>
          <w:tab w:val="num" w:pos="360"/>
        </w:tabs>
        <w:ind w:left="360" w:hanging="360"/>
      </w:pPr>
      <w:rPr>
        <w:rFonts w:ascii="Arial" w:hAnsi="Arial" w:cs="Arial"/>
        <w:b w:val="0"/>
        <w:i w:val="0"/>
        <w:caps w:val="0"/>
        <w:smallCaps w:val="0"/>
        <w:vanish w:val="0"/>
        <w:sz w:val="22"/>
        <w:u w:val="none"/>
      </w:rPr>
    </w:lvl>
    <w:lvl w:ilvl="5">
      <w:start w:val="1"/>
      <w:numFmt w:val="lowerRoman"/>
      <w:pStyle w:val="TableBullet2"/>
      <w:lvlText w:val="─"/>
      <w:lvlJc w:val="left"/>
      <w:pPr>
        <w:tabs>
          <w:tab w:val="num" w:pos="720"/>
        </w:tabs>
        <w:ind w:left="720" w:hanging="360"/>
      </w:pPr>
      <w:rPr>
        <w:rFonts w:ascii="Arial" w:hAnsi="Arial" w:cs="Arial"/>
        <w:b w:val="0"/>
        <w:i w:val="0"/>
        <w:caps w:val="0"/>
        <w:smallCaps w:val="0"/>
        <w:vanish w:val="0"/>
        <w:sz w:val="22"/>
        <w:u w:val="none"/>
      </w:rPr>
    </w:lvl>
    <w:lvl w:ilvl="6">
      <w:start w:val="1"/>
      <w:numFmt w:val="decimal"/>
      <w:pStyle w:val="TableBullet3"/>
      <w:lvlText w:val="•"/>
      <w:lvlJc w:val="left"/>
      <w:pPr>
        <w:tabs>
          <w:tab w:val="num" w:pos="1080"/>
        </w:tabs>
        <w:ind w:left="1080" w:hanging="360"/>
      </w:pPr>
      <w:rPr>
        <w:rFonts w:ascii="Arial" w:hAnsi="Arial" w:cs="Arial"/>
        <w:b w:val="0"/>
        <w:i w:val="0"/>
        <w:caps w:val="0"/>
        <w:smallCaps w:val="0"/>
        <w:vanish w:val="0"/>
        <w:sz w:val="22"/>
        <w:u w:val="none"/>
      </w:rPr>
    </w:lvl>
    <w:lvl w:ilvl="7">
      <w:start w:val="1"/>
      <w:numFmt w:val="lowerLetter"/>
      <w:pStyle w:val="TableBullet4"/>
      <w:lvlText w:val="─"/>
      <w:lvlJc w:val="left"/>
      <w:pPr>
        <w:tabs>
          <w:tab w:val="num" w:pos="1440"/>
        </w:tabs>
        <w:ind w:left="1440" w:hanging="360"/>
      </w:pPr>
      <w:rPr>
        <w:rFonts w:ascii="Arial" w:hAnsi="Arial" w:cs="Arial"/>
        <w:b w:val="0"/>
        <w:i w:val="0"/>
        <w:caps w:val="0"/>
        <w:smallCaps w:val="0"/>
        <w:vanish w:val="0"/>
        <w:sz w:val="22"/>
        <w:u w:val="none"/>
      </w:rPr>
    </w:lvl>
    <w:lvl w:ilvl="8">
      <w:start w:val="1"/>
      <w:numFmt w:val="lowerRoman"/>
      <w:lvlText w:val="%9."/>
      <w:lvlJc w:val="left"/>
      <w:pPr>
        <w:ind w:left="3240" w:hanging="360"/>
      </w:pPr>
    </w:lvl>
  </w:abstractNum>
  <w:abstractNum w:abstractNumId="14" w15:restartNumberingAfterBreak="0">
    <w:nsid w:val="577C736B"/>
    <w:multiLevelType w:val="multilevel"/>
    <w:tmpl w:val="28409CE4"/>
    <w:lvl w:ilvl="0">
      <w:start w:val="1"/>
      <w:numFmt w:val="none"/>
      <w:suff w:val="nothing"/>
      <w:lvlText w:val=""/>
      <w:lvlJc w:val="left"/>
      <w:pPr>
        <w:tabs>
          <w:tab w:val="num" w:pos="0"/>
        </w:tabs>
        <w:ind w:left="0" w:firstLine="0"/>
      </w:pPr>
      <w:rPr>
        <w:b w:val="0"/>
        <w:i w:val="0"/>
        <w:caps w:val="0"/>
        <w:smallCaps w:val="0"/>
        <w:vanish w:val="0"/>
        <w:u w:val="none"/>
      </w:rPr>
    </w:lvl>
    <w:lvl w:ilvl="1">
      <w:start w:val="1"/>
      <w:numFmt w:val="none"/>
      <w:suff w:val="nothing"/>
      <w:lvlText w:val=""/>
      <w:lvlJc w:val="left"/>
      <w:pPr>
        <w:tabs>
          <w:tab w:val="num" w:pos="0"/>
        </w:tabs>
        <w:ind w:left="0" w:firstLine="0"/>
      </w:pPr>
      <w:rPr>
        <w:b w:val="0"/>
        <w:i w:val="0"/>
        <w:caps w:val="0"/>
        <w:smallCaps w:val="0"/>
        <w:vanish w:val="0"/>
        <w:u w:val="none"/>
      </w:rPr>
    </w:lvl>
    <w:lvl w:ilvl="2">
      <w:start w:val="1"/>
      <w:numFmt w:val="none"/>
      <w:suff w:val="nothing"/>
      <w:lvlText w:val=""/>
      <w:lvlJc w:val="left"/>
      <w:pPr>
        <w:tabs>
          <w:tab w:val="num" w:pos="0"/>
        </w:tabs>
        <w:ind w:left="0" w:firstLine="0"/>
      </w:pPr>
      <w:rPr>
        <w:b w:val="0"/>
        <w:i w:val="0"/>
        <w:caps w:val="0"/>
        <w:smallCaps w:val="0"/>
        <w:vanish w:val="0"/>
        <w:u w:val="none"/>
      </w:rPr>
    </w:lvl>
    <w:lvl w:ilvl="3">
      <w:start w:val="1"/>
      <w:numFmt w:val="none"/>
      <w:suff w:val="nothing"/>
      <w:lvlText w:val=""/>
      <w:lvlJc w:val="left"/>
      <w:pPr>
        <w:tabs>
          <w:tab w:val="num" w:pos="0"/>
        </w:tabs>
        <w:ind w:left="0" w:firstLine="0"/>
      </w:pPr>
      <w:rPr>
        <w:b w:val="0"/>
        <w:i w:val="0"/>
        <w:caps w:val="0"/>
        <w:smallCaps w:val="0"/>
        <w:vanish w:val="0"/>
        <w:u w:val="none"/>
      </w:rPr>
    </w:lvl>
    <w:lvl w:ilvl="4">
      <w:start w:val="1"/>
      <w:numFmt w:val="none"/>
      <w:suff w:val="nothing"/>
      <w:lvlText w:val=""/>
      <w:lvlJc w:val="left"/>
      <w:pPr>
        <w:tabs>
          <w:tab w:val="num" w:pos="0"/>
        </w:tabs>
        <w:ind w:left="0" w:firstLine="0"/>
      </w:pPr>
      <w:rPr>
        <w:b w:val="0"/>
        <w:i w:val="0"/>
        <w:caps w:val="0"/>
        <w:smallCaps w:val="0"/>
        <w:vanish w:val="0"/>
        <w:u w:val="none"/>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0D34070"/>
    <w:multiLevelType w:val="hybridMultilevel"/>
    <w:tmpl w:val="4CE678A2"/>
    <w:lvl w:ilvl="0" w:tplc="387E9A4E">
      <w:start w:val="1"/>
      <w:numFmt w:val="bullet"/>
      <w:pStyle w:val="TOC3"/>
      <w:lvlText w:val="─"/>
      <w:lvlJc w:val="left"/>
      <w:pPr>
        <w:tabs>
          <w:tab w:val="num" w:pos="1267"/>
        </w:tabs>
        <w:ind w:left="1267"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D655F5"/>
    <w:multiLevelType w:val="hybridMultilevel"/>
    <w:tmpl w:val="498E5A3A"/>
    <w:lvl w:ilvl="0" w:tplc="BE8C9C4A">
      <w:start w:val="2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1D4924"/>
    <w:multiLevelType w:val="hybridMultilevel"/>
    <w:tmpl w:val="4D205724"/>
    <w:lvl w:ilvl="0" w:tplc="DDB632F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0C248B"/>
    <w:multiLevelType w:val="multilevel"/>
    <w:tmpl w:val="8C0885CE"/>
    <w:lvl w:ilvl="0">
      <w:start w:val="1"/>
      <w:numFmt w:val="upperLetter"/>
      <w:pStyle w:val="TOC9"/>
      <w:lvlText w:val="Appendix %1:"/>
      <w:lvlJc w:val="left"/>
      <w:pPr>
        <w:tabs>
          <w:tab w:val="num" w:pos="360"/>
        </w:tabs>
        <w:ind w:left="360" w:hanging="360"/>
      </w:pPr>
      <w:rPr>
        <w:rFonts w:ascii="Arial" w:hAnsi="Arial" w:cs="Arial" w:hint="default"/>
        <w:b w:val="0"/>
        <w:bCs w:val="0"/>
        <w:i w:val="0"/>
        <w:iCs w:val="0"/>
        <w:caps w:val="0"/>
        <w:smallCaps w:val="0"/>
        <w:strike w:val="0"/>
        <w:dstrike w:val="0"/>
        <w:noProof w:val="0"/>
        <w:vanish w:val="0"/>
        <w:color w:val="002C77" w:themeColor="text1"/>
        <w:spacing w:val="0"/>
        <w:kern w:val="0"/>
        <w:position w:val="0"/>
        <w:sz w:val="22"/>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71FA5B86"/>
    <w:multiLevelType w:val="multilevel"/>
    <w:tmpl w:val="0409001D"/>
    <w:name w:val="HeadingLi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AAE40A2"/>
    <w:multiLevelType w:val="singleLevel"/>
    <w:tmpl w:val="AFB8C8A6"/>
    <w:name w:val="Appendix"/>
    <w:lvl w:ilvl="0">
      <w:start w:val="1"/>
      <w:numFmt w:val="upperLetter"/>
      <w:lvlRestart w:val="0"/>
      <w:pStyle w:val="AppendixStart"/>
      <w:suff w:val="nothing"/>
      <w:lvlText w:val="Appendix %1"/>
      <w:lvlJc w:val="left"/>
      <w:pPr>
        <w:tabs>
          <w:tab w:val="num" w:pos="360"/>
        </w:tabs>
        <w:ind w:left="360" w:hanging="360"/>
      </w:pPr>
      <w:rPr>
        <w:rFonts w:ascii="Arial" w:hAnsi="Arial" w:cs="Arial"/>
        <w:b/>
        <w:i w:val="0"/>
        <w:caps w:val="0"/>
        <w:smallCaps w:val="0"/>
        <w:vanish w:val="0"/>
        <w:sz w:val="36"/>
        <w:u w:val="none"/>
      </w:rPr>
    </w:lvl>
  </w:abstractNum>
  <w:num w:numId="1" w16cid:durableId="157429402">
    <w:abstractNumId w:val="9"/>
  </w:num>
  <w:num w:numId="2" w16cid:durableId="993610513">
    <w:abstractNumId w:val="7"/>
  </w:num>
  <w:num w:numId="3" w16cid:durableId="1431513953">
    <w:abstractNumId w:val="8"/>
  </w:num>
  <w:num w:numId="4" w16cid:durableId="345862956">
    <w:abstractNumId w:val="10"/>
  </w:num>
  <w:num w:numId="5" w16cid:durableId="394282869">
    <w:abstractNumId w:val="18"/>
  </w:num>
  <w:num w:numId="6" w16cid:durableId="1125077287">
    <w:abstractNumId w:val="5"/>
  </w:num>
  <w:num w:numId="7" w16cid:durableId="707142968">
    <w:abstractNumId w:val="1"/>
  </w:num>
  <w:num w:numId="8" w16cid:durableId="502479427">
    <w:abstractNumId w:val="6"/>
  </w:num>
  <w:num w:numId="9" w16cid:durableId="1511800203">
    <w:abstractNumId w:val="13"/>
  </w:num>
  <w:num w:numId="10" w16cid:durableId="843518161">
    <w:abstractNumId w:val="20"/>
  </w:num>
  <w:num w:numId="11" w16cid:durableId="1822194006">
    <w:abstractNumId w:val="3"/>
  </w:num>
  <w:num w:numId="12" w16cid:durableId="23752420">
    <w:abstractNumId w:val="11"/>
  </w:num>
  <w:num w:numId="13" w16cid:durableId="1131748284">
    <w:abstractNumId w:val="15"/>
  </w:num>
  <w:num w:numId="14" w16cid:durableId="239755544">
    <w:abstractNumId w:val="14"/>
  </w:num>
  <w:num w:numId="15" w16cid:durableId="1549369021">
    <w:abstractNumId w:val="5"/>
  </w:num>
  <w:num w:numId="16" w16cid:durableId="120465299">
    <w:abstractNumId w:val="5"/>
  </w:num>
  <w:num w:numId="17" w16cid:durableId="2037655750">
    <w:abstractNumId w:val="5"/>
  </w:num>
  <w:num w:numId="18" w16cid:durableId="517037561">
    <w:abstractNumId w:val="5"/>
  </w:num>
  <w:num w:numId="19" w16cid:durableId="1326470730">
    <w:abstractNumId w:val="5"/>
  </w:num>
  <w:num w:numId="20" w16cid:durableId="518813144">
    <w:abstractNumId w:val="5"/>
  </w:num>
  <w:num w:numId="21" w16cid:durableId="1403329116">
    <w:abstractNumId w:val="5"/>
  </w:num>
  <w:num w:numId="22" w16cid:durableId="1565990576">
    <w:abstractNumId w:val="1"/>
  </w:num>
  <w:num w:numId="23" w16cid:durableId="1760056549">
    <w:abstractNumId w:val="1"/>
  </w:num>
  <w:num w:numId="24" w16cid:durableId="1736855106">
    <w:abstractNumId w:val="1"/>
  </w:num>
  <w:num w:numId="25" w16cid:durableId="1818952173">
    <w:abstractNumId w:val="1"/>
  </w:num>
  <w:num w:numId="26" w16cid:durableId="1665166257">
    <w:abstractNumId w:val="1"/>
  </w:num>
  <w:num w:numId="27" w16cid:durableId="174538803">
    <w:abstractNumId w:val="1"/>
  </w:num>
  <w:num w:numId="28" w16cid:durableId="1884053492">
    <w:abstractNumId w:val="1"/>
  </w:num>
  <w:num w:numId="29" w16cid:durableId="1445811667">
    <w:abstractNumId w:val="1"/>
  </w:num>
  <w:num w:numId="30" w16cid:durableId="1976107749">
    <w:abstractNumId w:val="1"/>
  </w:num>
  <w:num w:numId="31" w16cid:durableId="1047801857">
    <w:abstractNumId w:val="1"/>
  </w:num>
  <w:num w:numId="32" w16cid:durableId="469592396">
    <w:abstractNumId w:val="5"/>
  </w:num>
  <w:num w:numId="33" w16cid:durableId="560989279">
    <w:abstractNumId w:val="1"/>
  </w:num>
  <w:num w:numId="34" w16cid:durableId="1188908686">
    <w:abstractNumId w:val="17"/>
  </w:num>
  <w:num w:numId="35" w16cid:durableId="1218663004">
    <w:abstractNumId w:val="16"/>
  </w:num>
  <w:num w:numId="36" w16cid:durableId="1997810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68509969">
    <w:abstractNumId w:val="5"/>
  </w:num>
  <w:num w:numId="38" w16cid:durableId="472869272">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LockTheme/>
  <w:styleLockQFSet/>
  <w:defaultTabStop w:val="360"/>
  <w:defaultTableStyle w:val="MMCTable"/>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93A"/>
    <w:rsid w:val="00001F0C"/>
    <w:rsid w:val="000033DF"/>
    <w:rsid w:val="00004123"/>
    <w:rsid w:val="00011A98"/>
    <w:rsid w:val="000129BD"/>
    <w:rsid w:val="00012F57"/>
    <w:rsid w:val="0001446E"/>
    <w:rsid w:val="00015285"/>
    <w:rsid w:val="000158F0"/>
    <w:rsid w:val="000168EE"/>
    <w:rsid w:val="000208E0"/>
    <w:rsid w:val="0002107C"/>
    <w:rsid w:val="00021C2C"/>
    <w:rsid w:val="00022D49"/>
    <w:rsid w:val="000235DF"/>
    <w:rsid w:val="000237F5"/>
    <w:rsid w:val="000242BC"/>
    <w:rsid w:val="000250C0"/>
    <w:rsid w:val="0002545A"/>
    <w:rsid w:val="00031B44"/>
    <w:rsid w:val="00033844"/>
    <w:rsid w:val="00034235"/>
    <w:rsid w:val="0004081B"/>
    <w:rsid w:val="00040DC4"/>
    <w:rsid w:val="00043504"/>
    <w:rsid w:val="00043EFE"/>
    <w:rsid w:val="00045350"/>
    <w:rsid w:val="000475AC"/>
    <w:rsid w:val="00047665"/>
    <w:rsid w:val="00051A52"/>
    <w:rsid w:val="00053B8E"/>
    <w:rsid w:val="000543F7"/>
    <w:rsid w:val="000547BD"/>
    <w:rsid w:val="00054E86"/>
    <w:rsid w:val="00056455"/>
    <w:rsid w:val="00057968"/>
    <w:rsid w:val="0006046F"/>
    <w:rsid w:val="00062579"/>
    <w:rsid w:val="000640DA"/>
    <w:rsid w:val="00064516"/>
    <w:rsid w:val="00070578"/>
    <w:rsid w:val="00070AED"/>
    <w:rsid w:val="00073579"/>
    <w:rsid w:val="0007589E"/>
    <w:rsid w:val="00080BED"/>
    <w:rsid w:val="000817DE"/>
    <w:rsid w:val="00082A96"/>
    <w:rsid w:val="00082BDF"/>
    <w:rsid w:val="00083C76"/>
    <w:rsid w:val="00085CBB"/>
    <w:rsid w:val="00090909"/>
    <w:rsid w:val="0009420F"/>
    <w:rsid w:val="0009604E"/>
    <w:rsid w:val="000965C3"/>
    <w:rsid w:val="000968F2"/>
    <w:rsid w:val="00096A81"/>
    <w:rsid w:val="000A00BC"/>
    <w:rsid w:val="000A3D28"/>
    <w:rsid w:val="000A75CD"/>
    <w:rsid w:val="000B2816"/>
    <w:rsid w:val="000B4FCC"/>
    <w:rsid w:val="000B5274"/>
    <w:rsid w:val="000B5348"/>
    <w:rsid w:val="000B597C"/>
    <w:rsid w:val="000C0102"/>
    <w:rsid w:val="000C0987"/>
    <w:rsid w:val="000C3C4C"/>
    <w:rsid w:val="000D1093"/>
    <w:rsid w:val="000D28AE"/>
    <w:rsid w:val="000D360D"/>
    <w:rsid w:val="000D515E"/>
    <w:rsid w:val="000D5685"/>
    <w:rsid w:val="000D6F4B"/>
    <w:rsid w:val="000E0994"/>
    <w:rsid w:val="000E22EA"/>
    <w:rsid w:val="000E2614"/>
    <w:rsid w:val="000E2ED5"/>
    <w:rsid w:val="000E595C"/>
    <w:rsid w:val="000E5D55"/>
    <w:rsid w:val="000E6EC0"/>
    <w:rsid w:val="000F308D"/>
    <w:rsid w:val="000F335C"/>
    <w:rsid w:val="000F4079"/>
    <w:rsid w:val="000F5293"/>
    <w:rsid w:val="000F69CD"/>
    <w:rsid w:val="000F69D7"/>
    <w:rsid w:val="00100422"/>
    <w:rsid w:val="0010084C"/>
    <w:rsid w:val="001031C2"/>
    <w:rsid w:val="00103E9C"/>
    <w:rsid w:val="00104564"/>
    <w:rsid w:val="00105001"/>
    <w:rsid w:val="001059B4"/>
    <w:rsid w:val="00106593"/>
    <w:rsid w:val="00107A4A"/>
    <w:rsid w:val="00110EED"/>
    <w:rsid w:val="001129B4"/>
    <w:rsid w:val="0011720E"/>
    <w:rsid w:val="0012308E"/>
    <w:rsid w:val="00123D11"/>
    <w:rsid w:val="001254E2"/>
    <w:rsid w:val="00125A74"/>
    <w:rsid w:val="00126F6D"/>
    <w:rsid w:val="00127D4E"/>
    <w:rsid w:val="001302CA"/>
    <w:rsid w:val="00131343"/>
    <w:rsid w:val="001319F9"/>
    <w:rsid w:val="00132AF9"/>
    <w:rsid w:val="00135738"/>
    <w:rsid w:val="00137258"/>
    <w:rsid w:val="00137F37"/>
    <w:rsid w:val="001424D5"/>
    <w:rsid w:val="00142B17"/>
    <w:rsid w:val="00142BDD"/>
    <w:rsid w:val="0014447B"/>
    <w:rsid w:val="0014457C"/>
    <w:rsid w:val="00144FC3"/>
    <w:rsid w:val="0014520B"/>
    <w:rsid w:val="00150498"/>
    <w:rsid w:val="00150604"/>
    <w:rsid w:val="001507B4"/>
    <w:rsid w:val="001507CD"/>
    <w:rsid w:val="001515D3"/>
    <w:rsid w:val="0015389F"/>
    <w:rsid w:val="00155467"/>
    <w:rsid w:val="001569B4"/>
    <w:rsid w:val="00160570"/>
    <w:rsid w:val="00162F62"/>
    <w:rsid w:val="001636EB"/>
    <w:rsid w:val="001640CC"/>
    <w:rsid w:val="001645FC"/>
    <w:rsid w:val="00166715"/>
    <w:rsid w:val="00166BFC"/>
    <w:rsid w:val="00171D00"/>
    <w:rsid w:val="0017281E"/>
    <w:rsid w:val="00172BBB"/>
    <w:rsid w:val="00172F01"/>
    <w:rsid w:val="00174C56"/>
    <w:rsid w:val="00175F7B"/>
    <w:rsid w:val="00176215"/>
    <w:rsid w:val="0017782E"/>
    <w:rsid w:val="00180E76"/>
    <w:rsid w:val="001823A3"/>
    <w:rsid w:val="001828E9"/>
    <w:rsid w:val="001835CA"/>
    <w:rsid w:val="00183D9F"/>
    <w:rsid w:val="001842AC"/>
    <w:rsid w:val="00184D25"/>
    <w:rsid w:val="00185224"/>
    <w:rsid w:val="001872E2"/>
    <w:rsid w:val="001905D1"/>
    <w:rsid w:val="00192C8A"/>
    <w:rsid w:val="00193477"/>
    <w:rsid w:val="0019426E"/>
    <w:rsid w:val="00194503"/>
    <w:rsid w:val="00194A3F"/>
    <w:rsid w:val="0019530E"/>
    <w:rsid w:val="001A08B9"/>
    <w:rsid w:val="001A217A"/>
    <w:rsid w:val="001A3B44"/>
    <w:rsid w:val="001A3D4C"/>
    <w:rsid w:val="001A4A10"/>
    <w:rsid w:val="001A4AA7"/>
    <w:rsid w:val="001A5C58"/>
    <w:rsid w:val="001A7657"/>
    <w:rsid w:val="001B083E"/>
    <w:rsid w:val="001B2777"/>
    <w:rsid w:val="001B45CF"/>
    <w:rsid w:val="001B6ED0"/>
    <w:rsid w:val="001C01D1"/>
    <w:rsid w:val="001C2209"/>
    <w:rsid w:val="001C3A3C"/>
    <w:rsid w:val="001C4D43"/>
    <w:rsid w:val="001C4D76"/>
    <w:rsid w:val="001C532E"/>
    <w:rsid w:val="001C573C"/>
    <w:rsid w:val="001C6234"/>
    <w:rsid w:val="001C6440"/>
    <w:rsid w:val="001D0B4E"/>
    <w:rsid w:val="001D2162"/>
    <w:rsid w:val="001D2B6E"/>
    <w:rsid w:val="001D2E4B"/>
    <w:rsid w:val="001D4A07"/>
    <w:rsid w:val="001D5429"/>
    <w:rsid w:val="001E0ADF"/>
    <w:rsid w:val="001E1DFD"/>
    <w:rsid w:val="001E238B"/>
    <w:rsid w:val="001E321B"/>
    <w:rsid w:val="001E3D9D"/>
    <w:rsid w:val="001E5D7E"/>
    <w:rsid w:val="001E6EAB"/>
    <w:rsid w:val="001E7518"/>
    <w:rsid w:val="001F0376"/>
    <w:rsid w:val="001F0615"/>
    <w:rsid w:val="001F2090"/>
    <w:rsid w:val="001F2E7A"/>
    <w:rsid w:val="001F371C"/>
    <w:rsid w:val="001F4648"/>
    <w:rsid w:val="001F65DF"/>
    <w:rsid w:val="001F6A20"/>
    <w:rsid w:val="001F7A4F"/>
    <w:rsid w:val="001F7ADE"/>
    <w:rsid w:val="001F7D20"/>
    <w:rsid w:val="002016EE"/>
    <w:rsid w:val="00202B56"/>
    <w:rsid w:val="00203DAF"/>
    <w:rsid w:val="00204749"/>
    <w:rsid w:val="00205B34"/>
    <w:rsid w:val="00206CF0"/>
    <w:rsid w:val="00206F4C"/>
    <w:rsid w:val="00212331"/>
    <w:rsid w:val="00212728"/>
    <w:rsid w:val="00212B8A"/>
    <w:rsid w:val="00212D16"/>
    <w:rsid w:val="00213060"/>
    <w:rsid w:val="00216306"/>
    <w:rsid w:val="00217284"/>
    <w:rsid w:val="002203D4"/>
    <w:rsid w:val="00220478"/>
    <w:rsid w:val="00221151"/>
    <w:rsid w:val="00224BCF"/>
    <w:rsid w:val="00225FC2"/>
    <w:rsid w:val="0022714A"/>
    <w:rsid w:val="00227E06"/>
    <w:rsid w:val="00230866"/>
    <w:rsid w:val="00230B1F"/>
    <w:rsid w:val="00230FFD"/>
    <w:rsid w:val="00231C93"/>
    <w:rsid w:val="00232E45"/>
    <w:rsid w:val="00233C10"/>
    <w:rsid w:val="00235C4C"/>
    <w:rsid w:val="00235E11"/>
    <w:rsid w:val="002404D9"/>
    <w:rsid w:val="002412D1"/>
    <w:rsid w:val="002422D3"/>
    <w:rsid w:val="00243F5C"/>
    <w:rsid w:val="00244719"/>
    <w:rsid w:val="00247013"/>
    <w:rsid w:val="00247B1B"/>
    <w:rsid w:val="00251A62"/>
    <w:rsid w:val="00252C35"/>
    <w:rsid w:val="00253559"/>
    <w:rsid w:val="00254369"/>
    <w:rsid w:val="0025592D"/>
    <w:rsid w:val="00260066"/>
    <w:rsid w:val="002613BF"/>
    <w:rsid w:val="002623A0"/>
    <w:rsid w:val="002629EE"/>
    <w:rsid w:val="00264808"/>
    <w:rsid w:val="00264993"/>
    <w:rsid w:val="002659EA"/>
    <w:rsid w:val="0026601B"/>
    <w:rsid w:val="00267FDB"/>
    <w:rsid w:val="0027219B"/>
    <w:rsid w:val="00272359"/>
    <w:rsid w:val="00272460"/>
    <w:rsid w:val="002748F2"/>
    <w:rsid w:val="002748FA"/>
    <w:rsid w:val="0027599B"/>
    <w:rsid w:val="00276A41"/>
    <w:rsid w:val="00277F38"/>
    <w:rsid w:val="00281712"/>
    <w:rsid w:val="00281721"/>
    <w:rsid w:val="00281F61"/>
    <w:rsid w:val="00281F93"/>
    <w:rsid w:val="00282240"/>
    <w:rsid w:val="00283604"/>
    <w:rsid w:val="002847EE"/>
    <w:rsid w:val="00286C93"/>
    <w:rsid w:val="002900AD"/>
    <w:rsid w:val="002930CC"/>
    <w:rsid w:val="002942F3"/>
    <w:rsid w:val="00294704"/>
    <w:rsid w:val="002958A3"/>
    <w:rsid w:val="0029592A"/>
    <w:rsid w:val="00295DBD"/>
    <w:rsid w:val="00295E4A"/>
    <w:rsid w:val="00296731"/>
    <w:rsid w:val="00296A7D"/>
    <w:rsid w:val="00296EEE"/>
    <w:rsid w:val="002975FD"/>
    <w:rsid w:val="00297AF8"/>
    <w:rsid w:val="002A246E"/>
    <w:rsid w:val="002A2A13"/>
    <w:rsid w:val="002A336A"/>
    <w:rsid w:val="002A3CC3"/>
    <w:rsid w:val="002A425C"/>
    <w:rsid w:val="002A4D41"/>
    <w:rsid w:val="002A4D8D"/>
    <w:rsid w:val="002A5D0F"/>
    <w:rsid w:val="002A65BE"/>
    <w:rsid w:val="002B5EF9"/>
    <w:rsid w:val="002C030A"/>
    <w:rsid w:val="002C132A"/>
    <w:rsid w:val="002C1BEF"/>
    <w:rsid w:val="002C2470"/>
    <w:rsid w:val="002C46D9"/>
    <w:rsid w:val="002C4FC9"/>
    <w:rsid w:val="002C7DBB"/>
    <w:rsid w:val="002D3AE2"/>
    <w:rsid w:val="002D5917"/>
    <w:rsid w:val="002D5F04"/>
    <w:rsid w:val="002E2E55"/>
    <w:rsid w:val="002E41C6"/>
    <w:rsid w:val="002E4CEE"/>
    <w:rsid w:val="002E675C"/>
    <w:rsid w:val="002E6DBF"/>
    <w:rsid w:val="002F0126"/>
    <w:rsid w:val="002F2391"/>
    <w:rsid w:val="002F4C8A"/>
    <w:rsid w:val="002F4F76"/>
    <w:rsid w:val="002F5C68"/>
    <w:rsid w:val="002F6A52"/>
    <w:rsid w:val="002F6D6A"/>
    <w:rsid w:val="002F6DC3"/>
    <w:rsid w:val="002F711F"/>
    <w:rsid w:val="00300873"/>
    <w:rsid w:val="003014FA"/>
    <w:rsid w:val="003020E7"/>
    <w:rsid w:val="00302626"/>
    <w:rsid w:val="003027CC"/>
    <w:rsid w:val="003061C5"/>
    <w:rsid w:val="00310C6B"/>
    <w:rsid w:val="003110F4"/>
    <w:rsid w:val="00314430"/>
    <w:rsid w:val="00314B58"/>
    <w:rsid w:val="00314EC3"/>
    <w:rsid w:val="003156F3"/>
    <w:rsid w:val="00316A84"/>
    <w:rsid w:val="003170A9"/>
    <w:rsid w:val="003172F4"/>
    <w:rsid w:val="003178BA"/>
    <w:rsid w:val="003207DE"/>
    <w:rsid w:val="00323067"/>
    <w:rsid w:val="00323CDC"/>
    <w:rsid w:val="00326FE1"/>
    <w:rsid w:val="0032776D"/>
    <w:rsid w:val="003300E7"/>
    <w:rsid w:val="0033101B"/>
    <w:rsid w:val="0033193D"/>
    <w:rsid w:val="00332264"/>
    <w:rsid w:val="00332FBC"/>
    <w:rsid w:val="00334D23"/>
    <w:rsid w:val="00334DFD"/>
    <w:rsid w:val="0033527C"/>
    <w:rsid w:val="00335CA5"/>
    <w:rsid w:val="00335F9E"/>
    <w:rsid w:val="00337D6A"/>
    <w:rsid w:val="003408EF"/>
    <w:rsid w:val="00340ABB"/>
    <w:rsid w:val="00342183"/>
    <w:rsid w:val="003421AA"/>
    <w:rsid w:val="003464F4"/>
    <w:rsid w:val="003532B9"/>
    <w:rsid w:val="00355AFF"/>
    <w:rsid w:val="003561F7"/>
    <w:rsid w:val="0036066C"/>
    <w:rsid w:val="0036137B"/>
    <w:rsid w:val="0036245D"/>
    <w:rsid w:val="00362639"/>
    <w:rsid w:val="00362A80"/>
    <w:rsid w:val="003632F2"/>
    <w:rsid w:val="0036343F"/>
    <w:rsid w:val="0036411C"/>
    <w:rsid w:val="0036497D"/>
    <w:rsid w:val="003744E5"/>
    <w:rsid w:val="00375EA3"/>
    <w:rsid w:val="00380612"/>
    <w:rsid w:val="00381148"/>
    <w:rsid w:val="0038218F"/>
    <w:rsid w:val="00382C1D"/>
    <w:rsid w:val="003838D0"/>
    <w:rsid w:val="003848E3"/>
    <w:rsid w:val="00384E59"/>
    <w:rsid w:val="00385F54"/>
    <w:rsid w:val="003866DE"/>
    <w:rsid w:val="00387BA4"/>
    <w:rsid w:val="0039156E"/>
    <w:rsid w:val="003967FE"/>
    <w:rsid w:val="00396ACC"/>
    <w:rsid w:val="0039701B"/>
    <w:rsid w:val="00397487"/>
    <w:rsid w:val="003A1031"/>
    <w:rsid w:val="003A131F"/>
    <w:rsid w:val="003A23E6"/>
    <w:rsid w:val="003A310C"/>
    <w:rsid w:val="003A36B7"/>
    <w:rsid w:val="003A39FF"/>
    <w:rsid w:val="003A4C83"/>
    <w:rsid w:val="003A5F0B"/>
    <w:rsid w:val="003A6C16"/>
    <w:rsid w:val="003B1186"/>
    <w:rsid w:val="003B2334"/>
    <w:rsid w:val="003B4CB1"/>
    <w:rsid w:val="003B5550"/>
    <w:rsid w:val="003B7F5B"/>
    <w:rsid w:val="003C18F7"/>
    <w:rsid w:val="003C262B"/>
    <w:rsid w:val="003C270A"/>
    <w:rsid w:val="003C4F43"/>
    <w:rsid w:val="003C5950"/>
    <w:rsid w:val="003C635C"/>
    <w:rsid w:val="003C6BAC"/>
    <w:rsid w:val="003C705B"/>
    <w:rsid w:val="003C7806"/>
    <w:rsid w:val="003D100F"/>
    <w:rsid w:val="003D329D"/>
    <w:rsid w:val="003D5AEE"/>
    <w:rsid w:val="003D5B0F"/>
    <w:rsid w:val="003D6542"/>
    <w:rsid w:val="003D6D63"/>
    <w:rsid w:val="003E03CF"/>
    <w:rsid w:val="003E0531"/>
    <w:rsid w:val="003E0BFC"/>
    <w:rsid w:val="003E0ECA"/>
    <w:rsid w:val="003E12E9"/>
    <w:rsid w:val="003E15D5"/>
    <w:rsid w:val="003E15F2"/>
    <w:rsid w:val="003E1914"/>
    <w:rsid w:val="003E3C92"/>
    <w:rsid w:val="003E498D"/>
    <w:rsid w:val="003E7C51"/>
    <w:rsid w:val="003F1415"/>
    <w:rsid w:val="003F1B1F"/>
    <w:rsid w:val="003F1D61"/>
    <w:rsid w:val="003F22CE"/>
    <w:rsid w:val="003F38FA"/>
    <w:rsid w:val="003F4EB5"/>
    <w:rsid w:val="003F4EF6"/>
    <w:rsid w:val="003F5632"/>
    <w:rsid w:val="003F684D"/>
    <w:rsid w:val="003F6FC4"/>
    <w:rsid w:val="00402898"/>
    <w:rsid w:val="004060ED"/>
    <w:rsid w:val="00406B9B"/>
    <w:rsid w:val="00407B52"/>
    <w:rsid w:val="004126E8"/>
    <w:rsid w:val="004149E5"/>
    <w:rsid w:val="004179C7"/>
    <w:rsid w:val="0042230E"/>
    <w:rsid w:val="0042371D"/>
    <w:rsid w:val="00425504"/>
    <w:rsid w:val="00425BB9"/>
    <w:rsid w:val="004300E2"/>
    <w:rsid w:val="004305BA"/>
    <w:rsid w:val="004308C3"/>
    <w:rsid w:val="004311D0"/>
    <w:rsid w:val="004340AF"/>
    <w:rsid w:val="00434A0E"/>
    <w:rsid w:val="00434C79"/>
    <w:rsid w:val="00434FF2"/>
    <w:rsid w:val="00436664"/>
    <w:rsid w:val="00436854"/>
    <w:rsid w:val="00437963"/>
    <w:rsid w:val="004379EE"/>
    <w:rsid w:val="00437A27"/>
    <w:rsid w:val="00441240"/>
    <w:rsid w:val="0044133F"/>
    <w:rsid w:val="00441B61"/>
    <w:rsid w:val="00442D43"/>
    <w:rsid w:val="004466F6"/>
    <w:rsid w:val="00450894"/>
    <w:rsid w:val="004512C4"/>
    <w:rsid w:val="0045176C"/>
    <w:rsid w:val="00451B40"/>
    <w:rsid w:val="00452447"/>
    <w:rsid w:val="00452C21"/>
    <w:rsid w:val="00453A76"/>
    <w:rsid w:val="00453EE9"/>
    <w:rsid w:val="00454613"/>
    <w:rsid w:val="0045476F"/>
    <w:rsid w:val="00455B52"/>
    <w:rsid w:val="00456EA6"/>
    <w:rsid w:val="004603FD"/>
    <w:rsid w:val="00463A02"/>
    <w:rsid w:val="0046527F"/>
    <w:rsid w:val="00465445"/>
    <w:rsid w:val="004705F3"/>
    <w:rsid w:val="0047233A"/>
    <w:rsid w:val="0047309B"/>
    <w:rsid w:val="00473355"/>
    <w:rsid w:val="004737B3"/>
    <w:rsid w:val="00474534"/>
    <w:rsid w:val="00476CE9"/>
    <w:rsid w:val="00476EEB"/>
    <w:rsid w:val="0048102A"/>
    <w:rsid w:val="00482817"/>
    <w:rsid w:val="00483B25"/>
    <w:rsid w:val="00486C0C"/>
    <w:rsid w:val="00487416"/>
    <w:rsid w:val="00491351"/>
    <w:rsid w:val="004923AF"/>
    <w:rsid w:val="004952D9"/>
    <w:rsid w:val="00496DC5"/>
    <w:rsid w:val="00497181"/>
    <w:rsid w:val="00497C3F"/>
    <w:rsid w:val="004A0EAD"/>
    <w:rsid w:val="004A5B77"/>
    <w:rsid w:val="004A7156"/>
    <w:rsid w:val="004A7605"/>
    <w:rsid w:val="004B07DA"/>
    <w:rsid w:val="004B0D6E"/>
    <w:rsid w:val="004B2117"/>
    <w:rsid w:val="004B336E"/>
    <w:rsid w:val="004B4484"/>
    <w:rsid w:val="004B5360"/>
    <w:rsid w:val="004B7A29"/>
    <w:rsid w:val="004C091F"/>
    <w:rsid w:val="004C122A"/>
    <w:rsid w:val="004C16B5"/>
    <w:rsid w:val="004C356F"/>
    <w:rsid w:val="004C45B4"/>
    <w:rsid w:val="004C46F1"/>
    <w:rsid w:val="004C5151"/>
    <w:rsid w:val="004C550D"/>
    <w:rsid w:val="004C5ADC"/>
    <w:rsid w:val="004C5FB8"/>
    <w:rsid w:val="004D0C92"/>
    <w:rsid w:val="004D0DA7"/>
    <w:rsid w:val="004D0F03"/>
    <w:rsid w:val="004D1F32"/>
    <w:rsid w:val="004D41AE"/>
    <w:rsid w:val="004D6F0C"/>
    <w:rsid w:val="004E0A92"/>
    <w:rsid w:val="004E207C"/>
    <w:rsid w:val="004E3BB7"/>
    <w:rsid w:val="004E4785"/>
    <w:rsid w:val="004E4B14"/>
    <w:rsid w:val="004E4FCC"/>
    <w:rsid w:val="004E61A4"/>
    <w:rsid w:val="004E66A7"/>
    <w:rsid w:val="004E68D7"/>
    <w:rsid w:val="004E6C75"/>
    <w:rsid w:val="004E6E15"/>
    <w:rsid w:val="004F0628"/>
    <w:rsid w:val="004F064C"/>
    <w:rsid w:val="004F0B00"/>
    <w:rsid w:val="004F2995"/>
    <w:rsid w:val="004F5898"/>
    <w:rsid w:val="004F5DFD"/>
    <w:rsid w:val="00500193"/>
    <w:rsid w:val="00500761"/>
    <w:rsid w:val="00501A7C"/>
    <w:rsid w:val="00501D39"/>
    <w:rsid w:val="005064E8"/>
    <w:rsid w:val="005064F6"/>
    <w:rsid w:val="00506929"/>
    <w:rsid w:val="00507324"/>
    <w:rsid w:val="00510EC2"/>
    <w:rsid w:val="00511083"/>
    <w:rsid w:val="00511870"/>
    <w:rsid w:val="005131E7"/>
    <w:rsid w:val="005132C3"/>
    <w:rsid w:val="00513BC2"/>
    <w:rsid w:val="0051480D"/>
    <w:rsid w:val="00514A37"/>
    <w:rsid w:val="00521494"/>
    <w:rsid w:val="005217A8"/>
    <w:rsid w:val="00522413"/>
    <w:rsid w:val="0052299F"/>
    <w:rsid w:val="0052416E"/>
    <w:rsid w:val="005269EA"/>
    <w:rsid w:val="0052745F"/>
    <w:rsid w:val="00531F75"/>
    <w:rsid w:val="005334EA"/>
    <w:rsid w:val="005335CA"/>
    <w:rsid w:val="00534DAF"/>
    <w:rsid w:val="0053546B"/>
    <w:rsid w:val="00535C97"/>
    <w:rsid w:val="00536040"/>
    <w:rsid w:val="0053790A"/>
    <w:rsid w:val="00542BB7"/>
    <w:rsid w:val="005432AC"/>
    <w:rsid w:val="00543975"/>
    <w:rsid w:val="00544EB5"/>
    <w:rsid w:val="005465CD"/>
    <w:rsid w:val="005503E2"/>
    <w:rsid w:val="00550D17"/>
    <w:rsid w:val="00550F7F"/>
    <w:rsid w:val="00551041"/>
    <w:rsid w:val="00551CBF"/>
    <w:rsid w:val="00555EB7"/>
    <w:rsid w:val="0055663C"/>
    <w:rsid w:val="00557A6E"/>
    <w:rsid w:val="0056134C"/>
    <w:rsid w:val="00561466"/>
    <w:rsid w:val="00563600"/>
    <w:rsid w:val="00564478"/>
    <w:rsid w:val="00564A92"/>
    <w:rsid w:val="00570301"/>
    <w:rsid w:val="00570614"/>
    <w:rsid w:val="00570618"/>
    <w:rsid w:val="005706E4"/>
    <w:rsid w:val="005707DD"/>
    <w:rsid w:val="0057386F"/>
    <w:rsid w:val="005773C9"/>
    <w:rsid w:val="005776CB"/>
    <w:rsid w:val="00582B34"/>
    <w:rsid w:val="00582CF9"/>
    <w:rsid w:val="00582E76"/>
    <w:rsid w:val="00584C1B"/>
    <w:rsid w:val="005851E9"/>
    <w:rsid w:val="00590579"/>
    <w:rsid w:val="00591C69"/>
    <w:rsid w:val="00591F19"/>
    <w:rsid w:val="0059246E"/>
    <w:rsid w:val="00592EC7"/>
    <w:rsid w:val="005934D5"/>
    <w:rsid w:val="0059401D"/>
    <w:rsid w:val="0059506B"/>
    <w:rsid w:val="00596837"/>
    <w:rsid w:val="0059724E"/>
    <w:rsid w:val="005A0821"/>
    <w:rsid w:val="005A12B1"/>
    <w:rsid w:val="005A1885"/>
    <w:rsid w:val="005A2DD5"/>
    <w:rsid w:val="005A312D"/>
    <w:rsid w:val="005A465B"/>
    <w:rsid w:val="005A69DD"/>
    <w:rsid w:val="005A7609"/>
    <w:rsid w:val="005B1192"/>
    <w:rsid w:val="005B26EE"/>
    <w:rsid w:val="005B569F"/>
    <w:rsid w:val="005C0086"/>
    <w:rsid w:val="005C1058"/>
    <w:rsid w:val="005C18AD"/>
    <w:rsid w:val="005C2BB5"/>
    <w:rsid w:val="005C4AA7"/>
    <w:rsid w:val="005C7FC8"/>
    <w:rsid w:val="005D0B8F"/>
    <w:rsid w:val="005D2F5A"/>
    <w:rsid w:val="005D34B6"/>
    <w:rsid w:val="005D3E52"/>
    <w:rsid w:val="005D42C6"/>
    <w:rsid w:val="005D4E30"/>
    <w:rsid w:val="005D57ED"/>
    <w:rsid w:val="005E0962"/>
    <w:rsid w:val="005E25B1"/>
    <w:rsid w:val="005F09F7"/>
    <w:rsid w:val="005F1D49"/>
    <w:rsid w:val="005F38DE"/>
    <w:rsid w:val="005F5F8D"/>
    <w:rsid w:val="005F68E4"/>
    <w:rsid w:val="005F6C60"/>
    <w:rsid w:val="005F6E8A"/>
    <w:rsid w:val="005F6F58"/>
    <w:rsid w:val="005F75D3"/>
    <w:rsid w:val="00600FDE"/>
    <w:rsid w:val="00602C3F"/>
    <w:rsid w:val="00602EB2"/>
    <w:rsid w:val="006031B7"/>
    <w:rsid w:val="00604067"/>
    <w:rsid w:val="006043E6"/>
    <w:rsid w:val="00605995"/>
    <w:rsid w:val="006074AA"/>
    <w:rsid w:val="00610AC4"/>
    <w:rsid w:val="00610C5C"/>
    <w:rsid w:val="00611CF3"/>
    <w:rsid w:val="00612B95"/>
    <w:rsid w:val="00613231"/>
    <w:rsid w:val="00617525"/>
    <w:rsid w:val="00617FA6"/>
    <w:rsid w:val="00620436"/>
    <w:rsid w:val="0062130B"/>
    <w:rsid w:val="00621EB8"/>
    <w:rsid w:val="00622CDF"/>
    <w:rsid w:val="00624333"/>
    <w:rsid w:val="00625A6E"/>
    <w:rsid w:val="00627D0A"/>
    <w:rsid w:val="006318E4"/>
    <w:rsid w:val="00631C31"/>
    <w:rsid w:val="00632347"/>
    <w:rsid w:val="00633537"/>
    <w:rsid w:val="006360FC"/>
    <w:rsid w:val="00636990"/>
    <w:rsid w:val="006405EA"/>
    <w:rsid w:val="006413D9"/>
    <w:rsid w:val="00642BBA"/>
    <w:rsid w:val="00643081"/>
    <w:rsid w:val="00647860"/>
    <w:rsid w:val="00651C5C"/>
    <w:rsid w:val="00652D03"/>
    <w:rsid w:val="006532ED"/>
    <w:rsid w:val="00653DAE"/>
    <w:rsid w:val="006562E5"/>
    <w:rsid w:val="00657271"/>
    <w:rsid w:val="00660149"/>
    <w:rsid w:val="006605F7"/>
    <w:rsid w:val="006623EE"/>
    <w:rsid w:val="0066572B"/>
    <w:rsid w:val="00671DE6"/>
    <w:rsid w:val="0067395D"/>
    <w:rsid w:val="006747BE"/>
    <w:rsid w:val="0067505A"/>
    <w:rsid w:val="00675324"/>
    <w:rsid w:val="006768CE"/>
    <w:rsid w:val="00677767"/>
    <w:rsid w:val="00677986"/>
    <w:rsid w:val="0068086B"/>
    <w:rsid w:val="00681075"/>
    <w:rsid w:val="00681F78"/>
    <w:rsid w:val="00684D91"/>
    <w:rsid w:val="006858A1"/>
    <w:rsid w:val="00687CB1"/>
    <w:rsid w:val="00690774"/>
    <w:rsid w:val="006934D5"/>
    <w:rsid w:val="00693ECD"/>
    <w:rsid w:val="006958C2"/>
    <w:rsid w:val="00695B8D"/>
    <w:rsid w:val="00695BAB"/>
    <w:rsid w:val="00696455"/>
    <w:rsid w:val="006965AB"/>
    <w:rsid w:val="00697B3A"/>
    <w:rsid w:val="006A0768"/>
    <w:rsid w:val="006A09CA"/>
    <w:rsid w:val="006A14C4"/>
    <w:rsid w:val="006A25DF"/>
    <w:rsid w:val="006A4A8E"/>
    <w:rsid w:val="006A5B12"/>
    <w:rsid w:val="006A5DA8"/>
    <w:rsid w:val="006A6095"/>
    <w:rsid w:val="006A628B"/>
    <w:rsid w:val="006A6643"/>
    <w:rsid w:val="006A6979"/>
    <w:rsid w:val="006A72D5"/>
    <w:rsid w:val="006B2F9B"/>
    <w:rsid w:val="006B31A0"/>
    <w:rsid w:val="006B31B1"/>
    <w:rsid w:val="006B3628"/>
    <w:rsid w:val="006B39F0"/>
    <w:rsid w:val="006B52C8"/>
    <w:rsid w:val="006C0A78"/>
    <w:rsid w:val="006C1B59"/>
    <w:rsid w:val="006C2149"/>
    <w:rsid w:val="006C3DA1"/>
    <w:rsid w:val="006C45A5"/>
    <w:rsid w:val="006C4726"/>
    <w:rsid w:val="006C5E9F"/>
    <w:rsid w:val="006D0AA6"/>
    <w:rsid w:val="006D1168"/>
    <w:rsid w:val="006D1745"/>
    <w:rsid w:val="006D23A7"/>
    <w:rsid w:val="006D2887"/>
    <w:rsid w:val="006D30AD"/>
    <w:rsid w:val="006D3FA1"/>
    <w:rsid w:val="006D5A65"/>
    <w:rsid w:val="006D5B43"/>
    <w:rsid w:val="006D7257"/>
    <w:rsid w:val="006E0588"/>
    <w:rsid w:val="006E0D1E"/>
    <w:rsid w:val="006E0E3B"/>
    <w:rsid w:val="006E1C65"/>
    <w:rsid w:val="006E4A3A"/>
    <w:rsid w:val="006E7D0A"/>
    <w:rsid w:val="006E7D21"/>
    <w:rsid w:val="006F4CB4"/>
    <w:rsid w:val="006F56E6"/>
    <w:rsid w:val="006F5981"/>
    <w:rsid w:val="006F5B95"/>
    <w:rsid w:val="006F61F0"/>
    <w:rsid w:val="006F7B09"/>
    <w:rsid w:val="006F7F43"/>
    <w:rsid w:val="007001F1"/>
    <w:rsid w:val="00701106"/>
    <w:rsid w:val="0070172D"/>
    <w:rsid w:val="00703E40"/>
    <w:rsid w:val="007101B6"/>
    <w:rsid w:val="00714470"/>
    <w:rsid w:val="0071463D"/>
    <w:rsid w:val="00717A4A"/>
    <w:rsid w:val="00720669"/>
    <w:rsid w:val="00725500"/>
    <w:rsid w:val="00725BFE"/>
    <w:rsid w:val="00726FF1"/>
    <w:rsid w:val="0072797A"/>
    <w:rsid w:val="007306EB"/>
    <w:rsid w:val="007328F5"/>
    <w:rsid w:val="0073303F"/>
    <w:rsid w:val="007341B6"/>
    <w:rsid w:val="00734C99"/>
    <w:rsid w:val="00736CB9"/>
    <w:rsid w:val="00737DD7"/>
    <w:rsid w:val="007407EA"/>
    <w:rsid w:val="007425DD"/>
    <w:rsid w:val="007438CD"/>
    <w:rsid w:val="00743EA4"/>
    <w:rsid w:val="0074473A"/>
    <w:rsid w:val="00750684"/>
    <w:rsid w:val="00752C18"/>
    <w:rsid w:val="00753142"/>
    <w:rsid w:val="0075321C"/>
    <w:rsid w:val="007538BB"/>
    <w:rsid w:val="007570D3"/>
    <w:rsid w:val="00757447"/>
    <w:rsid w:val="0075796B"/>
    <w:rsid w:val="00760F57"/>
    <w:rsid w:val="00762FF4"/>
    <w:rsid w:val="00765AC8"/>
    <w:rsid w:val="00766B9F"/>
    <w:rsid w:val="00770919"/>
    <w:rsid w:val="00772B6A"/>
    <w:rsid w:val="00775CAF"/>
    <w:rsid w:val="00775CFB"/>
    <w:rsid w:val="00776C49"/>
    <w:rsid w:val="00781BDB"/>
    <w:rsid w:val="007833F3"/>
    <w:rsid w:val="00783DF7"/>
    <w:rsid w:val="00784B27"/>
    <w:rsid w:val="0078543E"/>
    <w:rsid w:val="00786EBB"/>
    <w:rsid w:val="0078797B"/>
    <w:rsid w:val="00790CC9"/>
    <w:rsid w:val="00792B4B"/>
    <w:rsid w:val="00792BE5"/>
    <w:rsid w:val="00793316"/>
    <w:rsid w:val="00795875"/>
    <w:rsid w:val="00795BDF"/>
    <w:rsid w:val="00797DE8"/>
    <w:rsid w:val="007A0602"/>
    <w:rsid w:val="007A1917"/>
    <w:rsid w:val="007A2A75"/>
    <w:rsid w:val="007A3218"/>
    <w:rsid w:val="007A33E5"/>
    <w:rsid w:val="007A4881"/>
    <w:rsid w:val="007A59FF"/>
    <w:rsid w:val="007A6009"/>
    <w:rsid w:val="007B0CEE"/>
    <w:rsid w:val="007B0DBA"/>
    <w:rsid w:val="007B1F4D"/>
    <w:rsid w:val="007B2D07"/>
    <w:rsid w:val="007B373B"/>
    <w:rsid w:val="007B48C2"/>
    <w:rsid w:val="007B7394"/>
    <w:rsid w:val="007B79CE"/>
    <w:rsid w:val="007B7E5D"/>
    <w:rsid w:val="007C0CB3"/>
    <w:rsid w:val="007C1819"/>
    <w:rsid w:val="007C1DB2"/>
    <w:rsid w:val="007C445C"/>
    <w:rsid w:val="007C7898"/>
    <w:rsid w:val="007C7C29"/>
    <w:rsid w:val="007D06C6"/>
    <w:rsid w:val="007D0ED4"/>
    <w:rsid w:val="007D1087"/>
    <w:rsid w:val="007D2934"/>
    <w:rsid w:val="007D2FBF"/>
    <w:rsid w:val="007D3395"/>
    <w:rsid w:val="007D420C"/>
    <w:rsid w:val="007D703D"/>
    <w:rsid w:val="007D72BE"/>
    <w:rsid w:val="007E32E7"/>
    <w:rsid w:val="007E3F2E"/>
    <w:rsid w:val="007E42C5"/>
    <w:rsid w:val="007E46CB"/>
    <w:rsid w:val="007E57A1"/>
    <w:rsid w:val="007E5D51"/>
    <w:rsid w:val="007E5D89"/>
    <w:rsid w:val="007F04E5"/>
    <w:rsid w:val="007F0D98"/>
    <w:rsid w:val="007F459B"/>
    <w:rsid w:val="007F49D6"/>
    <w:rsid w:val="007F4BFD"/>
    <w:rsid w:val="007F62CA"/>
    <w:rsid w:val="008021D1"/>
    <w:rsid w:val="008035E8"/>
    <w:rsid w:val="00803D0D"/>
    <w:rsid w:val="0080532F"/>
    <w:rsid w:val="00805D00"/>
    <w:rsid w:val="0080625E"/>
    <w:rsid w:val="008070B4"/>
    <w:rsid w:val="0080781C"/>
    <w:rsid w:val="00811842"/>
    <w:rsid w:val="008123B4"/>
    <w:rsid w:val="00812D6D"/>
    <w:rsid w:val="00813388"/>
    <w:rsid w:val="008135D4"/>
    <w:rsid w:val="00813B26"/>
    <w:rsid w:val="00813FD7"/>
    <w:rsid w:val="008149BA"/>
    <w:rsid w:val="00817B35"/>
    <w:rsid w:val="00820983"/>
    <w:rsid w:val="00821D1A"/>
    <w:rsid w:val="00821F5B"/>
    <w:rsid w:val="00825511"/>
    <w:rsid w:val="00827328"/>
    <w:rsid w:val="00827B79"/>
    <w:rsid w:val="00827C91"/>
    <w:rsid w:val="00830C69"/>
    <w:rsid w:val="008316EE"/>
    <w:rsid w:val="00831B5C"/>
    <w:rsid w:val="00832168"/>
    <w:rsid w:val="008334E5"/>
    <w:rsid w:val="00833DC2"/>
    <w:rsid w:val="00837195"/>
    <w:rsid w:val="00840F88"/>
    <w:rsid w:val="0084322D"/>
    <w:rsid w:val="0084390E"/>
    <w:rsid w:val="00844B3E"/>
    <w:rsid w:val="0084640C"/>
    <w:rsid w:val="00851571"/>
    <w:rsid w:val="0085216A"/>
    <w:rsid w:val="008558B3"/>
    <w:rsid w:val="00855940"/>
    <w:rsid w:val="00855D55"/>
    <w:rsid w:val="00857543"/>
    <w:rsid w:val="008575CA"/>
    <w:rsid w:val="0085767C"/>
    <w:rsid w:val="0086389B"/>
    <w:rsid w:val="00864722"/>
    <w:rsid w:val="008654D5"/>
    <w:rsid w:val="00865C72"/>
    <w:rsid w:val="008670A8"/>
    <w:rsid w:val="0087099C"/>
    <w:rsid w:val="00871306"/>
    <w:rsid w:val="008720BE"/>
    <w:rsid w:val="0087331A"/>
    <w:rsid w:val="00873540"/>
    <w:rsid w:val="008740DF"/>
    <w:rsid w:val="008753FF"/>
    <w:rsid w:val="008755C7"/>
    <w:rsid w:val="0087587D"/>
    <w:rsid w:val="00875C88"/>
    <w:rsid w:val="00876621"/>
    <w:rsid w:val="00880076"/>
    <w:rsid w:val="00886711"/>
    <w:rsid w:val="00886DF7"/>
    <w:rsid w:val="00887F61"/>
    <w:rsid w:val="008905E8"/>
    <w:rsid w:val="00892AB5"/>
    <w:rsid w:val="00893858"/>
    <w:rsid w:val="008942C8"/>
    <w:rsid w:val="00894B99"/>
    <w:rsid w:val="00895685"/>
    <w:rsid w:val="00897354"/>
    <w:rsid w:val="008A5659"/>
    <w:rsid w:val="008A5AF4"/>
    <w:rsid w:val="008A5D8E"/>
    <w:rsid w:val="008A712B"/>
    <w:rsid w:val="008B012F"/>
    <w:rsid w:val="008B1141"/>
    <w:rsid w:val="008B1543"/>
    <w:rsid w:val="008B1988"/>
    <w:rsid w:val="008B227F"/>
    <w:rsid w:val="008B3028"/>
    <w:rsid w:val="008B36CF"/>
    <w:rsid w:val="008B53D0"/>
    <w:rsid w:val="008B6865"/>
    <w:rsid w:val="008B784A"/>
    <w:rsid w:val="008C11EB"/>
    <w:rsid w:val="008C1415"/>
    <w:rsid w:val="008C21C5"/>
    <w:rsid w:val="008C2693"/>
    <w:rsid w:val="008C6229"/>
    <w:rsid w:val="008D1D83"/>
    <w:rsid w:val="008D353C"/>
    <w:rsid w:val="008D533A"/>
    <w:rsid w:val="008D5E28"/>
    <w:rsid w:val="008E23FF"/>
    <w:rsid w:val="008E2754"/>
    <w:rsid w:val="008E4388"/>
    <w:rsid w:val="008E5227"/>
    <w:rsid w:val="008E54C5"/>
    <w:rsid w:val="008E7224"/>
    <w:rsid w:val="008E76D0"/>
    <w:rsid w:val="008F05CB"/>
    <w:rsid w:val="008F093A"/>
    <w:rsid w:val="008F4062"/>
    <w:rsid w:val="008F4860"/>
    <w:rsid w:val="008F5731"/>
    <w:rsid w:val="008F6195"/>
    <w:rsid w:val="008F6302"/>
    <w:rsid w:val="008F7546"/>
    <w:rsid w:val="008F7914"/>
    <w:rsid w:val="00900391"/>
    <w:rsid w:val="00902ACC"/>
    <w:rsid w:val="00903A6E"/>
    <w:rsid w:val="0090553A"/>
    <w:rsid w:val="009063AB"/>
    <w:rsid w:val="00907CB5"/>
    <w:rsid w:val="0091050B"/>
    <w:rsid w:val="00911982"/>
    <w:rsid w:val="0091242E"/>
    <w:rsid w:val="00913524"/>
    <w:rsid w:val="00913BA8"/>
    <w:rsid w:val="00913E8B"/>
    <w:rsid w:val="009148A2"/>
    <w:rsid w:val="0091492D"/>
    <w:rsid w:val="009161A0"/>
    <w:rsid w:val="00917A5A"/>
    <w:rsid w:val="00921C3E"/>
    <w:rsid w:val="00922488"/>
    <w:rsid w:val="00924765"/>
    <w:rsid w:val="00924993"/>
    <w:rsid w:val="00925170"/>
    <w:rsid w:val="00925907"/>
    <w:rsid w:val="0093004A"/>
    <w:rsid w:val="0093134A"/>
    <w:rsid w:val="00931D23"/>
    <w:rsid w:val="00932C07"/>
    <w:rsid w:val="00934322"/>
    <w:rsid w:val="00936C31"/>
    <w:rsid w:val="00937CE8"/>
    <w:rsid w:val="0094054F"/>
    <w:rsid w:val="00941D86"/>
    <w:rsid w:val="00944AD0"/>
    <w:rsid w:val="00951D26"/>
    <w:rsid w:val="009527EC"/>
    <w:rsid w:val="00952FCD"/>
    <w:rsid w:val="00954CD8"/>
    <w:rsid w:val="0095793D"/>
    <w:rsid w:val="00957D45"/>
    <w:rsid w:val="0096186B"/>
    <w:rsid w:val="00964EE7"/>
    <w:rsid w:val="0096503B"/>
    <w:rsid w:val="00965195"/>
    <w:rsid w:val="00965412"/>
    <w:rsid w:val="00967672"/>
    <w:rsid w:val="00967726"/>
    <w:rsid w:val="00967A60"/>
    <w:rsid w:val="00970513"/>
    <w:rsid w:val="0097322D"/>
    <w:rsid w:val="00974104"/>
    <w:rsid w:val="00974BC3"/>
    <w:rsid w:val="00976706"/>
    <w:rsid w:val="0097693B"/>
    <w:rsid w:val="00977D78"/>
    <w:rsid w:val="00980EFA"/>
    <w:rsid w:val="00986B1D"/>
    <w:rsid w:val="009911BB"/>
    <w:rsid w:val="009943E2"/>
    <w:rsid w:val="00994CD7"/>
    <w:rsid w:val="00995653"/>
    <w:rsid w:val="009959AE"/>
    <w:rsid w:val="009977D4"/>
    <w:rsid w:val="00997D4E"/>
    <w:rsid w:val="009A1CCD"/>
    <w:rsid w:val="009A1EF1"/>
    <w:rsid w:val="009A2645"/>
    <w:rsid w:val="009A34D0"/>
    <w:rsid w:val="009A56A4"/>
    <w:rsid w:val="009A5A1E"/>
    <w:rsid w:val="009A7084"/>
    <w:rsid w:val="009A73C3"/>
    <w:rsid w:val="009A7507"/>
    <w:rsid w:val="009A79FA"/>
    <w:rsid w:val="009A7B6D"/>
    <w:rsid w:val="009B109E"/>
    <w:rsid w:val="009B24FC"/>
    <w:rsid w:val="009B265D"/>
    <w:rsid w:val="009B304B"/>
    <w:rsid w:val="009B62B0"/>
    <w:rsid w:val="009B6747"/>
    <w:rsid w:val="009B6FFC"/>
    <w:rsid w:val="009C024A"/>
    <w:rsid w:val="009C2BE6"/>
    <w:rsid w:val="009C3807"/>
    <w:rsid w:val="009C3CEA"/>
    <w:rsid w:val="009C437A"/>
    <w:rsid w:val="009C5EE9"/>
    <w:rsid w:val="009C5FE5"/>
    <w:rsid w:val="009D09D9"/>
    <w:rsid w:val="009D14E3"/>
    <w:rsid w:val="009D5971"/>
    <w:rsid w:val="009D6274"/>
    <w:rsid w:val="009E0CB7"/>
    <w:rsid w:val="009E0DBE"/>
    <w:rsid w:val="009E23AE"/>
    <w:rsid w:val="009E3B60"/>
    <w:rsid w:val="009E52C4"/>
    <w:rsid w:val="009E5C1A"/>
    <w:rsid w:val="009E70F2"/>
    <w:rsid w:val="009F0363"/>
    <w:rsid w:val="009F080B"/>
    <w:rsid w:val="009F23BE"/>
    <w:rsid w:val="009F2D53"/>
    <w:rsid w:val="009F3CC1"/>
    <w:rsid w:val="009F4434"/>
    <w:rsid w:val="009F4B69"/>
    <w:rsid w:val="009F6737"/>
    <w:rsid w:val="009F77D8"/>
    <w:rsid w:val="00A0067D"/>
    <w:rsid w:val="00A029D0"/>
    <w:rsid w:val="00A02A54"/>
    <w:rsid w:val="00A0408A"/>
    <w:rsid w:val="00A0791D"/>
    <w:rsid w:val="00A1174A"/>
    <w:rsid w:val="00A11F2A"/>
    <w:rsid w:val="00A1201A"/>
    <w:rsid w:val="00A12906"/>
    <w:rsid w:val="00A133DE"/>
    <w:rsid w:val="00A152F5"/>
    <w:rsid w:val="00A17246"/>
    <w:rsid w:val="00A2145F"/>
    <w:rsid w:val="00A23637"/>
    <w:rsid w:val="00A23EC5"/>
    <w:rsid w:val="00A24C94"/>
    <w:rsid w:val="00A24D67"/>
    <w:rsid w:val="00A254E0"/>
    <w:rsid w:val="00A25A67"/>
    <w:rsid w:val="00A27D68"/>
    <w:rsid w:val="00A319A1"/>
    <w:rsid w:val="00A32E03"/>
    <w:rsid w:val="00A32E2F"/>
    <w:rsid w:val="00A36D39"/>
    <w:rsid w:val="00A40D29"/>
    <w:rsid w:val="00A416A6"/>
    <w:rsid w:val="00A42CAA"/>
    <w:rsid w:val="00A43842"/>
    <w:rsid w:val="00A445C8"/>
    <w:rsid w:val="00A522DF"/>
    <w:rsid w:val="00A57F35"/>
    <w:rsid w:val="00A6158A"/>
    <w:rsid w:val="00A61AB4"/>
    <w:rsid w:val="00A64EE1"/>
    <w:rsid w:val="00A660E6"/>
    <w:rsid w:val="00A66778"/>
    <w:rsid w:val="00A66EE2"/>
    <w:rsid w:val="00A71895"/>
    <w:rsid w:val="00A71CE3"/>
    <w:rsid w:val="00A722AB"/>
    <w:rsid w:val="00A7249F"/>
    <w:rsid w:val="00A741F5"/>
    <w:rsid w:val="00A7547B"/>
    <w:rsid w:val="00A75CED"/>
    <w:rsid w:val="00A76C69"/>
    <w:rsid w:val="00A80F44"/>
    <w:rsid w:val="00A81826"/>
    <w:rsid w:val="00A838FE"/>
    <w:rsid w:val="00A84670"/>
    <w:rsid w:val="00A853F5"/>
    <w:rsid w:val="00A85A2E"/>
    <w:rsid w:val="00A86084"/>
    <w:rsid w:val="00A906F3"/>
    <w:rsid w:val="00A91353"/>
    <w:rsid w:val="00A923D2"/>
    <w:rsid w:val="00A9322D"/>
    <w:rsid w:val="00A933CE"/>
    <w:rsid w:val="00A94416"/>
    <w:rsid w:val="00A94B82"/>
    <w:rsid w:val="00A94F59"/>
    <w:rsid w:val="00A9517A"/>
    <w:rsid w:val="00A951E7"/>
    <w:rsid w:val="00A963BD"/>
    <w:rsid w:val="00A9773D"/>
    <w:rsid w:val="00AA3281"/>
    <w:rsid w:val="00AA3887"/>
    <w:rsid w:val="00AA57D9"/>
    <w:rsid w:val="00AA5EC8"/>
    <w:rsid w:val="00AA626E"/>
    <w:rsid w:val="00AA656C"/>
    <w:rsid w:val="00AA7749"/>
    <w:rsid w:val="00AA7F9B"/>
    <w:rsid w:val="00AB0371"/>
    <w:rsid w:val="00AB1776"/>
    <w:rsid w:val="00AB1FAB"/>
    <w:rsid w:val="00AB29DC"/>
    <w:rsid w:val="00AB4471"/>
    <w:rsid w:val="00AB605F"/>
    <w:rsid w:val="00AB66BF"/>
    <w:rsid w:val="00AB7EA6"/>
    <w:rsid w:val="00AC0B39"/>
    <w:rsid w:val="00AC204C"/>
    <w:rsid w:val="00AC4457"/>
    <w:rsid w:val="00AC5BE2"/>
    <w:rsid w:val="00AD2047"/>
    <w:rsid w:val="00AD590E"/>
    <w:rsid w:val="00AD64B3"/>
    <w:rsid w:val="00AD7EB0"/>
    <w:rsid w:val="00AE2A0C"/>
    <w:rsid w:val="00AE30D5"/>
    <w:rsid w:val="00AE36BB"/>
    <w:rsid w:val="00AE59D4"/>
    <w:rsid w:val="00AE66C9"/>
    <w:rsid w:val="00AE7713"/>
    <w:rsid w:val="00AF1A8E"/>
    <w:rsid w:val="00AF1F3B"/>
    <w:rsid w:val="00AF3395"/>
    <w:rsid w:val="00AF534B"/>
    <w:rsid w:val="00AF5C56"/>
    <w:rsid w:val="00AF71D4"/>
    <w:rsid w:val="00AF77F2"/>
    <w:rsid w:val="00B00848"/>
    <w:rsid w:val="00B0084F"/>
    <w:rsid w:val="00B02FB4"/>
    <w:rsid w:val="00B05FDE"/>
    <w:rsid w:val="00B07676"/>
    <w:rsid w:val="00B07784"/>
    <w:rsid w:val="00B07E43"/>
    <w:rsid w:val="00B103C1"/>
    <w:rsid w:val="00B1063E"/>
    <w:rsid w:val="00B10E55"/>
    <w:rsid w:val="00B12620"/>
    <w:rsid w:val="00B13071"/>
    <w:rsid w:val="00B13218"/>
    <w:rsid w:val="00B1378B"/>
    <w:rsid w:val="00B17522"/>
    <w:rsid w:val="00B1753A"/>
    <w:rsid w:val="00B17DAA"/>
    <w:rsid w:val="00B20F28"/>
    <w:rsid w:val="00B21F61"/>
    <w:rsid w:val="00B224A3"/>
    <w:rsid w:val="00B22C21"/>
    <w:rsid w:val="00B22EFF"/>
    <w:rsid w:val="00B23018"/>
    <w:rsid w:val="00B238D7"/>
    <w:rsid w:val="00B24F78"/>
    <w:rsid w:val="00B25021"/>
    <w:rsid w:val="00B25AFA"/>
    <w:rsid w:val="00B25F12"/>
    <w:rsid w:val="00B27B9F"/>
    <w:rsid w:val="00B32E67"/>
    <w:rsid w:val="00B32FBA"/>
    <w:rsid w:val="00B332C2"/>
    <w:rsid w:val="00B33381"/>
    <w:rsid w:val="00B342BE"/>
    <w:rsid w:val="00B361DC"/>
    <w:rsid w:val="00B368C0"/>
    <w:rsid w:val="00B36BFE"/>
    <w:rsid w:val="00B372C8"/>
    <w:rsid w:val="00B374CA"/>
    <w:rsid w:val="00B40477"/>
    <w:rsid w:val="00B42259"/>
    <w:rsid w:val="00B43C8E"/>
    <w:rsid w:val="00B45288"/>
    <w:rsid w:val="00B45D14"/>
    <w:rsid w:val="00B50C02"/>
    <w:rsid w:val="00B52DE4"/>
    <w:rsid w:val="00B53A01"/>
    <w:rsid w:val="00B544CF"/>
    <w:rsid w:val="00B54853"/>
    <w:rsid w:val="00B560BF"/>
    <w:rsid w:val="00B578EE"/>
    <w:rsid w:val="00B60884"/>
    <w:rsid w:val="00B6478B"/>
    <w:rsid w:val="00B65F4F"/>
    <w:rsid w:val="00B665C9"/>
    <w:rsid w:val="00B67F98"/>
    <w:rsid w:val="00B748FA"/>
    <w:rsid w:val="00B75265"/>
    <w:rsid w:val="00B8013B"/>
    <w:rsid w:val="00B82BC8"/>
    <w:rsid w:val="00B84775"/>
    <w:rsid w:val="00B85130"/>
    <w:rsid w:val="00B85455"/>
    <w:rsid w:val="00B85E45"/>
    <w:rsid w:val="00B935D7"/>
    <w:rsid w:val="00B93DA8"/>
    <w:rsid w:val="00B9412F"/>
    <w:rsid w:val="00B9432E"/>
    <w:rsid w:val="00B94517"/>
    <w:rsid w:val="00B9693F"/>
    <w:rsid w:val="00B96D24"/>
    <w:rsid w:val="00BA2C07"/>
    <w:rsid w:val="00BA2E41"/>
    <w:rsid w:val="00BA341D"/>
    <w:rsid w:val="00BA4429"/>
    <w:rsid w:val="00BA5EE9"/>
    <w:rsid w:val="00BA6794"/>
    <w:rsid w:val="00BA68C9"/>
    <w:rsid w:val="00BB0D48"/>
    <w:rsid w:val="00BB1CA8"/>
    <w:rsid w:val="00BB1EAA"/>
    <w:rsid w:val="00BB2467"/>
    <w:rsid w:val="00BB2B3F"/>
    <w:rsid w:val="00BB4CF4"/>
    <w:rsid w:val="00BB5323"/>
    <w:rsid w:val="00BB6571"/>
    <w:rsid w:val="00BB70C0"/>
    <w:rsid w:val="00BC0202"/>
    <w:rsid w:val="00BC1A22"/>
    <w:rsid w:val="00BC25A5"/>
    <w:rsid w:val="00BC3393"/>
    <w:rsid w:val="00BC34C6"/>
    <w:rsid w:val="00BC42B0"/>
    <w:rsid w:val="00BC5502"/>
    <w:rsid w:val="00BC65B6"/>
    <w:rsid w:val="00BC788D"/>
    <w:rsid w:val="00BC7AE4"/>
    <w:rsid w:val="00BD0A6D"/>
    <w:rsid w:val="00BD0CBD"/>
    <w:rsid w:val="00BD19F0"/>
    <w:rsid w:val="00BD3F6A"/>
    <w:rsid w:val="00BD4B18"/>
    <w:rsid w:val="00BE0899"/>
    <w:rsid w:val="00BE0C5E"/>
    <w:rsid w:val="00BE2542"/>
    <w:rsid w:val="00BE3F37"/>
    <w:rsid w:val="00BE6161"/>
    <w:rsid w:val="00BF1719"/>
    <w:rsid w:val="00BF1F9A"/>
    <w:rsid w:val="00BF42EE"/>
    <w:rsid w:val="00BF4587"/>
    <w:rsid w:val="00BF5962"/>
    <w:rsid w:val="00BF7E91"/>
    <w:rsid w:val="00C00ACB"/>
    <w:rsid w:val="00C01A76"/>
    <w:rsid w:val="00C035DB"/>
    <w:rsid w:val="00C03719"/>
    <w:rsid w:val="00C0618C"/>
    <w:rsid w:val="00C107FE"/>
    <w:rsid w:val="00C119CF"/>
    <w:rsid w:val="00C12BDF"/>
    <w:rsid w:val="00C12E2E"/>
    <w:rsid w:val="00C1363A"/>
    <w:rsid w:val="00C1759D"/>
    <w:rsid w:val="00C178D5"/>
    <w:rsid w:val="00C17D2A"/>
    <w:rsid w:val="00C23041"/>
    <w:rsid w:val="00C24D06"/>
    <w:rsid w:val="00C2540C"/>
    <w:rsid w:val="00C26F56"/>
    <w:rsid w:val="00C271FB"/>
    <w:rsid w:val="00C338E5"/>
    <w:rsid w:val="00C342D7"/>
    <w:rsid w:val="00C35AD3"/>
    <w:rsid w:val="00C3773F"/>
    <w:rsid w:val="00C40ACF"/>
    <w:rsid w:val="00C415B7"/>
    <w:rsid w:val="00C42A4C"/>
    <w:rsid w:val="00C43CE1"/>
    <w:rsid w:val="00C456CF"/>
    <w:rsid w:val="00C4577D"/>
    <w:rsid w:val="00C471BA"/>
    <w:rsid w:val="00C47CA4"/>
    <w:rsid w:val="00C50314"/>
    <w:rsid w:val="00C51143"/>
    <w:rsid w:val="00C512FF"/>
    <w:rsid w:val="00C51499"/>
    <w:rsid w:val="00C51DD0"/>
    <w:rsid w:val="00C523D4"/>
    <w:rsid w:val="00C52DC4"/>
    <w:rsid w:val="00C53B4C"/>
    <w:rsid w:val="00C572FD"/>
    <w:rsid w:val="00C61B4F"/>
    <w:rsid w:val="00C61D66"/>
    <w:rsid w:val="00C61EE5"/>
    <w:rsid w:val="00C6305B"/>
    <w:rsid w:val="00C63240"/>
    <w:rsid w:val="00C65889"/>
    <w:rsid w:val="00C67D44"/>
    <w:rsid w:val="00C72494"/>
    <w:rsid w:val="00C73361"/>
    <w:rsid w:val="00C73584"/>
    <w:rsid w:val="00C7434E"/>
    <w:rsid w:val="00C77CC7"/>
    <w:rsid w:val="00C810DA"/>
    <w:rsid w:val="00C84030"/>
    <w:rsid w:val="00C84B4B"/>
    <w:rsid w:val="00C84C18"/>
    <w:rsid w:val="00C86E79"/>
    <w:rsid w:val="00C87392"/>
    <w:rsid w:val="00C87AF2"/>
    <w:rsid w:val="00C9014B"/>
    <w:rsid w:val="00C90FD8"/>
    <w:rsid w:val="00C9122C"/>
    <w:rsid w:val="00C91D8A"/>
    <w:rsid w:val="00C96A92"/>
    <w:rsid w:val="00CA032C"/>
    <w:rsid w:val="00CA0BD2"/>
    <w:rsid w:val="00CA18DF"/>
    <w:rsid w:val="00CA1C9A"/>
    <w:rsid w:val="00CA1E16"/>
    <w:rsid w:val="00CA22DA"/>
    <w:rsid w:val="00CA24D6"/>
    <w:rsid w:val="00CA33D0"/>
    <w:rsid w:val="00CA5415"/>
    <w:rsid w:val="00CB1718"/>
    <w:rsid w:val="00CB3A2A"/>
    <w:rsid w:val="00CB5560"/>
    <w:rsid w:val="00CB55CF"/>
    <w:rsid w:val="00CB7968"/>
    <w:rsid w:val="00CC1CC9"/>
    <w:rsid w:val="00CC30AA"/>
    <w:rsid w:val="00CC484D"/>
    <w:rsid w:val="00CC6E9C"/>
    <w:rsid w:val="00CC705A"/>
    <w:rsid w:val="00CC76B0"/>
    <w:rsid w:val="00CD0760"/>
    <w:rsid w:val="00CD31CD"/>
    <w:rsid w:val="00CD49F2"/>
    <w:rsid w:val="00CD5D4C"/>
    <w:rsid w:val="00CE00E2"/>
    <w:rsid w:val="00CE074E"/>
    <w:rsid w:val="00CE0B18"/>
    <w:rsid w:val="00CE277C"/>
    <w:rsid w:val="00CE3569"/>
    <w:rsid w:val="00CE4B34"/>
    <w:rsid w:val="00CE6FE0"/>
    <w:rsid w:val="00CE7823"/>
    <w:rsid w:val="00CF05BA"/>
    <w:rsid w:val="00CF07DA"/>
    <w:rsid w:val="00CF09E9"/>
    <w:rsid w:val="00CF165B"/>
    <w:rsid w:val="00CF38C1"/>
    <w:rsid w:val="00CF568A"/>
    <w:rsid w:val="00CF5D93"/>
    <w:rsid w:val="00D00288"/>
    <w:rsid w:val="00D01377"/>
    <w:rsid w:val="00D035E3"/>
    <w:rsid w:val="00D0376E"/>
    <w:rsid w:val="00D06510"/>
    <w:rsid w:val="00D06B38"/>
    <w:rsid w:val="00D105BA"/>
    <w:rsid w:val="00D10823"/>
    <w:rsid w:val="00D121CA"/>
    <w:rsid w:val="00D13689"/>
    <w:rsid w:val="00D1419F"/>
    <w:rsid w:val="00D1552D"/>
    <w:rsid w:val="00D16ACC"/>
    <w:rsid w:val="00D172F8"/>
    <w:rsid w:val="00D17EA9"/>
    <w:rsid w:val="00D21175"/>
    <w:rsid w:val="00D230E6"/>
    <w:rsid w:val="00D26AD1"/>
    <w:rsid w:val="00D26AE9"/>
    <w:rsid w:val="00D27675"/>
    <w:rsid w:val="00D316B5"/>
    <w:rsid w:val="00D317B0"/>
    <w:rsid w:val="00D31846"/>
    <w:rsid w:val="00D32AB1"/>
    <w:rsid w:val="00D33BCF"/>
    <w:rsid w:val="00D343FC"/>
    <w:rsid w:val="00D35565"/>
    <w:rsid w:val="00D355BB"/>
    <w:rsid w:val="00D35667"/>
    <w:rsid w:val="00D35EFD"/>
    <w:rsid w:val="00D368BA"/>
    <w:rsid w:val="00D375F0"/>
    <w:rsid w:val="00D4356F"/>
    <w:rsid w:val="00D43CA9"/>
    <w:rsid w:val="00D43CFA"/>
    <w:rsid w:val="00D448A1"/>
    <w:rsid w:val="00D44EDC"/>
    <w:rsid w:val="00D45716"/>
    <w:rsid w:val="00D50792"/>
    <w:rsid w:val="00D51227"/>
    <w:rsid w:val="00D516A0"/>
    <w:rsid w:val="00D52B45"/>
    <w:rsid w:val="00D615FF"/>
    <w:rsid w:val="00D64E8A"/>
    <w:rsid w:val="00D66134"/>
    <w:rsid w:val="00D6661C"/>
    <w:rsid w:val="00D70986"/>
    <w:rsid w:val="00D724D8"/>
    <w:rsid w:val="00D72E41"/>
    <w:rsid w:val="00D72F0E"/>
    <w:rsid w:val="00D75046"/>
    <w:rsid w:val="00D81113"/>
    <w:rsid w:val="00D81CEB"/>
    <w:rsid w:val="00D81D6D"/>
    <w:rsid w:val="00D84487"/>
    <w:rsid w:val="00D8472A"/>
    <w:rsid w:val="00D8500E"/>
    <w:rsid w:val="00D86358"/>
    <w:rsid w:val="00D90B4B"/>
    <w:rsid w:val="00D91405"/>
    <w:rsid w:val="00D9226D"/>
    <w:rsid w:val="00D9251A"/>
    <w:rsid w:val="00D92743"/>
    <w:rsid w:val="00D92853"/>
    <w:rsid w:val="00D94E49"/>
    <w:rsid w:val="00D959C8"/>
    <w:rsid w:val="00D9792E"/>
    <w:rsid w:val="00DA33B0"/>
    <w:rsid w:val="00DA5429"/>
    <w:rsid w:val="00DA64CD"/>
    <w:rsid w:val="00DA66A8"/>
    <w:rsid w:val="00DA7A9B"/>
    <w:rsid w:val="00DA7AEA"/>
    <w:rsid w:val="00DB087E"/>
    <w:rsid w:val="00DB17A7"/>
    <w:rsid w:val="00DB22C2"/>
    <w:rsid w:val="00DB3681"/>
    <w:rsid w:val="00DB49FF"/>
    <w:rsid w:val="00DB72CA"/>
    <w:rsid w:val="00DC0CDC"/>
    <w:rsid w:val="00DC1717"/>
    <w:rsid w:val="00DC221B"/>
    <w:rsid w:val="00DC3D72"/>
    <w:rsid w:val="00DC4B58"/>
    <w:rsid w:val="00DC5182"/>
    <w:rsid w:val="00DC5858"/>
    <w:rsid w:val="00DC5AD2"/>
    <w:rsid w:val="00DC61D7"/>
    <w:rsid w:val="00DC682C"/>
    <w:rsid w:val="00DC73DA"/>
    <w:rsid w:val="00DD0A6B"/>
    <w:rsid w:val="00DD1C5D"/>
    <w:rsid w:val="00DD3C98"/>
    <w:rsid w:val="00DD4868"/>
    <w:rsid w:val="00DD60E0"/>
    <w:rsid w:val="00DE0652"/>
    <w:rsid w:val="00DE3F4D"/>
    <w:rsid w:val="00DE6B96"/>
    <w:rsid w:val="00DE6E64"/>
    <w:rsid w:val="00DE6F25"/>
    <w:rsid w:val="00DE7F75"/>
    <w:rsid w:val="00DF1337"/>
    <w:rsid w:val="00DF173C"/>
    <w:rsid w:val="00DF178C"/>
    <w:rsid w:val="00DF3E9F"/>
    <w:rsid w:val="00DF403C"/>
    <w:rsid w:val="00DF4130"/>
    <w:rsid w:val="00DF4B6C"/>
    <w:rsid w:val="00DF5BF8"/>
    <w:rsid w:val="00DF5D93"/>
    <w:rsid w:val="00DF64E4"/>
    <w:rsid w:val="00E015F9"/>
    <w:rsid w:val="00E02BD6"/>
    <w:rsid w:val="00E036DB"/>
    <w:rsid w:val="00E04E14"/>
    <w:rsid w:val="00E053C0"/>
    <w:rsid w:val="00E055D9"/>
    <w:rsid w:val="00E06ACC"/>
    <w:rsid w:val="00E074C6"/>
    <w:rsid w:val="00E10845"/>
    <w:rsid w:val="00E10A62"/>
    <w:rsid w:val="00E10EBF"/>
    <w:rsid w:val="00E10FF9"/>
    <w:rsid w:val="00E14A0C"/>
    <w:rsid w:val="00E15661"/>
    <w:rsid w:val="00E16DD7"/>
    <w:rsid w:val="00E20EAB"/>
    <w:rsid w:val="00E21689"/>
    <w:rsid w:val="00E21CBC"/>
    <w:rsid w:val="00E24B49"/>
    <w:rsid w:val="00E24F60"/>
    <w:rsid w:val="00E25536"/>
    <w:rsid w:val="00E27487"/>
    <w:rsid w:val="00E300A4"/>
    <w:rsid w:val="00E30234"/>
    <w:rsid w:val="00E30504"/>
    <w:rsid w:val="00E31213"/>
    <w:rsid w:val="00E317BB"/>
    <w:rsid w:val="00E31A39"/>
    <w:rsid w:val="00E34302"/>
    <w:rsid w:val="00E34548"/>
    <w:rsid w:val="00E3603D"/>
    <w:rsid w:val="00E4093F"/>
    <w:rsid w:val="00E44E88"/>
    <w:rsid w:val="00E46CF7"/>
    <w:rsid w:val="00E47D61"/>
    <w:rsid w:val="00E500E3"/>
    <w:rsid w:val="00E51B82"/>
    <w:rsid w:val="00E5251D"/>
    <w:rsid w:val="00E53151"/>
    <w:rsid w:val="00E55344"/>
    <w:rsid w:val="00E55AE5"/>
    <w:rsid w:val="00E56695"/>
    <w:rsid w:val="00E61427"/>
    <w:rsid w:val="00E61A2D"/>
    <w:rsid w:val="00E634BE"/>
    <w:rsid w:val="00E6432F"/>
    <w:rsid w:val="00E646CD"/>
    <w:rsid w:val="00E64E8B"/>
    <w:rsid w:val="00E65EC0"/>
    <w:rsid w:val="00E72B2D"/>
    <w:rsid w:val="00E739F1"/>
    <w:rsid w:val="00E741E8"/>
    <w:rsid w:val="00E80D56"/>
    <w:rsid w:val="00E817E0"/>
    <w:rsid w:val="00E82F9F"/>
    <w:rsid w:val="00E837D7"/>
    <w:rsid w:val="00E83DAB"/>
    <w:rsid w:val="00E842BC"/>
    <w:rsid w:val="00E85DCC"/>
    <w:rsid w:val="00E868D1"/>
    <w:rsid w:val="00E86CDD"/>
    <w:rsid w:val="00E90034"/>
    <w:rsid w:val="00E91EF3"/>
    <w:rsid w:val="00E91FA5"/>
    <w:rsid w:val="00E921C2"/>
    <w:rsid w:val="00E9394D"/>
    <w:rsid w:val="00E93DFA"/>
    <w:rsid w:val="00E94741"/>
    <w:rsid w:val="00E94786"/>
    <w:rsid w:val="00E94ADB"/>
    <w:rsid w:val="00E9666D"/>
    <w:rsid w:val="00E97A60"/>
    <w:rsid w:val="00EA0705"/>
    <w:rsid w:val="00EA2D7E"/>
    <w:rsid w:val="00EA2F0A"/>
    <w:rsid w:val="00EA363F"/>
    <w:rsid w:val="00EA6770"/>
    <w:rsid w:val="00EA7DF5"/>
    <w:rsid w:val="00EB0253"/>
    <w:rsid w:val="00EB339C"/>
    <w:rsid w:val="00EB3ADB"/>
    <w:rsid w:val="00EB4786"/>
    <w:rsid w:val="00EB49A9"/>
    <w:rsid w:val="00EB5B16"/>
    <w:rsid w:val="00EC199B"/>
    <w:rsid w:val="00EC1D27"/>
    <w:rsid w:val="00EC1F1E"/>
    <w:rsid w:val="00EC26B9"/>
    <w:rsid w:val="00EC4CE6"/>
    <w:rsid w:val="00EC6558"/>
    <w:rsid w:val="00EC75DF"/>
    <w:rsid w:val="00EC770C"/>
    <w:rsid w:val="00ED12A4"/>
    <w:rsid w:val="00ED2452"/>
    <w:rsid w:val="00ED377E"/>
    <w:rsid w:val="00ED3C22"/>
    <w:rsid w:val="00ED447A"/>
    <w:rsid w:val="00ED689D"/>
    <w:rsid w:val="00ED6C24"/>
    <w:rsid w:val="00ED6E3F"/>
    <w:rsid w:val="00EE1049"/>
    <w:rsid w:val="00EE16C0"/>
    <w:rsid w:val="00EE20AD"/>
    <w:rsid w:val="00EE2185"/>
    <w:rsid w:val="00EE24E9"/>
    <w:rsid w:val="00EE267B"/>
    <w:rsid w:val="00EE2C8D"/>
    <w:rsid w:val="00EE2EE0"/>
    <w:rsid w:val="00EE4565"/>
    <w:rsid w:val="00EE5F9C"/>
    <w:rsid w:val="00EE61AF"/>
    <w:rsid w:val="00EE6480"/>
    <w:rsid w:val="00EF0DFC"/>
    <w:rsid w:val="00EF1598"/>
    <w:rsid w:val="00EF3AB9"/>
    <w:rsid w:val="00EF3D12"/>
    <w:rsid w:val="00EF4780"/>
    <w:rsid w:val="00EF47CE"/>
    <w:rsid w:val="00EF653B"/>
    <w:rsid w:val="00F01497"/>
    <w:rsid w:val="00F022DD"/>
    <w:rsid w:val="00F07922"/>
    <w:rsid w:val="00F10937"/>
    <w:rsid w:val="00F1585D"/>
    <w:rsid w:val="00F15945"/>
    <w:rsid w:val="00F16CEA"/>
    <w:rsid w:val="00F242C8"/>
    <w:rsid w:val="00F2477C"/>
    <w:rsid w:val="00F2622D"/>
    <w:rsid w:val="00F27213"/>
    <w:rsid w:val="00F300D7"/>
    <w:rsid w:val="00F30250"/>
    <w:rsid w:val="00F342F3"/>
    <w:rsid w:val="00F36485"/>
    <w:rsid w:val="00F37749"/>
    <w:rsid w:val="00F41E51"/>
    <w:rsid w:val="00F451BF"/>
    <w:rsid w:val="00F46581"/>
    <w:rsid w:val="00F46720"/>
    <w:rsid w:val="00F47BEC"/>
    <w:rsid w:val="00F550BC"/>
    <w:rsid w:val="00F55782"/>
    <w:rsid w:val="00F567BE"/>
    <w:rsid w:val="00F63A2E"/>
    <w:rsid w:val="00F65AF4"/>
    <w:rsid w:val="00F65E5A"/>
    <w:rsid w:val="00F66C3C"/>
    <w:rsid w:val="00F67B48"/>
    <w:rsid w:val="00F67ECC"/>
    <w:rsid w:val="00F70746"/>
    <w:rsid w:val="00F7083E"/>
    <w:rsid w:val="00F71B99"/>
    <w:rsid w:val="00F72183"/>
    <w:rsid w:val="00F723C6"/>
    <w:rsid w:val="00F73CC3"/>
    <w:rsid w:val="00F83B65"/>
    <w:rsid w:val="00F85AF1"/>
    <w:rsid w:val="00F86026"/>
    <w:rsid w:val="00F91372"/>
    <w:rsid w:val="00F9271F"/>
    <w:rsid w:val="00F93750"/>
    <w:rsid w:val="00F93B5D"/>
    <w:rsid w:val="00F956BD"/>
    <w:rsid w:val="00F96DA4"/>
    <w:rsid w:val="00F97F5B"/>
    <w:rsid w:val="00FA0452"/>
    <w:rsid w:val="00FA0693"/>
    <w:rsid w:val="00FA0DCE"/>
    <w:rsid w:val="00FA1238"/>
    <w:rsid w:val="00FA12D1"/>
    <w:rsid w:val="00FA3050"/>
    <w:rsid w:val="00FA31BA"/>
    <w:rsid w:val="00FA35F7"/>
    <w:rsid w:val="00FA3AAE"/>
    <w:rsid w:val="00FA40B8"/>
    <w:rsid w:val="00FA722F"/>
    <w:rsid w:val="00FB0A40"/>
    <w:rsid w:val="00FB290D"/>
    <w:rsid w:val="00FB3398"/>
    <w:rsid w:val="00FB493A"/>
    <w:rsid w:val="00FB7356"/>
    <w:rsid w:val="00FC184E"/>
    <w:rsid w:val="00FC2719"/>
    <w:rsid w:val="00FC33E6"/>
    <w:rsid w:val="00FC5AE5"/>
    <w:rsid w:val="00FC62A2"/>
    <w:rsid w:val="00FC6598"/>
    <w:rsid w:val="00FD3D4C"/>
    <w:rsid w:val="00FD4788"/>
    <w:rsid w:val="00FD4D45"/>
    <w:rsid w:val="00FD5DD5"/>
    <w:rsid w:val="00FD62A2"/>
    <w:rsid w:val="00FD63E1"/>
    <w:rsid w:val="00FE20D0"/>
    <w:rsid w:val="00FE268C"/>
    <w:rsid w:val="00FE29BE"/>
    <w:rsid w:val="00FE316D"/>
    <w:rsid w:val="00FE43DF"/>
    <w:rsid w:val="00FE599C"/>
    <w:rsid w:val="00FE5E15"/>
    <w:rsid w:val="00FE68A4"/>
    <w:rsid w:val="00FE7141"/>
    <w:rsid w:val="00FE72BA"/>
    <w:rsid w:val="00FE7AFC"/>
    <w:rsid w:val="00FF103B"/>
    <w:rsid w:val="00FF18B5"/>
    <w:rsid w:val="00FF2FE2"/>
    <w:rsid w:val="00FF4345"/>
    <w:rsid w:val="00FF5685"/>
    <w:rsid w:val="00FF71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AC302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2C77" w:themeColor="text1"/>
        <w:sz w:val="22"/>
        <w:szCs w:val="22"/>
        <w:lang w:val="en-GB" w:eastAsia="en-US" w:bidi="ar-SA"/>
      </w:rPr>
    </w:rPrDefault>
    <w:pPrDefault>
      <w:pPr>
        <w:spacing w:after="180" w:line="26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iPriority="0"/>
    <w:lsdException w:name="index 2" w:semiHidden="1" w:uiPriority="0"/>
    <w:lsdException w:name="index 3" w:semiHidden="1" w:uiPriority="0"/>
    <w:lsdException w:name="index 4" w:semiHidden="1" w:uiPriority="0"/>
    <w:lsdException w:name="index 5" w:semiHidden="1" w:uiPriority="0"/>
    <w:lsdException w:name="index 6" w:semiHidden="1" w:uiPriority="0"/>
    <w:lsdException w:name="index 7" w:semiHidden="1" w:uiPriority="0"/>
    <w:lsdException w:name="index 8" w:semiHidden="1" w:uiPriority="0"/>
    <w:lsdException w:name="index 9" w:semiHidden="1" w:uiPriority="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2"/>
    <w:lsdException w:name="toc 6" w:semiHidden="1" w:uiPriority="32"/>
    <w:lsdException w:name="toc 7" w:semiHidden="1" w:uiPriority="32"/>
    <w:lsdException w:name="toc 8" w:semiHidden="1" w:uiPriority="32"/>
    <w:lsdException w:name="toc 9" w:semiHidden="1" w:uiPriority="39" w:unhideWhenUsed="1"/>
    <w:lsdException w:name="Normal Indent" w:semiHidden="1" w:unhideWhenUsed="1"/>
    <w:lsdException w:name="footnote text" w:semiHidden="1" w:uiPriority="0" w:qFormat="1"/>
    <w:lsdException w:name="annotation text" w:semiHidden="1" w:uiPriority="0"/>
    <w:lsdException w:name="header" w:semiHidden="1" w:uiPriority="0"/>
    <w:lsdException w:name="footer" w:semiHidden="1"/>
    <w:lsdException w:name="index heading" w:semiHidden="1" w:uiPriority="0"/>
    <w:lsdException w:name="caption" w:semiHidden="1" w:uiPriority="0" w:qFormat="1"/>
    <w:lsdException w:name="table of figures" w:semiHidden="1" w:uiPriority="0"/>
    <w:lsdException w:name="envelope address" w:semiHidden="1" w:unhideWhenUsed="1"/>
    <w:lsdException w:name="envelope return" w:semiHidden="1" w:unhideWhenUsed="1"/>
    <w:lsdException w:name="footnote reference" w:semiHidden="1" w:uiPriority="0"/>
    <w:lsdException w:name="annotation reference" w:semiHidden="1" w:uiPriority="0"/>
    <w:lsdException w:name="line number" w:semiHidden="1" w:unhideWhenUsed="1"/>
    <w:lsdException w:name="page number" w:uiPriority="0"/>
    <w:lsdException w:name="endnote reference" w:semiHidden="1" w:uiPriority="0"/>
    <w:lsdException w:name="endnote text" w:semiHidden="1" w:uiPriority="0" w:qFormat="1"/>
    <w:lsdException w:name="table of authorities" w:semiHidden="1" w:uiPriority="0"/>
    <w:lsdException w:name="macro" w:semiHidden="1" w:uiPriority="0"/>
    <w:lsdException w:name="toa heading" w:semiHidden="1" w:uiPriority="0"/>
    <w:lsdException w:name="List" w:semiHidden="1" w:unhideWhenUsed="1"/>
    <w:lsdException w:name="List Bullet" w:semiHidden="1" w:uiPriority="0" w:qFormat="1"/>
    <w:lsdException w:name="List Number" w:semiHidden="1"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qFormat="1"/>
    <w:lsdException w:name="List Bullet 3" w:semiHidden="1" w:uiPriority="0" w:qFormat="1"/>
    <w:lsdException w:name="List Bullet 4" w:semiHidden="1" w:uiPriority="0" w:qFormat="1"/>
    <w:lsdException w:name="List Bullet 5" w:semiHidden="1" w:unhideWhenUsed="1"/>
    <w:lsdException w:name="List Number 2" w:semiHidden="1" w:uiPriority="0" w:qFormat="1"/>
    <w:lsdException w:name="List Number 3" w:semiHidden="1" w:uiPriority="0" w:qFormat="1"/>
    <w:lsdException w:name="List Number 4" w:semiHidden="1" w:uiPriority="0" w:qFormat="1"/>
    <w:lsdException w:name="List Number 5" w:semiHidden="1" w:unhideWhenUsed="1"/>
    <w:lsdException w:name="Title" w:semiHidden="1" w:uiPriority="1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3" w:qFormat="1"/>
    <w:lsdException w:name="Salutation" w:semiHidden="1" w:unhideWhenUsed="1"/>
    <w:lsdException w:name="Date" w:semiHidden="1" w:uiPriority="2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semiHidden="1" w:uiPriority="25" w:qFormat="1"/>
    <w:lsdException w:name="Emphasis" w:semiHidden="1" w:unhideWhenUsed="1" w:qFormat="1"/>
    <w:lsdException w:name="Document Map" w:semiHidden="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lsdException w:name="HTML Acronym" w:semiHidden="1" w:uiPriority="0"/>
    <w:lsdException w:name="HTML Address" w:semiHidden="1" w:uiPriority="0"/>
    <w:lsdException w:name="HTML Cite" w:semiHidden="1" w:uiPriority="0"/>
    <w:lsdException w:name="HTML Code" w:semiHidden="1" w:uiPriority="0"/>
    <w:lsdException w:name="HTML Definition" w:semiHidden="1" w:uiPriority="0"/>
    <w:lsdException w:name="HTML Keyboard" w:semiHidden="1" w:uiPriority="0"/>
    <w:lsdException w:name="HTML Preformatted" w:semiHidden="1" w:uiPriority="0"/>
    <w:lsdException w:name="HTML Sample" w:semiHidden="1" w:uiPriority="0"/>
    <w:lsdException w:name="HTML Typewriter" w:semiHidden="1" w:uiPriority="0"/>
    <w:lsdException w:name="HTML Variable" w:semiHidden="1" w:uiPriority="0"/>
    <w:lsdException w:name="Normal Table" w:semiHidden="1" w:unhideWhenUsed="1"/>
    <w:lsdException w:name="annotation subject" w:semiHidden="1" w:uiPriority="0"/>
    <w:lsdException w:name="No List" w:semiHidden="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93A"/>
    <w:rPr>
      <w:rFonts w:cs="Arial"/>
      <w:lang w:val="en-US"/>
    </w:rPr>
  </w:style>
  <w:style w:type="paragraph" w:styleId="Heading1">
    <w:name w:val="heading 1"/>
    <w:basedOn w:val="Normal"/>
    <w:next w:val="Normal"/>
    <w:link w:val="Heading1Char"/>
    <w:qFormat/>
    <w:rsid w:val="00FB493A"/>
    <w:pPr>
      <w:keepNext/>
      <w:numPr>
        <w:numId w:val="7"/>
      </w:numPr>
      <w:spacing w:after="360" w:line="240" w:lineRule="auto"/>
      <w:outlineLvl w:val="0"/>
    </w:pPr>
    <w:rPr>
      <w:b/>
      <w:sz w:val="56"/>
      <w:szCs w:val="56"/>
    </w:rPr>
  </w:style>
  <w:style w:type="paragraph" w:styleId="Heading2">
    <w:name w:val="heading 2"/>
    <w:basedOn w:val="Normal"/>
    <w:next w:val="Normal"/>
    <w:link w:val="Heading2Char"/>
    <w:qFormat/>
    <w:rsid w:val="00FB493A"/>
    <w:pPr>
      <w:keepNext/>
      <w:numPr>
        <w:ilvl w:val="1"/>
        <w:numId w:val="7"/>
      </w:numPr>
      <w:spacing w:before="240" w:after="120" w:line="240" w:lineRule="auto"/>
      <w:outlineLvl w:val="1"/>
    </w:pPr>
    <w:rPr>
      <w:b/>
      <w:sz w:val="32"/>
      <w:szCs w:val="28"/>
    </w:rPr>
  </w:style>
  <w:style w:type="paragraph" w:styleId="Heading3">
    <w:name w:val="heading 3"/>
    <w:basedOn w:val="Normal"/>
    <w:next w:val="Normal"/>
    <w:link w:val="Heading3Char"/>
    <w:qFormat/>
    <w:rsid w:val="00FB493A"/>
    <w:pPr>
      <w:keepNext/>
      <w:numPr>
        <w:ilvl w:val="2"/>
        <w:numId w:val="7"/>
      </w:numPr>
      <w:spacing w:before="240" w:after="120" w:line="240" w:lineRule="auto"/>
      <w:outlineLvl w:val="2"/>
    </w:pPr>
    <w:rPr>
      <w:rFonts w:eastAsia="Times New Roman"/>
      <w:b/>
      <w:color w:val="009DE0" w:themeColor="accent1"/>
      <w:sz w:val="28"/>
      <w:szCs w:val="24"/>
    </w:rPr>
  </w:style>
  <w:style w:type="paragraph" w:styleId="Heading4">
    <w:name w:val="heading 4"/>
    <w:basedOn w:val="Normal"/>
    <w:next w:val="Normal"/>
    <w:link w:val="Heading4Char"/>
    <w:qFormat/>
    <w:rsid w:val="00FB493A"/>
    <w:pPr>
      <w:keepNext/>
      <w:numPr>
        <w:ilvl w:val="3"/>
        <w:numId w:val="7"/>
      </w:numPr>
      <w:spacing w:before="240" w:after="120" w:line="240" w:lineRule="auto"/>
      <w:outlineLvl w:val="3"/>
    </w:pPr>
    <w:rPr>
      <w:b/>
      <w:color w:val="565656" w:themeColor="text2"/>
      <w:sz w:val="24"/>
    </w:rPr>
  </w:style>
  <w:style w:type="paragraph" w:styleId="Heading5">
    <w:name w:val="heading 5"/>
    <w:basedOn w:val="Normal"/>
    <w:next w:val="Normal"/>
    <w:link w:val="Heading5Char"/>
    <w:qFormat/>
    <w:rsid w:val="00FB493A"/>
    <w:pPr>
      <w:keepNext/>
      <w:numPr>
        <w:ilvl w:val="4"/>
        <w:numId w:val="7"/>
      </w:numPr>
      <w:spacing w:before="240" w:after="120" w:line="240" w:lineRule="auto"/>
      <w:outlineLvl w:val="4"/>
    </w:pPr>
    <w:rPr>
      <w:b/>
      <w:color w:val="565656"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
    <w:name w:val="Base"/>
    <w:rsid w:val="00FB493A"/>
    <w:rPr>
      <w:rFonts w:eastAsia="Times New Roman" w:cs="Arial"/>
      <w:szCs w:val="20"/>
      <w:lang w:val="en-US"/>
    </w:rPr>
  </w:style>
  <w:style w:type="character" w:styleId="PageNumber">
    <w:name w:val="page number"/>
    <w:basedOn w:val="DefaultParagraphFont"/>
    <w:rsid w:val="00FB493A"/>
    <w:rPr>
      <w:rFonts w:ascii="Arial" w:hAnsi="Arial" w:cs="Arial"/>
      <w:b w:val="0"/>
      <w:i w:val="0"/>
      <w:caps w:val="0"/>
      <w:smallCaps w:val="0"/>
      <w:vanish w:val="0"/>
      <w:color w:val="565656" w:themeColor="text2"/>
      <w:sz w:val="16"/>
      <w:u w:val="none"/>
    </w:rPr>
  </w:style>
  <w:style w:type="paragraph" w:customStyle="1" w:styleId="OperatingUnitBusinessLine">
    <w:name w:val="Operating Unit/Business Line"/>
    <w:basedOn w:val="Base"/>
    <w:semiHidden/>
    <w:rsid w:val="00FB493A"/>
    <w:pPr>
      <w:spacing w:after="0" w:line="240" w:lineRule="auto"/>
      <w:jc w:val="right"/>
    </w:pPr>
    <w:rPr>
      <w:rFonts w:cs="Times New Roman"/>
      <w:noProof/>
      <w:szCs w:val="22"/>
      <w:lang w:val="en-GB"/>
    </w:rPr>
  </w:style>
  <w:style w:type="paragraph" w:customStyle="1" w:styleId="AppendixHeading1">
    <w:name w:val="Appendix Heading 1"/>
    <w:basedOn w:val="Normal"/>
    <w:next w:val="Normal"/>
    <w:qFormat/>
    <w:rsid w:val="00FB493A"/>
    <w:pPr>
      <w:keepNext/>
      <w:spacing w:after="360" w:line="240" w:lineRule="auto"/>
    </w:pPr>
    <w:rPr>
      <w:b/>
      <w:sz w:val="56"/>
    </w:rPr>
  </w:style>
  <w:style w:type="paragraph" w:customStyle="1" w:styleId="AppendixStart">
    <w:name w:val="Appendix Start"/>
    <w:basedOn w:val="Normal"/>
    <w:next w:val="AppendixHeading1"/>
    <w:qFormat/>
    <w:rsid w:val="00FB493A"/>
    <w:pPr>
      <w:keepNext/>
      <w:pageBreakBefore/>
      <w:numPr>
        <w:numId w:val="10"/>
      </w:numPr>
      <w:pBdr>
        <w:bottom w:val="none" w:sz="0" w:space="0" w:color="00A8C8"/>
      </w:pBdr>
      <w:spacing w:after="0" w:line="240" w:lineRule="auto"/>
      <w:outlineLvl w:val="4"/>
    </w:pPr>
    <w:rPr>
      <w:b/>
      <w:color w:val="009DE0" w:themeColor="accent1"/>
      <w:sz w:val="36"/>
      <w:szCs w:val="36"/>
    </w:rPr>
  </w:style>
  <w:style w:type="paragraph" w:styleId="BalloonText">
    <w:name w:val="Balloon Text"/>
    <w:basedOn w:val="Normal"/>
    <w:link w:val="BalloonTextChar"/>
    <w:semiHidden/>
    <w:rsid w:val="00FB49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FB493A"/>
    <w:rPr>
      <w:rFonts w:ascii="Tahoma" w:hAnsi="Tahoma" w:cs="Tahoma"/>
      <w:sz w:val="16"/>
      <w:szCs w:val="16"/>
    </w:rPr>
  </w:style>
  <w:style w:type="paragraph" w:customStyle="1" w:styleId="BusinessLine">
    <w:name w:val="Business Line"/>
    <w:basedOn w:val="Base"/>
    <w:semiHidden/>
    <w:rsid w:val="00FB493A"/>
    <w:pPr>
      <w:spacing w:after="0" w:line="240" w:lineRule="auto"/>
    </w:pPr>
    <w:rPr>
      <w:rFonts w:cs="Times New Roman"/>
      <w:noProof/>
      <w:sz w:val="28"/>
      <w:szCs w:val="22"/>
      <w:lang w:val="en-GB"/>
    </w:rPr>
  </w:style>
  <w:style w:type="paragraph" w:customStyle="1" w:styleId="ClientNameCrossRef">
    <w:name w:val="Client Name Cross Ref"/>
    <w:basedOn w:val="Base"/>
    <w:rsid w:val="00FB493A"/>
    <w:pPr>
      <w:spacing w:after="0" w:line="200" w:lineRule="atLeast"/>
      <w:jc w:val="right"/>
    </w:pPr>
    <w:rPr>
      <w:color w:val="565656" w:themeColor="text2"/>
      <w:sz w:val="16"/>
    </w:rPr>
  </w:style>
  <w:style w:type="paragraph" w:customStyle="1" w:styleId="CompanyName">
    <w:name w:val="Company Name"/>
    <w:basedOn w:val="Base"/>
    <w:rsid w:val="00FB493A"/>
    <w:pPr>
      <w:spacing w:after="0" w:line="240" w:lineRule="auto"/>
    </w:pPr>
    <w:rPr>
      <w:color w:val="565656" w:themeColor="text2"/>
      <w:sz w:val="16"/>
    </w:rPr>
  </w:style>
  <w:style w:type="paragraph" w:customStyle="1" w:styleId="ClientName">
    <w:name w:val="Client Name"/>
    <w:basedOn w:val="Base"/>
    <w:rsid w:val="00FB493A"/>
    <w:pPr>
      <w:spacing w:after="0" w:line="240" w:lineRule="auto"/>
      <w:ind w:right="2260"/>
    </w:pPr>
    <w:rPr>
      <w:b/>
      <w:color w:val="009DE0"/>
      <w:sz w:val="28"/>
    </w:rPr>
  </w:style>
  <w:style w:type="paragraph" w:customStyle="1" w:styleId="LetterDate">
    <w:name w:val="Letter Date"/>
    <w:basedOn w:val="Base"/>
    <w:next w:val="Normal"/>
    <w:rsid w:val="00FB493A"/>
    <w:pPr>
      <w:spacing w:line="360" w:lineRule="atLeast"/>
    </w:pPr>
    <w:rPr>
      <w:sz w:val="24"/>
      <w:lang w:val="en-GB"/>
    </w:rPr>
  </w:style>
  <w:style w:type="paragraph" w:styleId="Date">
    <w:name w:val="Date"/>
    <w:basedOn w:val="Base"/>
    <w:next w:val="Normal"/>
    <w:link w:val="DateChar"/>
    <w:uiPriority w:val="21"/>
    <w:rsid w:val="00FB493A"/>
    <w:pPr>
      <w:spacing w:line="360" w:lineRule="atLeast"/>
      <w:ind w:right="2260"/>
    </w:pPr>
    <w:rPr>
      <w:color w:val="002C77"/>
      <w:sz w:val="24"/>
    </w:rPr>
  </w:style>
  <w:style w:type="character" w:customStyle="1" w:styleId="DateChar">
    <w:name w:val="Date Char"/>
    <w:basedOn w:val="DefaultParagraphFont"/>
    <w:link w:val="Date"/>
    <w:uiPriority w:val="21"/>
    <w:rsid w:val="00FB493A"/>
    <w:rPr>
      <w:rFonts w:eastAsia="Times New Roman" w:cs="Arial"/>
      <w:color w:val="002C77"/>
      <w:sz w:val="24"/>
      <w:szCs w:val="20"/>
      <w:lang w:val="en-US"/>
    </w:rPr>
  </w:style>
  <w:style w:type="paragraph" w:customStyle="1" w:styleId="ReportSubtitle">
    <w:name w:val="Report Subtitle"/>
    <w:basedOn w:val="Base"/>
    <w:next w:val="Date"/>
    <w:rsid w:val="00FB493A"/>
    <w:pPr>
      <w:spacing w:after="600" w:line="240" w:lineRule="auto"/>
      <w:ind w:right="2260"/>
    </w:pPr>
    <w:rPr>
      <w:color w:val="002C77"/>
      <w:sz w:val="48"/>
      <w:szCs w:val="48"/>
    </w:rPr>
  </w:style>
  <w:style w:type="paragraph" w:customStyle="1" w:styleId="Filestamp">
    <w:name w:val="Filestamp"/>
    <w:basedOn w:val="Base"/>
    <w:unhideWhenUsed/>
    <w:rsid w:val="00FB493A"/>
    <w:pPr>
      <w:spacing w:after="0" w:line="140" w:lineRule="atLeast"/>
    </w:pPr>
    <w:rPr>
      <w:noProof/>
      <w:color w:val="565656" w:themeColor="text2"/>
      <w:sz w:val="13"/>
    </w:rPr>
  </w:style>
  <w:style w:type="character" w:styleId="FollowedHyperlink">
    <w:name w:val="FollowedHyperlink"/>
    <w:basedOn w:val="DefaultParagraphFont"/>
    <w:rsid w:val="00FB493A"/>
    <w:rPr>
      <w:rFonts w:ascii="Arial" w:hAnsi="Arial"/>
      <w:color w:val="8246AF"/>
      <w:sz w:val="22"/>
      <w:u w:val="single"/>
    </w:rPr>
  </w:style>
  <w:style w:type="paragraph" w:styleId="Footer">
    <w:name w:val="footer"/>
    <w:basedOn w:val="Normal"/>
    <w:link w:val="FooterChar"/>
    <w:uiPriority w:val="99"/>
    <w:rsid w:val="00FB493A"/>
    <w:pPr>
      <w:tabs>
        <w:tab w:val="right" w:pos="9354"/>
      </w:tabs>
      <w:spacing w:after="0" w:line="240" w:lineRule="auto"/>
    </w:pPr>
    <w:rPr>
      <w:color w:val="F0F0F0" w:themeColor="background2"/>
      <w:sz w:val="16"/>
      <w:szCs w:val="16"/>
    </w:rPr>
  </w:style>
  <w:style w:type="character" w:customStyle="1" w:styleId="FooterChar">
    <w:name w:val="Footer Char"/>
    <w:basedOn w:val="DefaultParagraphFont"/>
    <w:link w:val="Footer"/>
    <w:uiPriority w:val="99"/>
    <w:rsid w:val="00FB493A"/>
    <w:rPr>
      <w:color w:val="F0F0F0" w:themeColor="background2"/>
      <w:sz w:val="16"/>
      <w:szCs w:val="16"/>
    </w:rPr>
  </w:style>
  <w:style w:type="paragraph" w:customStyle="1" w:styleId="Footer-Pagenumber">
    <w:name w:val="Footer - Page number"/>
    <w:basedOn w:val="Footer"/>
    <w:uiPriority w:val="23"/>
    <w:qFormat/>
    <w:rsid w:val="00FB493A"/>
    <w:pPr>
      <w:jc w:val="right"/>
    </w:pPr>
  </w:style>
  <w:style w:type="character" w:styleId="FootnoteReference">
    <w:name w:val="footnote reference"/>
    <w:basedOn w:val="DefaultParagraphFont"/>
    <w:semiHidden/>
    <w:rsid w:val="00FB493A"/>
    <w:rPr>
      <w:vertAlign w:val="superscript"/>
    </w:rPr>
  </w:style>
  <w:style w:type="paragraph" w:styleId="FootnoteText">
    <w:name w:val="footnote text"/>
    <w:basedOn w:val="Normal"/>
    <w:link w:val="FootnoteTextChar"/>
    <w:semiHidden/>
    <w:qFormat/>
    <w:rsid w:val="00FB493A"/>
    <w:pPr>
      <w:spacing w:after="60" w:line="132" w:lineRule="atLeast"/>
    </w:pPr>
    <w:rPr>
      <w:sz w:val="13"/>
    </w:rPr>
  </w:style>
  <w:style w:type="character" w:customStyle="1" w:styleId="FootnoteTextChar">
    <w:name w:val="Footnote Text Char"/>
    <w:basedOn w:val="DefaultParagraphFont"/>
    <w:link w:val="FootnoteText"/>
    <w:semiHidden/>
    <w:rsid w:val="00FB493A"/>
    <w:rPr>
      <w:rFonts w:cs="Arial"/>
      <w:sz w:val="13"/>
      <w:lang w:val="en-US"/>
    </w:rPr>
  </w:style>
  <w:style w:type="paragraph" w:styleId="Header">
    <w:name w:val="header"/>
    <w:basedOn w:val="Normal"/>
    <w:link w:val="HeaderChar"/>
    <w:semiHidden/>
    <w:rsid w:val="00FB493A"/>
    <w:pPr>
      <w:tabs>
        <w:tab w:val="center" w:pos="4320"/>
        <w:tab w:val="right" w:pos="8640"/>
      </w:tabs>
      <w:spacing w:after="0"/>
    </w:pPr>
    <w:rPr>
      <w:color w:val="F0F0F0" w:themeColor="background2"/>
      <w:sz w:val="16"/>
    </w:rPr>
  </w:style>
  <w:style w:type="character" w:customStyle="1" w:styleId="HeaderChar">
    <w:name w:val="Header Char"/>
    <w:basedOn w:val="DefaultParagraphFont"/>
    <w:link w:val="Header"/>
    <w:uiPriority w:val="23"/>
    <w:rsid w:val="00FB493A"/>
    <w:rPr>
      <w:color w:val="F0F0F0" w:themeColor="background2"/>
      <w:sz w:val="16"/>
    </w:rPr>
  </w:style>
  <w:style w:type="character" w:customStyle="1" w:styleId="Heading1Char">
    <w:name w:val="Heading 1 Char"/>
    <w:basedOn w:val="DefaultParagraphFont"/>
    <w:link w:val="Heading1"/>
    <w:rsid w:val="00FB493A"/>
    <w:rPr>
      <w:rFonts w:cs="Arial"/>
      <w:b/>
      <w:sz w:val="56"/>
      <w:szCs w:val="56"/>
      <w:lang w:val="en-US"/>
    </w:rPr>
  </w:style>
  <w:style w:type="character" w:customStyle="1" w:styleId="Heading2Char">
    <w:name w:val="Heading 2 Char"/>
    <w:basedOn w:val="DefaultParagraphFont"/>
    <w:link w:val="Heading2"/>
    <w:rsid w:val="00FB493A"/>
    <w:rPr>
      <w:rFonts w:cs="Arial"/>
      <w:b/>
      <w:sz w:val="32"/>
      <w:szCs w:val="28"/>
      <w:lang w:val="en-US"/>
    </w:rPr>
  </w:style>
  <w:style w:type="character" w:customStyle="1" w:styleId="Heading3Char">
    <w:name w:val="Heading 3 Char"/>
    <w:basedOn w:val="DefaultParagraphFont"/>
    <w:link w:val="Heading3"/>
    <w:rsid w:val="00FB493A"/>
    <w:rPr>
      <w:rFonts w:eastAsia="Times New Roman" w:cs="Arial"/>
      <w:b/>
      <w:color w:val="009DE0" w:themeColor="accent1"/>
      <w:sz w:val="28"/>
      <w:szCs w:val="24"/>
      <w:lang w:val="en-US"/>
    </w:rPr>
  </w:style>
  <w:style w:type="character" w:customStyle="1" w:styleId="Heading4Char">
    <w:name w:val="Heading 4 Char"/>
    <w:basedOn w:val="DefaultParagraphFont"/>
    <w:link w:val="Heading4"/>
    <w:rsid w:val="00FB493A"/>
    <w:rPr>
      <w:rFonts w:cs="Arial"/>
      <w:b/>
      <w:color w:val="565656" w:themeColor="text2"/>
      <w:sz w:val="24"/>
      <w:lang w:val="en-US"/>
    </w:rPr>
  </w:style>
  <w:style w:type="character" w:customStyle="1" w:styleId="Heading5Char">
    <w:name w:val="Heading 5 Char"/>
    <w:basedOn w:val="DefaultParagraphFont"/>
    <w:link w:val="Heading5"/>
    <w:rsid w:val="00FB493A"/>
    <w:rPr>
      <w:rFonts w:cs="Arial"/>
      <w:b/>
      <w:color w:val="565656" w:themeColor="text2"/>
      <w:lang w:val="en-US"/>
    </w:rPr>
  </w:style>
  <w:style w:type="character" w:styleId="Hyperlink">
    <w:name w:val="Hyperlink"/>
    <w:basedOn w:val="DefaultParagraphFont"/>
    <w:uiPriority w:val="99"/>
    <w:rsid w:val="00FB493A"/>
    <w:rPr>
      <w:rFonts w:ascii="Arial" w:hAnsi="Arial"/>
      <w:color w:val="2C6EF2"/>
      <w:sz w:val="22"/>
      <w:u w:val="single"/>
    </w:rPr>
  </w:style>
  <w:style w:type="paragraph" w:customStyle="1" w:styleId="SectionIntro">
    <w:name w:val="Section Intro"/>
    <w:basedOn w:val="Normal"/>
    <w:next w:val="Normal"/>
    <w:qFormat/>
    <w:rsid w:val="00FB493A"/>
    <w:pPr>
      <w:spacing w:after="320" w:line="360" w:lineRule="atLeast"/>
    </w:pPr>
    <w:rPr>
      <w:color w:val="009DE0" w:themeColor="accent1"/>
      <w:sz w:val="28"/>
    </w:rPr>
  </w:style>
  <w:style w:type="paragraph" w:customStyle="1" w:styleId="Legalcopy">
    <w:name w:val="Legal copy"/>
    <w:basedOn w:val="Base"/>
    <w:rsid w:val="00FB493A"/>
    <w:pPr>
      <w:spacing w:after="90" w:line="200" w:lineRule="atLeast"/>
    </w:pPr>
    <w:rPr>
      <w:sz w:val="14"/>
    </w:rPr>
  </w:style>
  <w:style w:type="paragraph" w:customStyle="1" w:styleId="BusinessOf">
    <w:name w:val="Business Of"/>
    <w:basedOn w:val="Base"/>
    <w:semiHidden/>
    <w:rsid w:val="00FB493A"/>
    <w:pPr>
      <w:spacing w:after="0" w:line="240" w:lineRule="auto"/>
    </w:pPr>
    <w:rPr>
      <w:rFonts w:cs="Times New Roman"/>
      <w:noProof/>
      <w:sz w:val="20"/>
      <w:szCs w:val="22"/>
      <w:lang w:val="en-GB"/>
    </w:rPr>
  </w:style>
  <w:style w:type="paragraph" w:customStyle="1" w:styleId="LogoHide2">
    <w:name w:val="Logo Hide 2"/>
    <w:basedOn w:val="Base"/>
    <w:next w:val="Base"/>
    <w:link w:val="LogoHide2Char"/>
    <w:rsid w:val="00FB493A"/>
    <w:pPr>
      <w:jc w:val="right"/>
    </w:pPr>
    <w:rPr>
      <w:noProof/>
    </w:rPr>
  </w:style>
  <w:style w:type="paragraph" w:customStyle="1" w:styleId="NormalIndent1">
    <w:name w:val="Normal Indent 1"/>
    <w:basedOn w:val="Normal"/>
    <w:link w:val="NormalIndent1Char"/>
    <w:qFormat/>
    <w:rsid w:val="00FB493A"/>
    <w:pPr>
      <w:spacing w:line="240" w:lineRule="auto"/>
      <w:ind w:left="360"/>
    </w:pPr>
  </w:style>
  <w:style w:type="paragraph" w:customStyle="1" w:styleId="NormalIndent2">
    <w:name w:val="Normal Indent 2"/>
    <w:basedOn w:val="Normal"/>
    <w:link w:val="NormalIndent2Char"/>
    <w:qFormat/>
    <w:rsid w:val="00FB493A"/>
    <w:pPr>
      <w:spacing w:line="240" w:lineRule="auto"/>
      <w:ind w:left="720"/>
    </w:pPr>
  </w:style>
  <w:style w:type="paragraph" w:customStyle="1" w:styleId="NormalIndent3">
    <w:name w:val="Normal Indent 3"/>
    <w:basedOn w:val="Normal"/>
    <w:link w:val="NormalIndent3Char"/>
    <w:qFormat/>
    <w:rsid w:val="00FB493A"/>
    <w:pPr>
      <w:spacing w:line="240" w:lineRule="auto"/>
      <w:ind w:left="1080"/>
    </w:pPr>
  </w:style>
  <w:style w:type="paragraph" w:customStyle="1" w:styleId="NormalIndent4">
    <w:name w:val="Normal Indent 4"/>
    <w:basedOn w:val="Normal"/>
    <w:link w:val="NormalIndent4Char"/>
    <w:qFormat/>
    <w:rsid w:val="00FB493A"/>
    <w:pPr>
      <w:spacing w:line="240" w:lineRule="auto"/>
      <w:ind w:left="1440"/>
    </w:pPr>
  </w:style>
  <w:style w:type="paragraph" w:styleId="NoteHeading">
    <w:name w:val="Note Heading"/>
    <w:basedOn w:val="Normal"/>
    <w:next w:val="NoteText"/>
    <w:link w:val="NoteHeadingChar"/>
    <w:qFormat/>
    <w:rsid w:val="00FB493A"/>
    <w:rPr>
      <w:b/>
    </w:rPr>
  </w:style>
  <w:style w:type="character" w:customStyle="1" w:styleId="NoteHeadingChar">
    <w:name w:val="Note Heading Char"/>
    <w:basedOn w:val="DefaultParagraphFont"/>
    <w:link w:val="NoteHeading"/>
    <w:uiPriority w:val="31"/>
    <w:semiHidden/>
    <w:rsid w:val="00FB493A"/>
    <w:rPr>
      <w:rFonts w:cs="Arial"/>
      <w:b/>
      <w:lang w:val="en-US"/>
    </w:rPr>
  </w:style>
  <w:style w:type="paragraph" w:customStyle="1" w:styleId="NoteText">
    <w:name w:val="Note Text"/>
    <w:basedOn w:val="Normal"/>
    <w:qFormat/>
    <w:rsid w:val="00FB493A"/>
  </w:style>
  <w:style w:type="character" w:styleId="PlaceholderText">
    <w:name w:val="Placeholder Text"/>
    <w:basedOn w:val="DefaultParagraphFont"/>
    <w:uiPriority w:val="99"/>
    <w:semiHidden/>
    <w:rsid w:val="00FB493A"/>
    <w:rPr>
      <w:color w:val="808080"/>
    </w:rPr>
  </w:style>
  <w:style w:type="paragraph" w:customStyle="1" w:styleId="SectionWrapper">
    <w:name w:val="Section Wrapper"/>
    <w:basedOn w:val="Normal"/>
    <w:next w:val="Normal"/>
    <w:uiPriority w:val="3"/>
    <w:rsid w:val="00FB493A"/>
    <w:pPr>
      <w:spacing w:after="0" w:line="20" w:lineRule="exact"/>
    </w:pPr>
    <w:rPr>
      <w:sz w:val="2"/>
    </w:rPr>
  </w:style>
  <w:style w:type="paragraph" w:customStyle="1" w:styleId="ReportCrossRef">
    <w:name w:val="Report Cross Ref"/>
    <w:basedOn w:val="Base"/>
    <w:rsid w:val="00FB493A"/>
    <w:pPr>
      <w:spacing w:after="0" w:line="200" w:lineRule="atLeast"/>
    </w:pPr>
    <w:rPr>
      <w:color w:val="565656" w:themeColor="text2"/>
      <w:sz w:val="16"/>
    </w:rPr>
  </w:style>
  <w:style w:type="paragraph" w:customStyle="1" w:styleId="SectionStart">
    <w:name w:val="Section Start"/>
    <w:basedOn w:val="Normal"/>
    <w:next w:val="Heading1"/>
    <w:qFormat/>
    <w:rsid w:val="00FB493A"/>
    <w:pPr>
      <w:keepNext/>
      <w:pageBreakBefore/>
      <w:numPr>
        <w:numId w:val="11"/>
      </w:numPr>
      <w:pBdr>
        <w:bottom w:val="none" w:sz="0" w:space="0" w:color="00A8C8"/>
      </w:pBdr>
      <w:spacing w:after="0" w:line="240" w:lineRule="auto"/>
      <w:outlineLvl w:val="4"/>
    </w:pPr>
    <w:rPr>
      <w:b/>
      <w:color w:val="009DE0" w:themeColor="accent1"/>
      <w:sz w:val="36"/>
      <w:szCs w:val="36"/>
    </w:rPr>
  </w:style>
  <w:style w:type="table" w:styleId="TableGrid">
    <w:name w:val="Table Grid"/>
    <w:basedOn w:val="TableNormal"/>
    <w:rsid w:val="00FB493A"/>
    <w:pPr>
      <w:spacing w:after="0" w:line="270" w:lineRule="exact"/>
    </w:pPr>
    <w:rPr>
      <w:rFonts w:eastAsia="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Hide">
    <w:name w:val="Text Hide"/>
    <w:basedOn w:val="DefaultParagraphFont"/>
    <w:uiPriority w:val="31"/>
    <w:semiHidden/>
    <w:rsid w:val="00FB493A"/>
    <w:rPr>
      <w:rFonts w:ascii="Arial" w:hAnsi="Arial"/>
      <w:sz w:val="22"/>
      <w:szCs w:val="20"/>
    </w:rPr>
  </w:style>
  <w:style w:type="paragraph" w:styleId="TOC1">
    <w:name w:val="toc 1"/>
    <w:basedOn w:val="Normal"/>
    <w:next w:val="Normal"/>
    <w:uiPriority w:val="39"/>
    <w:rsid w:val="00FB493A"/>
    <w:pPr>
      <w:numPr>
        <w:numId w:val="2"/>
      </w:numPr>
      <w:tabs>
        <w:tab w:val="left" w:pos="432"/>
        <w:tab w:val="right" w:leader="dot" w:pos="9356"/>
      </w:tabs>
      <w:spacing w:before="300" w:line="300" w:lineRule="exact"/>
      <w:ind w:right="139"/>
    </w:pPr>
    <w:rPr>
      <w:noProof/>
    </w:rPr>
  </w:style>
  <w:style w:type="paragraph" w:styleId="TOC2">
    <w:name w:val="toc 2"/>
    <w:basedOn w:val="Normal"/>
    <w:next w:val="Normal"/>
    <w:uiPriority w:val="39"/>
    <w:rsid w:val="00FB493A"/>
    <w:pPr>
      <w:numPr>
        <w:numId w:val="3"/>
      </w:numPr>
      <w:tabs>
        <w:tab w:val="left" w:pos="720"/>
        <w:tab w:val="right" w:leader="dot" w:pos="9356"/>
      </w:tabs>
      <w:spacing w:line="300" w:lineRule="exact"/>
      <w:ind w:right="139"/>
    </w:pPr>
    <w:rPr>
      <w:noProof/>
      <w:sz w:val="20"/>
    </w:rPr>
  </w:style>
  <w:style w:type="paragraph" w:styleId="TOC4">
    <w:name w:val="toc 4"/>
    <w:basedOn w:val="Normal"/>
    <w:next w:val="Normal"/>
    <w:uiPriority w:val="39"/>
    <w:rsid w:val="00FB493A"/>
    <w:pPr>
      <w:numPr>
        <w:numId w:val="4"/>
      </w:numPr>
      <w:tabs>
        <w:tab w:val="right" w:leader="dot" w:pos="9350"/>
      </w:tabs>
      <w:spacing w:line="300" w:lineRule="exact"/>
      <w:ind w:right="372"/>
    </w:pPr>
  </w:style>
  <w:style w:type="paragraph" w:styleId="TOC9">
    <w:name w:val="toc 9"/>
    <w:basedOn w:val="Normal"/>
    <w:next w:val="Normal"/>
    <w:uiPriority w:val="39"/>
    <w:rsid w:val="00FB493A"/>
    <w:pPr>
      <w:numPr>
        <w:numId w:val="5"/>
      </w:numPr>
      <w:tabs>
        <w:tab w:val="right" w:pos="1588"/>
        <w:tab w:val="right" w:leader="dot" w:pos="9356"/>
      </w:tabs>
      <w:spacing w:before="300"/>
      <w:ind w:left="357" w:right="142" w:hanging="357"/>
    </w:pPr>
    <w:rPr>
      <w:noProof/>
    </w:rPr>
  </w:style>
  <w:style w:type="paragraph" w:styleId="TOCHeading">
    <w:name w:val="TOC Heading"/>
    <w:basedOn w:val="Base"/>
    <w:qFormat/>
    <w:rsid w:val="00FB493A"/>
    <w:pPr>
      <w:spacing w:after="480" w:line="360" w:lineRule="atLeast"/>
    </w:pPr>
    <w:rPr>
      <w:b/>
      <w:sz w:val="56"/>
      <w:szCs w:val="56"/>
    </w:rPr>
  </w:style>
  <w:style w:type="paragraph" w:styleId="MacroText">
    <w:name w:val="macro"/>
    <w:link w:val="MacroTextChar"/>
    <w:semiHidden/>
    <w:rsid w:val="00FB493A"/>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cs="Arial"/>
      <w:sz w:val="20"/>
      <w:szCs w:val="20"/>
    </w:rPr>
  </w:style>
  <w:style w:type="character" w:customStyle="1" w:styleId="MacroTextChar">
    <w:name w:val="Macro Text Char"/>
    <w:basedOn w:val="DefaultParagraphFont"/>
    <w:link w:val="MacroText"/>
    <w:semiHidden/>
    <w:rsid w:val="00FB493A"/>
    <w:rPr>
      <w:rFonts w:ascii="Consolas" w:eastAsia="Times New Roman" w:hAnsi="Consolas" w:cs="Arial"/>
      <w:sz w:val="20"/>
      <w:szCs w:val="20"/>
    </w:rPr>
  </w:style>
  <w:style w:type="paragraph" w:styleId="ListBullet">
    <w:name w:val="List Bullet"/>
    <w:basedOn w:val="Normal"/>
    <w:qFormat/>
    <w:rsid w:val="00FB493A"/>
    <w:pPr>
      <w:numPr>
        <w:ilvl w:val="4"/>
        <w:numId w:val="6"/>
      </w:numPr>
      <w:outlineLvl w:val="4"/>
    </w:pPr>
  </w:style>
  <w:style w:type="paragraph" w:styleId="ListBullet2">
    <w:name w:val="List Bullet 2"/>
    <w:basedOn w:val="Normal"/>
    <w:qFormat/>
    <w:rsid w:val="00FB493A"/>
    <w:pPr>
      <w:numPr>
        <w:ilvl w:val="5"/>
        <w:numId w:val="6"/>
      </w:numPr>
      <w:outlineLvl w:val="5"/>
    </w:pPr>
  </w:style>
  <w:style w:type="paragraph" w:styleId="ListBullet3">
    <w:name w:val="List Bullet 3"/>
    <w:basedOn w:val="Normal"/>
    <w:qFormat/>
    <w:rsid w:val="00FB493A"/>
    <w:pPr>
      <w:numPr>
        <w:ilvl w:val="6"/>
        <w:numId w:val="6"/>
      </w:numPr>
      <w:outlineLvl w:val="6"/>
    </w:pPr>
  </w:style>
  <w:style w:type="paragraph" w:styleId="ListBullet4">
    <w:name w:val="List Bullet 4"/>
    <w:basedOn w:val="Normal"/>
    <w:qFormat/>
    <w:rsid w:val="00FB493A"/>
    <w:pPr>
      <w:numPr>
        <w:ilvl w:val="7"/>
        <w:numId w:val="6"/>
      </w:numPr>
      <w:outlineLvl w:val="7"/>
    </w:pPr>
  </w:style>
  <w:style w:type="paragraph" w:customStyle="1" w:styleId="ReportTitle">
    <w:name w:val="Report Title"/>
    <w:basedOn w:val="Base"/>
    <w:next w:val="ReportSubtitle"/>
    <w:rsid w:val="00FB493A"/>
    <w:pPr>
      <w:spacing w:after="240" w:line="240" w:lineRule="auto"/>
      <w:ind w:right="2260"/>
    </w:pPr>
    <w:rPr>
      <w:b/>
      <w:bCs/>
      <w:color w:val="002C77"/>
      <w:sz w:val="76"/>
      <w:szCs w:val="76"/>
    </w:rPr>
  </w:style>
  <w:style w:type="table" w:styleId="GridTable1Light-Accent3">
    <w:name w:val="Grid Table 1 Light Accent 3"/>
    <w:basedOn w:val="TableNormal"/>
    <w:uiPriority w:val="46"/>
    <w:rsid w:val="00FB493A"/>
    <w:pPr>
      <w:spacing w:after="0" w:line="240" w:lineRule="auto"/>
    </w:pPr>
    <w:tblPr>
      <w:tblStyleRowBandSize w:val="1"/>
      <w:tblStyleColBandSize w:val="1"/>
      <w:tblBorders>
        <w:top w:val="single" w:sz="4" w:space="0" w:color="CDB3E0" w:themeColor="accent3" w:themeTint="66"/>
        <w:left w:val="single" w:sz="4" w:space="0" w:color="CDB3E0" w:themeColor="accent3" w:themeTint="66"/>
        <w:bottom w:val="single" w:sz="4" w:space="0" w:color="CDB3E0" w:themeColor="accent3" w:themeTint="66"/>
        <w:right w:val="single" w:sz="4" w:space="0" w:color="CDB3E0" w:themeColor="accent3" w:themeTint="66"/>
        <w:insideH w:val="single" w:sz="4" w:space="0" w:color="CDB3E0" w:themeColor="accent3" w:themeTint="66"/>
        <w:insideV w:val="single" w:sz="4" w:space="0" w:color="CDB3E0" w:themeColor="accent3" w:themeTint="66"/>
      </w:tblBorders>
    </w:tblPr>
    <w:tblStylePr w:type="firstRow">
      <w:rPr>
        <w:b/>
        <w:bCs/>
      </w:rPr>
      <w:tblPr/>
      <w:tcPr>
        <w:tcBorders>
          <w:bottom w:val="single" w:sz="12" w:space="0" w:color="B48DD1" w:themeColor="accent3" w:themeTint="99"/>
        </w:tcBorders>
      </w:tcPr>
    </w:tblStylePr>
    <w:tblStylePr w:type="lastRow">
      <w:rPr>
        <w:b/>
        <w:bCs/>
      </w:rPr>
      <w:tblPr/>
      <w:tcPr>
        <w:tcBorders>
          <w:top w:val="double" w:sz="2" w:space="0" w:color="B48DD1" w:themeColor="accent3" w:themeTint="99"/>
        </w:tcBorders>
      </w:tcPr>
    </w:tblStylePr>
    <w:tblStylePr w:type="firstCol">
      <w:rPr>
        <w:b/>
        <w:bCs/>
      </w:rPr>
    </w:tblStylePr>
    <w:tblStylePr w:type="lastCol">
      <w:rPr>
        <w:b/>
        <w:bCs/>
      </w:rPr>
    </w:tblStylePr>
  </w:style>
  <w:style w:type="character" w:styleId="CommentReference">
    <w:name w:val="annotation reference"/>
    <w:basedOn w:val="DefaultParagraphFont"/>
    <w:semiHidden/>
    <w:rsid w:val="00FB493A"/>
    <w:rPr>
      <w:sz w:val="16"/>
      <w:szCs w:val="16"/>
    </w:rPr>
  </w:style>
  <w:style w:type="paragraph" w:styleId="CommentText">
    <w:name w:val="annotation text"/>
    <w:basedOn w:val="Normal"/>
    <w:link w:val="CommentTextChar"/>
    <w:rsid w:val="00FB493A"/>
    <w:pPr>
      <w:spacing w:line="240" w:lineRule="auto"/>
    </w:pPr>
  </w:style>
  <w:style w:type="character" w:customStyle="1" w:styleId="CommentTextChar">
    <w:name w:val="Comment Text Char"/>
    <w:basedOn w:val="DefaultParagraphFont"/>
    <w:link w:val="CommentText"/>
    <w:rsid w:val="00FB493A"/>
  </w:style>
  <w:style w:type="paragraph" w:styleId="CommentSubject">
    <w:name w:val="annotation subject"/>
    <w:basedOn w:val="CommentText"/>
    <w:next w:val="CommentText"/>
    <w:link w:val="CommentSubjectChar"/>
    <w:semiHidden/>
    <w:rsid w:val="00FB493A"/>
    <w:rPr>
      <w:b/>
      <w:bCs/>
    </w:rPr>
  </w:style>
  <w:style w:type="character" w:customStyle="1" w:styleId="CommentSubjectChar">
    <w:name w:val="Comment Subject Char"/>
    <w:basedOn w:val="CommentTextChar"/>
    <w:link w:val="CommentSubject"/>
    <w:semiHidden/>
    <w:rsid w:val="00FB493A"/>
    <w:rPr>
      <w:b/>
      <w:bCs/>
    </w:rPr>
  </w:style>
  <w:style w:type="paragraph" w:styleId="ListParagraph">
    <w:name w:val="List Paragraph"/>
    <w:basedOn w:val="Normal"/>
    <w:uiPriority w:val="34"/>
    <w:semiHidden/>
    <w:qFormat/>
    <w:rsid w:val="00FB493A"/>
    <w:pPr>
      <w:ind w:left="720"/>
      <w:contextualSpacing/>
    </w:pPr>
  </w:style>
  <w:style w:type="paragraph" w:customStyle="1" w:styleId="Endorsementtext">
    <w:name w:val="Endorsement text"/>
    <w:basedOn w:val="Footer"/>
    <w:uiPriority w:val="32"/>
    <w:semiHidden/>
    <w:qFormat/>
    <w:rsid w:val="00FB493A"/>
    <w:rPr>
      <w:color w:val="FFFFFF" w:themeColor="background1"/>
      <w:sz w:val="20"/>
      <w:szCs w:val="20"/>
    </w:rPr>
  </w:style>
  <w:style w:type="paragraph" w:styleId="NormalWeb">
    <w:name w:val="Normal (Web)"/>
    <w:basedOn w:val="Normal"/>
    <w:semiHidden/>
    <w:rsid w:val="00FB493A"/>
    <w:pPr>
      <w:spacing w:before="100" w:beforeAutospacing="1" w:after="100" w:afterAutospacing="1" w:line="240" w:lineRule="auto"/>
    </w:pPr>
    <w:rPr>
      <w:rFonts w:ascii="Times New Roman" w:hAnsi="Times New Roman" w:cs="Times New Roman"/>
      <w:sz w:val="24"/>
      <w:szCs w:val="24"/>
      <w:lang w:eastAsia="en-GB"/>
    </w:rPr>
  </w:style>
  <w:style w:type="paragraph" w:customStyle="1" w:styleId="LegalCompanyAddress">
    <w:name w:val="Legal Company Address"/>
    <w:basedOn w:val="Base"/>
    <w:link w:val="LegalCompanyAddressChar"/>
    <w:rsid w:val="00FB493A"/>
    <w:pPr>
      <w:spacing w:after="0" w:line="240" w:lineRule="auto"/>
    </w:pPr>
  </w:style>
  <w:style w:type="character" w:customStyle="1" w:styleId="LegalCompanyAddressChar">
    <w:name w:val="Legal Company Address Char"/>
    <w:basedOn w:val="DefaultParagraphFont"/>
    <w:link w:val="LegalCompanyAddress"/>
    <w:rsid w:val="00FB493A"/>
    <w:rPr>
      <w:rFonts w:eastAsia="Times New Roman" w:cs="Arial"/>
      <w:szCs w:val="20"/>
      <w:lang w:val="en-US"/>
    </w:rPr>
  </w:style>
  <w:style w:type="paragraph" w:customStyle="1" w:styleId="LegalCompanyName">
    <w:name w:val="Legal Company Name"/>
    <w:basedOn w:val="Base"/>
    <w:link w:val="LegalCompanyNameChar"/>
    <w:rsid w:val="00FB493A"/>
    <w:pPr>
      <w:spacing w:after="0" w:line="240" w:lineRule="auto"/>
    </w:pPr>
    <w:rPr>
      <w:b/>
    </w:rPr>
  </w:style>
  <w:style w:type="character" w:customStyle="1" w:styleId="LegalCompanyNameChar">
    <w:name w:val="Legal Company Name Char"/>
    <w:basedOn w:val="DefaultParagraphFont"/>
    <w:link w:val="LegalCompanyName"/>
    <w:rsid w:val="00FB493A"/>
    <w:rPr>
      <w:rFonts w:eastAsia="Times New Roman" w:cs="Arial"/>
      <w:b/>
      <w:szCs w:val="20"/>
      <w:lang w:val="en-US"/>
    </w:rPr>
  </w:style>
  <w:style w:type="paragraph" w:customStyle="1" w:styleId="LogoHide">
    <w:name w:val="Logo Hide"/>
    <w:basedOn w:val="Base"/>
    <w:link w:val="LogoHideChar"/>
    <w:rsid w:val="00FB493A"/>
    <w:pPr>
      <w:spacing w:line="20" w:lineRule="exact"/>
    </w:pPr>
    <w:rPr>
      <w:rFonts w:cs="Times New Roman"/>
      <w:noProof/>
      <w:sz w:val="2"/>
    </w:rPr>
  </w:style>
  <w:style w:type="paragraph" w:customStyle="1" w:styleId="Copyright">
    <w:name w:val="Copyright"/>
    <w:basedOn w:val="Base"/>
    <w:uiPriority w:val="3"/>
    <w:rsid w:val="00FB493A"/>
    <w:pPr>
      <w:spacing w:after="90" w:line="200" w:lineRule="atLeast"/>
    </w:pPr>
    <w:rPr>
      <w:sz w:val="14"/>
    </w:rPr>
  </w:style>
  <w:style w:type="table" w:styleId="TableGridLight">
    <w:name w:val="Grid Table Light"/>
    <w:basedOn w:val="TableNormal"/>
    <w:uiPriority w:val="40"/>
    <w:rsid w:val="00FB493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sinessOfBack">
    <w:name w:val="Business Of (Back)"/>
    <w:basedOn w:val="Base"/>
    <w:semiHidden/>
    <w:qFormat/>
    <w:rsid w:val="00FB493A"/>
    <w:pPr>
      <w:spacing w:after="0" w:line="240" w:lineRule="auto"/>
    </w:pPr>
    <w:rPr>
      <w:noProof/>
      <w:sz w:val="20"/>
    </w:rPr>
  </w:style>
  <w:style w:type="paragraph" w:styleId="EndnoteText">
    <w:name w:val="endnote text"/>
    <w:basedOn w:val="Normal"/>
    <w:link w:val="EndnoteTextChar"/>
    <w:semiHidden/>
    <w:qFormat/>
    <w:rsid w:val="00FB493A"/>
    <w:pPr>
      <w:spacing w:after="60" w:line="132" w:lineRule="atLeast"/>
    </w:pPr>
    <w:rPr>
      <w:sz w:val="13"/>
      <w:szCs w:val="20"/>
    </w:rPr>
  </w:style>
  <w:style w:type="character" w:customStyle="1" w:styleId="EndnoteTextChar">
    <w:name w:val="Endnote Text Char"/>
    <w:basedOn w:val="DefaultParagraphFont"/>
    <w:link w:val="EndnoteText"/>
    <w:semiHidden/>
    <w:rsid w:val="00FB493A"/>
    <w:rPr>
      <w:rFonts w:cs="Arial"/>
      <w:sz w:val="13"/>
      <w:szCs w:val="20"/>
      <w:lang w:val="en-US"/>
    </w:rPr>
  </w:style>
  <w:style w:type="character" w:styleId="EndnoteReference">
    <w:name w:val="endnote reference"/>
    <w:basedOn w:val="DefaultParagraphFont"/>
    <w:semiHidden/>
    <w:rsid w:val="00FB493A"/>
    <w:rPr>
      <w:vertAlign w:val="superscript"/>
    </w:rPr>
  </w:style>
  <w:style w:type="table" w:customStyle="1" w:styleId="MMCTextTable">
    <w:name w:val="MMC Text Table"/>
    <w:basedOn w:val="MMCTable2"/>
    <w:uiPriority w:val="99"/>
    <w:rsid w:val="00FB493A"/>
    <w:tblPr/>
    <w:tcPr>
      <w:shd w:val="clear" w:color="auto" w:fill="auto"/>
    </w:tcPr>
    <w:tblStylePr w:type="firstRow">
      <w:pPr>
        <w:jc w:val="left"/>
      </w:pPr>
      <w:rPr>
        <w:rFonts w:ascii="Arial" w:hAnsi="Arial"/>
        <w:b/>
        <w:color w:val="002C77"/>
        <w:sz w:val="20"/>
      </w:rPr>
      <w:tblPr/>
      <w:trPr>
        <w:tblHeader/>
      </w:trPr>
      <w:tcPr>
        <w:tcBorders>
          <w:top w:val="nil"/>
          <w:left w:val="nil"/>
          <w:bottom w:val="single" w:sz="12" w:space="0" w:color="002C77"/>
          <w:right w:val="nil"/>
          <w:insideH w:val="nil"/>
          <w:insideV w:val="nil"/>
          <w:tl2br w:val="nil"/>
          <w:tr2bl w:val="nil"/>
        </w:tcBorders>
        <w:shd w:val="clear" w:color="auto" w:fill="auto"/>
      </w:tcPr>
    </w:tblStylePr>
    <w:tblStylePr w:type="lastRow">
      <w:rPr>
        <w:rFonts w:ascii="Arial" w:hAnsi="Arial"/>
        <w:b/>
        <w:color w:val="002C77" w:themeColor="text1"/>
        <w:sz w:val="20"/>
      </w:rPr>
      <w:tblPr/>
      <w:tcPr>
        <w:tcBorders>
          <w:top w:val="single" w:sz="12" w:space="0" w:color="565656" w:themeColor="text2"/>
          <w:bottom w:val="single" w:sz="12" w:space="0" w:color="565656" w:themeColor="text2"/>
        </w:tcBorders>
        <w:shd w:val="clear" w:color="auto" w:fill="auto"/>
      </w:tcPr>
    </w:tblStylePr>
    <w:tblStylePr w:type="firstCol">
      <w:rPr>
        <w:b/>
        <w:color w:val="002C77" w:themeColor="text1"/>
        <w:sz w:val="20"/>
      </w:rPr>
      <w:tblPr/>
      <w:tcPr>
        <w:tcBorders>
          <w:top w:val="single" w:sz="6" w:space="0" w:color="949494"/>
          <w:left w:val="nil"/>
          <w:bottom w:val="single" w:sz="6" w:space="0" w:color="949494"/>
          <w:right w:val="nil"/>
          <w:insideH w:val="single" w:sz="6" w:space="0" w:color="949494"/>
          <w:insideV w:val="nil"/>
        </w:tcBorders>
        <w:shd w:val="clear" w:color="auto" w:fill="FFFFFF" w:themeFill="background1"/>
      </w:tcPr>
    </w:tblStylePr>
    <w:tblStylePr w:type="lastCol">
      <w:rPr>
        <w:rFonts w:ascii="Arial" w:hAnsi="Arial"/>
        <w:b/>
        <w:color w:val="auto"/>
        <w:sz w:val="20"/>
      </w:rPr>
    </w:tblStylePr>
    <w:tblStylePr w:type="band2Vert">
      <w:tblPr/>
      <w:tcPr>
        <w:shd w:val="clear" w:color="auto" w:fill="DDDDDD"/>
      </w:tcPr>
    </w:tblStylePr>
    <w:tblStylePr w:type="nwCell">
      <w:pPr>
        <w:jc w:val="left"/>
      </w:pPr>
      <w:tblPr/>
      <w:tcPr>
        <w:vAlign w:val="center"/>
      </w:tcPr>
    </w:tblStylePr>
    <w:tblStylePr w:type="seCell">
      <w:rPr>
        <w:b/>
        <w:color w:val="auto"/>
      </w:rPr>
    </w:tblStylePr>
    <w:tblStylePr w:type="swCell">
      <w:rPr>
        <w:b/>
      </w:rPr>
    </w:tblStylePr>
  </w:style>
  <w:style w:type="table" w:customStyle="1" w:styleId="MMCTable2">
    <w:name w:val="MMC Table 2"/>
    <w:basedOn w:val="TableNormal"/>
    <w:uiPriority w:val="99"/>
    <w:rsid w:val="00FB493A"/>
    <w:pPr>
      <w:spacing w:before="40" w:after="40" w:line="240" w:lineRule="auto"/>
    </w:pPr>
    <w:rPr>
      <w:lang w:val="en-US"/>
    </w:rPr>
    <w:tblPr>
      <w:tblStyleRowBandSize w:val="1"/>
      <w:tblStyleColBandSize w:val="1"/>
      <w:tblBorders>
        <w:top w:val="single" w:sz="6" w:space="0" w:color="949494"/>
        <w:bottom w:val="single" w:sz="6" w:space="0" w:color="949494"/>
        <w:insideH w:val="single" w:sz="6" w:space="0" w:color="949494"/>
      </w:tblBorders>
      <w:tblCellMar>
        <w:top w:w="28" w:type="dxa"/>
        <w:left w:w="57" w:type="dxa"/>
        <w:bottom w:w="28" w:type="dxa"/>
        <w:right w:w="57" w:type="dxa"/>
      </w:tblCellMar>
    </w:tblPr>
    <w:tcPr>
      <w:shd w:val="clear" w:color="auto" w:fill="auto"/>
    </w:tcPr>
    <w:tblStylePr w:type="firstRow">
      <w:pPr>
        <w:jc w:val="left"/>
      </w:pPr>
      <w:rPr>
        <w:rFonts w:ascii="Arial" w:hAnsi="Arial"/>
        <w:b/>
        <w:color w:val="FFFFFF" w:themeColor="background1"/>
        <w:sz w:val="22"/>
      </w:rPr>
      <w:tblPr/>
      <w:trPr>
        <w:tblHeader/>
      </w:trPr>
      <w:tcPr>
        <w:tcBorders>
          <w:top w:val="nil"/>
          <w:left w:val="nil"/>
          <w:bottom w:val="nil"/>
          <w:right w:val="nil"/>
          <w:insideH w:val="nil"/>
          <w:insideV w:val="single" w:sz="6" w:space="0" w:color="FFFFFF" w:themeColor="background1"/>
          <w:tl2br w:val="nil"/>
          <w:tr2bl w:val="nil"/>
        </w:tcBorders>
        <w:shd w:val="clear" w:color="auto" w:fill="002C77"/>
      </w:tcPr>
    </w:tblStylePr>
    <w:tblStylePr w:type="lastRow">
      <w:rPr>
        <w:rFonts w:ascii="Arial" w:hAnsi="Arial"/>
        <w:b/>
        <w:color w:val="002C77" w:themeColor="text1"/>
        <w:sz w:val="22"/>
      </w:rPr>
      <w:tblPr/>
      <w:tcPr>
        <w:tcBorders>
          <w:top w:val="single" w:sz="12" w:space="0" w:color="565656" w:themeColor="text2"/>
          <w:bottom w:val="single" w:sz="12" w:space="0" w:color="565656" w:themeColor="text2"/>
        </w:tcBorders>
        <w:shd w:val="clear" w:color="auto" w:fill="auto"/>
      </w:tcPr>
    </w:tblStylePr>
    <w:tblStylePr w:type="firstCol">
      <w:rPr>
        <w:b/>
        <w:color w:val="002C77" w:themeColor="text1"/>
        <w:sz w:val="22"/>
      </w:rPr>
    </w:tblStylePr>
    <w:tblStylePr w:type="lastCol">
      <w:rPr>
        <w:rFonts w:ascii="Arial" w:hAnsi="Arial"/>
        <w:b/>
        <w:color w:val="002C77" w:themeColor="text1"/>
        <w:sz w:val="22"/>
      </w:rPr>
    </w:tblStylePr>
    <w:tblStylePr w:type="band2Vert">
      <w:tblPr/>
      <w:tcPr>
        <w:shd w:val="clear" w:color="auto" w:fill="DDDDDD"/>
      </w:tcPr>
    </w:tblStylePr>
    <w:tblStylePr w:type="nwCell">
      <w:pPr>
        <w:jc w:val="left"/>
      </w:pPr>
      <w:tblPr/>
      <w:tcPr>
        <w:vAlign w:val="center"/>
      </w:tcPr>
    </w:tblStylePr>
    <w:tblStylePr w:type="seCell">
      <w:rPr>
        <w:b/>
        <w:color w:val="002C77" w:themeColor="text1"/>
      </w:rPr>
    </w:tblStylePr>
    <w:tblStylePr w:type="swCell">
      <w:rPr>
        <w:b/>
      </w:rPr>
    </w:tblStylePr>
  </w:style>
  <w:style w:type="table" w:styleId="PlainTable2">
    <w:name w:val="Plain Table 2"/>
    <w:basedOn w:val="TableNormal"/>
    <w:uiPriority w:val="42"/>
    <w:rsid w:val="00FB493A"/>
    <w:pPr>
      <w:spacing w:after="0" w:line="240" w:lineRule="auto"/>
    </w:pPr>
    <w:rPr>
      <w:lang w:val="en-US"/>
    </w:rPr>
    <w:tblPr>
      <w:tblStyleRowBandSize w:val="1"/>
      <w:tblStyleColBandSize w:val="1"/>
      <w:tblBorders>
        <w:top w:val="single" w:sz="4" w:space="0" w:color="3A83FF" w:themeColor="text1" w:themeTint="80"/>
        <w:bottom w:val="single" w:sz="4" w:space="0" w:color="3A83FF" w:themeColor="text1" w:themeTint="80"/>
      </w:tblBorders>
    </w:tblPr>
    <w:tblStylePr w:type="firstRow">
      <w:rPr>
        <w:b/>
        <w:bCs/>
      </w:rPr>
      <w:tblPr/>
      <w:tcPr>
        <w:tcBorders>
          <w:bottom w:val="single" w:sz="4" w:space="0" w:color="3A83FF" w:themeColor="text1" w:themeTint="80"/>
        </w:tcBorders>
      </w:tcPr>
    </w:tblStylePr>
    <w:tblStylePr w:type="lastRow">
      <w:rPr>
        <w:b/>
        <w:bCs/>
      </w:rPr>
      <w:tblPr/>
      <w:tcPr>
        <w:tcBorders>
          <w:top w:val="single" w:sz="4" w:space="0" w:color="3A83FF" w:themeColor="text1" w:themeTint="80"/>
        </w:tcBorders>
      </w:tcPr>
    </w:tblStylePr>
    <w:tblStylePr w:type="firstCol">
      <w:rPr>
        <w:b/>
        <w:bCs/>
      </w:rPr>
    </w:tblStylePr>
    <w:tblStylePr w:type="lastCol">
      <w:rPr>
        <w:b/>
        <w:bCs/>
      </w:rPr>
    </w:tblStylePr>
    <w:tblStylePr w:type="band1Vert">
      <w:tblPr/>
      <w:tcPr>
        <w:tcBorders>
          <w:left w:val="single" w:sz="4" w:space="0" w:color="3A83FF" w:themeColor="text1" w:themeTint="80"/>
          <w:right w:val="single" w:sz="4" w:space="0" w:color="3A83FF" w:themeColor="text1" w:themeTint="80"/>
        </w:tcBorders>
      </w:tcPr>
    </w:tblStylePr>
    <w:tblStylePr w:type="band2Vert">
      <w:tblPr/>
      <w:tcPr>
        <w:tcBorders>
          <w:left w:val="single" w:sz="4" w:space="0" w:color="3A83FF" w:themeColor="text1" w:themeTint="80"/>
          <w:right w:val="single" w:sz="4" w:space="0" w:color="3A83FF" w:themeColor="text1" w:themeTint="80"/>
        </w:tcBorders>
      </w:tcPr>
    </w:tblStylePr>
    <w:tblStylePr w:type="band1Horz">
      <w:tblPr/>
      <w:tcPr>
        <w:tcBorders>
          <w:top w:val="single" w:sz="4" w:space="0" w:color="3A83FF" w:themeColor="text1" w:themeTint="80"/>
          <w:bottom w:val="single" w:sz="4" w:space="0" w:color="3A83FF" w:themeColor="text1" w:themeTint="80"/>
        </w:tcBorders>
      </w:tcPr>
    </w:tblStylePr>
  </w:style>
  <w:style w:type="table" w:customStyle="1" w:styleId="MMCTable">
    <w:name w:val="MMC Table"/>
    <w:basedOn w:val="MMCTable2"/>
    <w:uiPriority w:val="99"/>
    <w:rsid w:val="00FB493A"/>
    <w:tblPr>
      <w:tblBorders>
        <w:top w:val="none" w:sz="0" w:space="0" w:color="auto"/>
        <w:bottom w:val="none" w:sz="0" w:space="0" w:color="auto"/>
        <w:insideH w:val="none" w:sz="0" w:space="0" w:color="auto"/>
      </w:tblBorders>
    </w:tblPr>
    <w:tcPr>
      <w:shd w:val="clear" w:color="auto" w:fill="auto"/>
    </w:tcPr>
    <w:tblStylePr w:type="firstRow">
      <w:pPr>
        <w:jc w:val="left"/>
      </w:pPr>
      <w:rPr>
        <w:rFonts w:ascii="Arial" w:hAnsi="Arial"/>
        <w:b/>
        <w:color w:val="FFFFFF" w:themeColor="background1"/>
        <w:sz w:val="22"/>
      </w:rPr>
      <w:tblPr/>
      <w:trPr>
        <w:tblHeader/>
      </w:trPr>
      <w:tcPr>
        <w:tcBorders>
          <w:top w:val="nil"/>
          <w:left w:val="nil"/>
          <w:bottom w:val="nil"/>
          <w:right w:val="nil"/>
          <w:insideH w:val="nil"/>
          <w:insideV w:val="single" w:sz="4" w:space="0" w:color="FFFFFF" w:themeColor="background1"/>
          <w:tl2br w:val="nil"/>
          <w:tr2bl w:val="nil"/>
        </w:tcBorders>
        <w:shd w:val="clear" w:color="auto" w:fill="002C77"/>
      </w:tcPr>
    </w:tblStylePr>
    <w:tblStylePr w:type="lastRow">
      <w:rPr>
        <w:rFonts w:ascii="Arial" w:hAnsi="Arial"/>
        <w:b/>
        <w:color w:val="FFFFFF" w:themeColor="background1"/>
        <w:sz w:val="22"/>
      </w:rPr>
      <w:tblPr/>
      <w:tcPr>
        <w:tcBorders>
          <w:top w:val="nil"/>
          <w:left w:val="nil"/>
          <w:bottom w:val="nil"/>
          <w:right w:val="nil"/>
          <w:insideH w:val="nil"/>
          <w:insideV w:val="nil"/>
          <w:tl2br w:val="nil"/>
          <w:tr2bl w:val="nil"/>
        </w:tcBorders>
        <w:shd w:val="clear" w:color="auto" w:fill="565656" w:themeFill="text2"/>
      </w:tcPr>
    </w:tblStylePr>
    <w:tblStylePr w:type="firstCol">
      <w:rPr>
        <w:b/>
        <w:color w:val="002C77" w:themeColor="text1"/>
        <w:sz w:val="22"/>
      </w:rPr>
    </w:tblStylePr>
    <w:tblStylePr w:type="lastCol">
      <w:rPr>
        <w:rFonts w:ascii="Arial" w:hAnsi="Arial"/>
        <w:b/>
        <w:color w:val="auto"/>
        <w:sz w:val="22"/>
      </w:rPr>
    </w:tblStylePr>
    <w:tblStylePr w:type="band2Vert">
      <w:tblPr/>
      <w:tcPr>
        <w:shd w:val="clear" w:color="auto" w:fill="DDDDDD"/>
      </w:tcPr>
    </w:tblStylePr>
    <w:tblStylePr w:type="band2Horz">
      <w:tblPr/>
      <w:tcPr>
        <w:shd w:val="clear" w:color="auto" w:fill="DDDDDD"/>
      </w:tcPr>
    </w:tblStylePr>
    <w:tblStylePr w:type="nwCell">
      <w:pPr>
        <w:jc w:val="left"/>
      </w:pPr>
      <w:tblPr/>
      <w:tcPr>
        <w:vAlign w:val="center"/>
      </w:tcPr>
    </w:tblStylePr>
    <w:tblStylePr w:type="seCell">
      <w:rPr>
        <w:b/>
        <w:color w:val="FFFFFF" w:themeColor="background1"/>
      </w:rPr>
      <w:tblPr/>
      <w:tcPr>
        <w:shd w:val="clear" w:color="auto" w:fill="565656" w:themeFill="text2"/>
      </w:tcPr>
    </w:tblStylePr>
    <w:tblStylePr w:type="swCell">
      <w:rPr>
        <w:b/>
      </w:rPr>
    </w:tblStylePr>
  </w:style>
  <w:style w:type="table" w:customStyle="1" w:styleId="MMCTable3">
    <w:name w:val="MMC Table 3"/>
    <w:basedOn w:val="MMCTable2"/>
    <w:uiPriority w:val="99"/>
    <w:rsid w:val="00FB493A"/>
    <w:tblPr/>
    <w:tcPr>
      <w:shd w:val="clear" w:color="auto" w:fill="auto"/>
    </w:tcPr>
    <w:tblStylePr w:type="firstRow">
      <w:pPr>
        <w:jc w:val="left"/>
      </w:pPr>
      <w:rPr>
        <w:rFonts w:ascii="Arial" w:hAnsi="Arial"/>
        <w:b/>
        <w:color w:val="FFFFFF" w:themeColor="background1"/>
        <w:sz w:val="22"/>
      </w:rPr>
      <w:tblPr/>
      <w:trPr>
        <w:tblHeader/>
      </w:trPr>
      <w:tcPr>
        <w:tcBorders>
          <w:top w:val="nil"/>
          <w:left w:val="nil"/>
          <w:bottom w:val="nil"/>
          <w:right w:val="nil"/>
          <w:insideH w:val="nil"/>
          <w:insideV w:val="single" w:sz="6" w:space="0" w:color="FFFFFF" w:themeColor="background1"/>
          <w:tl2br w:val="nil"/>
          <w:tr2bl w:val="nil"/>
        </w:tcBorders>
        <w:shd w:val="clear" w:color="auto" w:fill="002C77"/>
      </w:tcPr>
    </w:tblStylePr>
    <w:tblStylePr w:type="lastRow">
      <w:rPr>
        <w:rFonts w:ascii="Arial" w:hAnsi="Arial"/>
        <w:b/>
        <w:color w:val="002C77" w:themeColor="text1"/>
        <w:sz w:val="22"/>
      </w:rPr>
      <w:tblPr/>
      <w:tcPr>
        <w:tcBorders>
          <w:top w:val="single" w:sz="12" w:space="0" w:color="565656" w:themeColor="text2"/>
          <w:bottom w:val="single" w:sz="12" w:space="0" w:color="565656" w:themeColor="text2"/>
        </w:tcBorders>
        <w:shd w:val="clear" w:color="auto" w:fill="auto"/>
      </w:tcPr>
    </w:tblStylePr>
    <w:tblStylePr w:type="firstCol">
      <w:rPr>
        <w:b/>
        <w:color w:val="FFFFFF" w:themeColor="background1"/>
        <w:sz w:val="22"/>
      </w:rPr>
      <w:tblPr/>
      <w:tcPr>
        <w:tcBorders>
          <w:top w:val="nil"/>
          <w:left w:val="nil"/>
          <w:bottom w:val="single" w:sz="4" w:space="0" w:color="F0F0F0" w:themeColor="background2"/>
          <w:right w:val="nil"/>
          <w:insideH w:val="single" w:sz="4" w:space="0" w:color="F0F0F0" w:themeColor="background2"/>
          <w:insideV w:val="nil"/>
          <w:tl2br w:val="nil"/>
          <w:tr2bl w:val="nil"/>
        </w:tcBorders>
        <w:shd w:val="clear" w:color="auto" w:fill="565656" w:themeFill="text2"/>
      </w:tcPr>
    </w:tblStylePr>
    <w:tblStylePr w:type="lastCol">
      <w:rPr>
        <w:rFonts w:ascii="Arial" w:hAnsi="Arial"/>
        <w:b/>
        <w:color w:val="auto"/>
        <w:sz w:val="22"/>
      </w:rPr>
    </w:tblStylePr>
    <w:tblStylePr w:type="band2Vert">
      <w:tblPr/>
      <w:tcPr>
        <w:shd w:val="clear" w:color="auto" w:fill="DDDDDD"/>
      </w:tcPr>
    </w:tblStylePr>
    <w:tblStylePr w:type="nwCell">
      <w:pPr>
        <w:jc w:val="left"/>
      </w:pPr>
      <w:tblPr/>
      <w:tcPr>
        <w:vAlign w:val="center"/>
      </w:tcPr>
    </w:tblStylePr>
    <w:tblStylePr w:type="seCell">
      <w:rPr>
        <w:b/>
        <w:color w:val="auto"/>
      </w:rPr>
    </w:tblStylePr>
    <w:tblStylePr w:type="swCell">
      <w:rPr>
        <w:b/>
        <w:color w:val="FFFFFF" w:themeColor="background1"/>
      </w:rPr>
      <w:tblPr/>
      <w:tcPr>
        <w:tcBorders>
          <w:top w:val="nil"/>
        </w:tcBorders>
        <w:shd w:val="clear" w:color="auto" w:fill="565656" w:themeFill="text2"/>
      </w:tcPr>
    </w:tblStylePr>
  </w:style>
  <w:style w:type="table" w:customStyle="1" w:styleId="MMCTable4">
    <w:name w:val="MMC Table 4"/>
    <w:basedOn w:val="MMCTable2"/>
    <w:uiPriority w:val="99"/>
    <w:rsid w:val="00FB493A"/>
    <w:tblPr>
      <w:tblBorders>
        <w:top w:val="none" w:sz="0" w:space="0" w:color="auto"/>
        <w:bottom w:val="none" w:sz="0" w:space="0" w:color="auto"/>
        <w:insideH w:val="single" w:sz="6" w:space="0" w:color="565656" w:themeColor="text2"/>
        <w:insideV w:val="single" w:sz="6" w:space="0" w:color="565656" w:themeColor="text2"/>
      </w:tblBorders>
    </w:tblPr>
    <w:tcPr>
      <w:shd w:val="clear" w:color="auto" w:fill="auto"/>
    </w:tcPr>
    <w:tblStylePr w:type="firstRow">
      <w:pPr>
        <w:jc w:val="left"/>
      </w:pPr>
      <w:rPr>
        <w:rFonts w:ascii="Arial" w:hAnsi="Arial"/>
        <w:b/>
        <w:color w:val="FFFFFF" w:themeColor="background1"/>
        <w:sz w:val="22"/>
      </w:rPr>
      <w:tblPr/>
      <w:trPr>
        <w:tblHeader/>
      </w:trPr>
      <w:tcPr>
        <w:tcBorders>
          <w:top w:val="nil"/>
          <w:left w:val="nil"/>
          <w:bottom w:val="nil"/>
          <w:right w:val="nil"/>
          <w:insideH w:val="nil"/>
          <w:insideV w:val="single" w:sz="4" w:space="0" w:color="FFFFFF" w:themeColor="background1"/>
          <w:tl2br w:val="nil"/>
          <w:tr2bl w:val="nil"/>
        </w:tcBorders>
        <w:shd w:val="clear" w:color="auto" w:fill="002C77"/>
      </w:tcPr>
    </w:tblStylePr>
    <w:tblStylePr w:type="lastRow">
      <w:rPr>
        <w:rFonts w:ascii="Arial" w:hAnsi="Arial"/>
        <w:b/>
        <w:color w:val="002C77" w:themeColor="text1"/>
        <w:sz w:val="22"/>
      </w:rPr>
      <w:tblPr/>
      <w:tcPr>
        <w:tcBorders>
          <w:top w:val="single" w:sz="12" w:space="0" w:color="565656" w:themeColor="text2"/>
          <w:bottom w:val="single" w:sz="12" w:space="0" w:color="565656" w:themeColor="text2"/>
        </w:tcBorders>
        <w:shd w:val="clear" w:color="auto" w:fill="auto"/>
      </w:tcPr>
    </w:tblStylePr>
    <w:tblStylePr w:type="firstCol">
      <w:rPr>
        <w:b/>
        <w:color w:val="002C77" w:themeColor="text1"/>
        <w:sz w:val="22"/>
      </w:rPr>
      <w:tblPr/>
      <w:tcPr>
        <w:tcBorders>
          <w:top w:val="nil"/>
          <w:left w:val="nil"/>
          <w:bottom w:val="nil"/>
          <w:right w:val="nil"/>
          <w:insideH w:val="single" w:sz="6" w:space="0" w:color="565656" w:themeColor="text2"/>
          <w:insideV w:val="nil"/>
          <w:tl2br w:val="nil"/>
          <w:tr2bl w:val="nil"/>
        </w:tcBorders>
        <w:shd w:val="clear" w:color="auto" w:fill="auto"/>
      </w:tcPr>
    </w:tblStylePr>
    <w:tblStylePr w:type="lastCol">
      <w:rPr>
        <w:rFonts w:ascii="Arial" w:hAnsi="Arial"/>
        <w:b/>
        <w:color w:val="FFFFFF" w:themeColor="background1"/>
        <w:sz w:val="22"/>
      </w:rPr>
      <w:tblPr/>
      <w:tcPr>
        <w:tcBorders>
          <w:insideH w:val="single" w:sz="4" w:space="0" w:color="FFFFFF" w:themeColor="background1"/>
        </w:tcBorders>
        <w:shd w:val="clear" w:color="auto" w:fill="565656" w:themeFill="text2"/>
      </w:tcPr>
    </w:tblStylePr>
    <w:tblStylePr w:type="band2Vert">
      <w:tblPr/>
      <w:tcPr>
        <w:shd w:val="clear" w:color="auto" w:fill="DDDDDD"/>
      </w:tcPr>
    </w:tblStylePr>
    <w:tblStylePr w:type="nwCell">
      <w:pPr>
        <w:jc w:val="left"/>
      </w:pPr>
      <w:tblPr/>
      <w:tcPr>
        <w:vAlign w:val="center"/>
      </w:tcPr>
    </w:tblStylePr>
    <w:tblStylePr w:type="seCell">
      <w:rPr>
        <w:b/>
        <w:color w:val="FFFFFF" w:themeColor="background1"/>
      </w:rPr>
      <w:tblPr/>
      <w:tcPr>
        <w:tcBorders>
          <w:top w:val="nil"/>
        </w:tcBorders>
        <w:shd w:val="clear" w:color="auto" w:fill="565656" w:themeFill="text2"/>
      </w:tcPr>
    </w:tblStylePr>
    <w:tblStylePr w:type="swCell">
      <w:rPr>
        <w:b/>
      </w:rPr>
    </w:tblStylePr>
  </w:style>
  <w:style w:type="paragraph" w:customStyle="1" w:styleId="BaseBold">
    <w:name w:val="Base Bold"/>
    <w:basedOn w:val="Normal"/>
    <w:next w:val="Base"/>
    <w:link w:val="BaseBoldChar"/>
    <w:rsid w:val="00FB493A"/>
    <w:rPr>
      <w:b/>
    </w:rPr>
  </w:style>
  <w:style w:type="character" w:customStyle="1" w:styleId="BaseBoldChar">
    <w:name w:val="Base Bold Char"/>
    <w:basedOn w:val="DefaultParagraphFont"/>
    <w:link w:val="BaseBold"/>
    <w:rsid w:val="00FB493A"/>
    <w:rPr>
      <w:rFonts w:cs="Arial"/>
      <w:b/>
      <w:lang w:val="en-US"/>
    </w:rPr>
  </w:style>
  <w:style w:type="paragraph" w:styleId="ListNumber">
    <w:name w:val="List Number"/>
    <w:basedOn w:val="Normal"/>
    <w:qFormat/>
    <w:rsid w:val="00FB493A"/>
    <w:pPr>
      <w:numPr>
        <w:ilvl w:val="5"/>
        <w:numId w:val="8"/>
      </w:numPr>
      <w:outlineLvl w:val="5"/>
    </w:pPr>
  </w:style>
  <w:style w:type="paragraph" w:styleId="ListNumber2">
    <w:name w:val="List Number 2"/>
    <w:basedOn w:val="Normal"/>
    <w:semiHidden/>
    <w:qFormat/>
    <w:rsid w:val="00FB493A"/>
    <w:pPr>
      <w:numPr>
        <w:ilvl w:val="6"/>
        <w:numId w:val="8"/>
      </w:numPr>
      <w:outlineLvl w:val="6"/>
    </w:pPr>
  </w:style>
  <w:style w:type="paragraph" w:styleId="ListNumber3">
    <w:name w:val="List Number 3"/>
    <w:basedOn w:val="Normal"/>
    <w:semiHidden/>
    <w:qFormat/>
    <w:rsid w:val="00FB493A"/>
    <w:pPr>
      <w:numPr>
        <w:ilvl w:val="7"/>
        <w:numId w:val="8"/>
      </w:numPr>
      <w:outlineLvl w:val="7"/>
    </w:pPr>
  </w:style>
  <w:style w:type="paragraph" w:styleId="ListNumber4">
    <w:name w:val="List Number 4"/>
    <w:basedOn w:val="Normal"/>
    <w:semiHidden/>
    <w:qFormat/>
    <w:rsid w:val="00FB493A"/>
    <w:pPr>
      <w:numPr>
        <w:ilvl w:val="8"/>
        <w:numId w:val="8"/>
      </w:numPr>
      <w:outlineLvl w:val="8"/>
    </w:pPr>
  </w:style>
  <w:style w:type="paragraph" w:customStyle="1" w:styleId="Questions">
    <w:name w:val="Questions"/>
    <w:basedOn w:val="Normal"/>
    <w:next w:val="Normal"/>
    <w:link w:val="QuestionsChar"/>
    <w:qFormat/>
    <w:rsid w:val="00FB493A"/>
    <w:pPr>
      <w:keepNext/>
    </w:pPr>
    <w:rPr>
      <w:b/>
    </w:rPr>
  </w:style>
  <w:style w:type="character" w:customStyle="1" w:styleId="QuestionsChar">
    <w:name w:val="Questions Char"/>
    <w:basedOn w:val="DefaultParagraphFont"/>
    <w:link w:val="Questions"/>
    <w:rsid w:val="00FB493A"/>
    <w:rPr>
      <w:rFonts w:cs="Arial"/>
      <w:b/>
      <w:lang w:val="en-US"/>
    </w:rPr>
  </w:style>
  <w:style w:type="paragraph" w:styleId="Quote">
    <w:name w:val="Quote"/>
    <w:basedOn w:val="Normal"/>
    <w:next w:val="Normal"/>
    <w:link w:val="QuoteChar"/>
    <w:qFormat/>
    <w:rsid w:val="00FB493A"/>
    <w:pPr>
      <w:spacing w:line="320" w:lineRule="atLeast"/>
    </w:pPr>
    <w:rPr>
      <w:b/>
      <w:iCs/>
      <w:sz w:val="28"/>
    </w:rPr>
  </w:style>
  <w:style w:type="character" w:customStyle="1" w:styleId="QuoteChar">
    <w:name w:val="Quote Char"/>
    <w:basedOn w:val="DefaultParagraphFont"/>
    <w:link w:val="Quote"/>
    <w:uiPriority w:val="29"/>
    <w:rsid w:val="00FB493A"/>
    <w:rPr>
      <w:rFonts w:cs="Arial"/>
      <w:b/>
      <w:iCs/>
      <w:sz w:val="28"/>
      <w:lang w:val="en-US"/>
    </w:rPr>
  </w:style>
  <w:style w:type="paragraph" w:customStyle="1" w:styleId="TableBullet1">
    <w:name w:val="Table Bullet 1"/>
    <w:basedOn w:val="Normal"/>
    <w:link w:val="TableBullet1Char"/>
    <w:unhideWhenUsed/>
    <w:qFormat/>
    <w:rsid w:val="00FB493A"/>
    <w:pPr>
      <w:numPr>
        <w:ilvl w:val="4"/>
        <w:numId w:val="9"/>
      </w:numPr>
      <w:spacing w:before="40" w:after="40" w:line="240" w:lineRule="auto"/>
      <w:outlineLvl w:val="4"/>
    </w:pPr>
  </w:style>
  <w:style w:type="character" w:customStyle="1" w:styleId="TableBullet1Char">
    <w:name w:val="Table Bullet 1 Char"/>
    <w:basedOn w:val="DefaultParagraphFont"/>
    <w:link w:val="TableBullet1"/>
    <w:rsid w:val="00FB493A"/>
    <w:rPr>
      <w:rFonts w:cs="Arial"/>
      <w:lang w:val="en-US"/>
    </w:rPr>
  </w:style>
  <w:style w:type="paragraph" w:customStyle="1" w:styleId="TableBullet2">
    <w:name w:val="Table Bullet 2"/>
    <w:basedOn w:val="Normal"/>
    <w:link w:val="TableBullet2Char"/>
    <w:unhideWhenUsed/>
    <w:qFormat/>
    <w:rsid w:val="00FB493A"/>
    <w:pPr>
      <w:numPr>
        <w:ilvl w:val="5"/>
        <w:numId w:val="9"/>
      </w:numPr>
      <w:spacing w:before="40" w:after="40" w:line="240" w:lineRule="auto"/>
      <w:outlineLvl w:val="5"/>
    </w:pPr>
  </w:style>
  <w:style w:type="character" w:customStyle="1" w:styleId="TableBullet2Char">
    <w:name w:val="Table Bullet 2 Char"/>
    <w:basedOn w:val="DefaultParagraphFont"/>
    <w:link w:val="TableBullet2"/>
    <w:rsid w:val="00FB493A"/>
    <w:rPr>
      <w:rFonts w:cs="Arial"/>
      <w:lang w:val="en-US"/>
    </w:rPr>
  </w:style>
  <w:style w:type="paragraph" w:customStyle="1" w:styleId="TableBullet3">
    <w:name w:val="Table Bullet 3"/>
    <w:basedOn w:val="Normal"/>
    <w:link w:val="TableBullet3Char"/>
    <w:unhideWhenUsed/>
    <w:qFormat/>
    <w:rsid w:val="00FB493A"/>
    <w:pPr>
      <w:numPr>
        <w:ilvl w:val="6"/>
        <w:numId w:val="9"/>
      </w:numPr>
      <w:spacing w:before="40" w:after="40" w:line="240" w:lineRule="auto"/>
      <w:outlineLvl w:val="6"/>
    </w:pPr>
  </w:style>
  <w:style w:type="character" w:customStyle="1" w:styleId="TableBullet3Char">
    <w:name w:val="Table Bullet 3 Char"/>
    <w:basedOn w:val="DefaultParagraphFont"/>
    <w:link w:val="TableBullet3"/>
    <w:rsid w:val="00FB493A"/>
    <w:rPr>
      <w:rFonts w:cs="Arial"/>
      <w:lang w:val="en-US"/>
    </w:rPr>
  </w:style>
  <w:style w:type="paragraph" w:customStyle="1" w:styleId="TableBullet4">
    <w:name w:val="Table Bullet 4"/>
    <w:basedOn w:val="Normal"/>
    <w:link w:val="TableBullet4Char"/>
    <w:unhideWhenUsed/>
    <w:qFormat/>
    <w:rsid w:val="00FB493A"/>
    <w:pPr>
      <w:numPr>
        <w:ilvl w:val="7"/>
        <w:numId w:val="9"/>
      </w:numPr>
      <w:spacing w:before="40" w:after="40" w:line="240" w:lineRule="auto"/>
      <w:outlineLvl w:val="7"/>
    </w:pPr>
  </w:style>
  <w:style w:type="character" w:customStyle="1" w:styleId="TableBullet4Char">
    <w:name w:val="Table Bullet 4 Char"/>
    <w:basedOn w:val="DefaultParagraphFont"/>
    <w:link w:val="TableBullet4"/>
    <w:rsid w:val="00FB493A"/>
    <w:rPr>
      <w:rFonts w:cs="Arial"/>
      <w:lang w:val="en-US"/>
    </w:rPr>
  </w:style>
  <w:style w:type="paragraph" w:customStyle="1" w:styleId="TableHeadingText">
    <w:name w:val="Table Heading Text"/>
    <w:basedOn w:val="Normal"/>
    <w:link w:val="TableHeadingTextChar"/>
    <w:qFormat/>
    <w:rsid w:val="00FB493A"/>
    <w:pPr>
      <w:keepNext/>
      <w:spacing w:before="40" w:after="40" w:line="240" w:lineRule="auto"/>
    </w:pPr>
    <w:rPr>
      <w:b/>
      <w:color w:val="FFFFFF" w:themeColor="background1"/>
    </w:rPr>
  </w:style>
  <w:style w:type="character" w:customStyle="1" w:styleId="TableHeadingTextChar">
    <w:name w:val="Table Heading Text Char"/>
    <w:basedOn w:val="DefaultParagraphFont"/>
    <w:link w:val="TableHeadingText"/>
    <w:rsid w:val="00FB493A"/>
    <w:rPr>
      <w:rFonts w:cs="Arial"/>
      <w:b/>
      <w:color w:val="FFFFFF" w:themeColor="background1"/>
      <w:lang w:val="en-US"/>
    </w:rPr>
  </w:style>
  <w:style w:type="paragraph" w:customStyle="1" w:styleId="TableText">
    <w:name w:val="Table Text"/>
    <w:basedOn w:val="Normal"/>
    <w:link w:val="TableTextChar"/>
    <w:qFormat/>
    <w:rsid w:val="00FB493A"/>
    <w:pPr>
      <w:spacing w:before="40" w:after="40" w:line="240" w:lineRule="auto"/>
    </w:pPr>
  </w:style>
  <w:style w:type="character" w:customStyle="1" w:styleId="TableTextChar">
    <w:name w:val="Table Text Char"/>
    <w:basedOn w:val="DefaultParagraphFont"/>
    <w:link w:val="TableText"/>
    <w:rsid w:val="00FB493A"/>
    <w:rPr>
      <w:rFonts w:cs="Arial"/>
      <w:lang w:val="en-US"/>
    </w:rPr>
  </w:style>
  <w:style w:type="paragraph" w:styleId="Bibliography">
    <w:name w:val="Bibliography"/>
    <w:basedOn w:val="Normal"/>
    <w:next w:val="Normal"/>
    <w:uiPriority w:val="37"/>
    <w:semiHidden/>
    <w:rsid w:val="00FB493A"/>
  </w:style>
  <w:style w:type="character" w:styleId="BookTitle">
    <w:name w:val="Book Title"/>
    <w:basedOn w:val="DefaultParagraphFont"/>
    <w:uiPriority w:val="33"/>
    <w:semiHidden/>
    <w:qFormat/>
    <w:rsid w:val="00FB493A"/>
    <w:rPr>
      <w:b/>
      <w:bCs/>
      <w:i/>
      <w:iCs/>
      <w:spacing w:val="5"/>
    </w:rPr>
  </w:style>
  <w:style w:type="paragraph" w:styleId="Caption">
    <w:name w:val="caption"/>
    <w:basedOn w:val="Normal"/>
    <w:next w:val="Normal"/>
    <w:semiHidden/>
    <w:qFormat/>
    <w:rsid w:val="00FB493A"/>
    <w:pPr>
      <w:spacing w:after="200" w:line="240" w:lineRule="auto"/>
    </w:pPr>
    <w:rPr>
      <w:i/>
      <w:iCs/>
      <w:color w:val="565656" w:themeColor="text2"/>
      <w:sz w:val="18"/>
      <w:szCs w:val="18"/>
    </w:rPr>
  </w:style>
  <w:style w:type="paragraph" w:styleId="DocumentMap">
    <w:name w:val="Document Map"/>
    <w:basedOn w:val="Normal"/>
    <w:link w:val="DocumentMapChar"/>
    <w:semiHidden/>
    <w:rsid w:val="00FB493A"/>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FB493A"/>
    <w:rPr>
      <w:rFonts w:ascii="Segoe UI" w:hAnsi="Segoe UI" w:cs="Segoe UI"/>
      <w:sz w:val="16"/>
      <w:szCs w:val="16"/>
      <w:lang w:val="en-US"/>
    </w:rPr>
  </w:style>
  <w:style w:type="paragraph" w:styleId="NoSpacing">
    <w:name w:val="No Spacing"/>
    <w:uiPriority w:val="1"/>
    <w:semiHidden/>
    <w:qFormat/>
    <w:rsid w:val="00FB493A"/>
    <w:pPr>
      <w:spacing w:after="0" w:line="240" w:lineRule="auto"/>
    </w:pPr>
    <w:rPr>
      <w:rFonts w:cs="Arial"/>
      <w:lang w:val="en-US"/>
    </w:rPr>
  </w:style>
  <w:style w:type="paragraph" w:styleId="TableofAuthorities">
    <w:name w:val="table of authorities"/>
    <w:basedOn w:val="Normal"/>
    <w:next w:val="Normal"/>
    <w:semiHidden/>
    <w:rsid w:val="00FB493A"/>
    <w:pPr>
      <w:spacing w:after="0"/>
      <w:ind w:left="220" w:hanging="220"/>
    </w:pPr>
  </w:style>
  <w:style w:type="paragraph" w:styleId="TableofFigures">
    <w:name w:val="table of figures"/>
    <w:basedOn w:val="Normal"/>
    <w:next w:val="Normal"/>
    <w:semiHidden/>
    <w:rsid w:val="00FB493A"/>
    <w:pPr>
      <w:spacing w:after="0"/>
    </w:pPr>
  </w:style>
  <w:style w:type="paragraph" w:styleId="TOAHeading">
    <w:name w:val="toa heading"/>
    <w:basedOn w:val="Normal"/>
    <w:next w:val="Normal"/>
    <w:semiHidden/>
    <w:rsid w:val="00FB493A"/>
    <w:pPr>
      <w:spacing w:before="120"/>
    </w:pPr>
    <w:rPr>
      <w:rFonts w:asciiTheme="majorHAnsi" w:eastAsiaTheme="majorEastAsia" w:hAnsiTheme="majorHAnsi" w:cstheme="majorBidi"/>
      <w:b/>
      <w:bCs/>
      <w:sz w:val="24"/>
      <w:szCs w:val="24"/>
    </w:rPr>
  </w:style>
  <w:style w:type="character" w:styleId="HTMLAcronym">
    <w:name w:val="HTML Acronym"/>
    <w:basedOn w:val="DefaultParagraphFont"/>
    <w:semiHidden/>
    <w:rsid w:val="00FB493A"/>
  </w:style>
  <w:style w:type="paragraph" w:styleId="HTMLAddress">
    <w:name w:val="HTML Address"/>
    <w:basedOn w:val="Normal"/>
    <w:link w:val="HTMLAddressChar"/>
    <w:semiHidden/>
    <w:rsid w:val="00FB493A"/>
    <w:pPr>
      <w:spacing w:after="0" w:line="240" w:lineRule="auto"/>
    </w:pPr>
    <w:rPr>
      <w:i/>
      <w:iCs/>
    </w:rPr>
  </w:style>
  <w:style w:type="character" w:customStyle="1" w:styleId="HTMLAddressChar">
    <w:name w:val="HTML Address Char"/>
    <w:basedOn w:val="DefaultParagraphFont"/>
    <w:link w:val="HTMLAddress"/>
    <w:semiHidden/>
    <w:rsid w:val="00FB493A"/>
    <w:rPr>
      <w:rFonts w:cs="Arial"/>
      <w:i/>
      <w:iCs/>
      <w:lang w:val="en-US"/>
    </w:rPr>
  </w:style>
  <w:style w:type="character" w:styleId="HTMLCite">
    <w:name w:val="HTML Cite"/>
    <w:basedOn w:val="DefaultParagraphFont"/>
    <w:semiHidden/>
    <w:rsid w:val="00FB493A"/>
    <w:rPr>
      <w:i/>
      <w:iCs/>
    </w:rPr>
  </w:style>
  <w:style w:type="character" w:styleId="HTMLCode">
    <w:name w:val="HTML Code"/>
    <w:basedOn w:val="DefaultParagraphFont"/>
    <w:semiHidden/>
    <w:rsid w:val="00FB493A"/>
    <w:rPr>
      <w:rFonts w:ascii="Consolas" w:hAnsi="Consolas"/>
      <w:sz w:val="20"/>
      <w:szCs w:val="20"/>
    </w:rPr>
  </w:style>
  <w:style w:type="character" w:styleId="HTMLDefinition">
    <w:name w:val="HTML Definition"/>
    <w:basedOn w:val="DefaultParagraphFont"/>
    <w:semiHidden/>
    <w:rsid w:val="00FB493A"/>
    <w:rPr>
      <w:i/>
      <w:iCs/>
    </w:rPr>
  </w:style>
  <w:style w:type="character" w:styleId="HTMLKeyboard">
    <w:name w:val="HTML Keyboard"/>
    <w:basedOn w:val="DefaultParagraphFont"/>
    <w:semiHidden/>
    <w:rsid w:val="00FB493A"/>
    <w:rPr>
      <w:rFonts w:ascii="Consolas" w:hAnsi="Consolas"/>
      <w:sz w:val="20"/>
      <w:szCs w:val="20"/>
    </w:rPr>
  </w:style>
  <w:style w:type="paragraph" w:styleId="HTMLPreformatted">
    <w:name w:val="HTML Preformatted"/>
    <w:basedOn w:val="Normal"/>
    <w:link w:val="HTMLPreformattedChar"/>
    <w:semiHidden/>
    <w:rsid w:val="00FB493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FB493A"/>
    <w:rPr>
      <w:rFonts w:ascii="Consolas" w:hAnsi="Consolas" w:cs="Arial"/>
      <w:sz w:val="20"/>
      <w:szCs w:val="20"/>
      <w:lang w:val="en-US"/>
    </w:rPr>
  </w:style>
  <w:style w:type="character" w:styleId="HTMLSample">
    <w:name w:val="HTML Sample"/>
    <w:basedOn w:val="DefaultParagraphFont"/>
    <w:semiHidden/>
    <w:rsid w:val="00FB493A"/>
    <w:rPr>
      <w:rFonts w:ascii="Consolas" w:hAnsi="Consolas"/>
      <w:sz w:val="24"/>
      <w:szCs w:val="24"/>
    </w:rPr>
  </w:style>
  <w:style w:type="character" w:styleId="HTMLTypewriter">
    <w:name w:val="HTML Typewriter"/>
    <w:basedOn w:val="DefaultParagraphFont"/>
    <w:semiHidden/>
    <w:rsid w:val="00FB493A"/>
    <w:rPr>
      <w:rFonts w:ascii="Consolas" w:hAnsi="Consolas"/>
      <w:sz w:val="20"/>
      <w:szCs w:val="20"/>
    </w:rPr>
  </w:style>
  <w:style w:type="character" w:styleId="HTMLVariable">
    <w:name w:val="HTML Variable"/>
    <w:basedOn w:val="DefaultParagraphFont"/>
    <w:semiHidden/>
    <w:rsid w:val="00FB493A"/>
    <w:rPr>
      <w:i/>
      <w:iCs/>
    </w:rPr>
  </w:style>
  <w:style w:type="paragraph" w:styleId="Index1">
    <w:name w:val="index 1"/>
    <w:basedOn w:val="Normal"/>
    <w:next w:val="Normal"/>
    <w:autoRedefine/>
    <w:semiHidden/>
    <w:rsid w:val="00FB493A"/>
    <w:pPr>
      <w:spacing w:after="0" w:line="240" w:lineRule="auto"/>
      <w:ind w:left="220" w:hanging="220"/>
    </w:pPr>
  </w:style>
  <w:style w:type="paragraph" w:styleId="Index2">
    <w:name w:val="index 2"/>
    <w:basedOn w:val="Normal"/>
    <w:next w:val="Normal"/>
    <w:autoRedefine/>
    <w:semiHidden/>
    <w:rsid w:val="00FB493A"/>
    <w:pPr>
      <w:spacing w:after="0" w:line="240" w:lineRule="auto"/>
      <w:ind w:left="440" w:hanging="220"/>
    </w:pPr>
  </w:style>
  <w:style w:type="paragraph" w:styleId="Index3">
    <w:name w:val="index 3"/>
    <w:basedOn w:val="Normal"/>
    <w:next w:val="Normal"/>
    <w:autoRedefine/>
    <w:semiHidden/>
    <w:rsid w:val="00FB493A"/>
    <w:pPr>
      <w:spacing w:after="0" w:line="240" w:lineRule="auto"/>
      <w:ind w:left="660" w:hanging="220"/>
    </w:pPr>
  </w:style>
  <w:style w:type="paragraph" w:styleId="Index4">
    <w:name w:val="index 4"/>
    <w:basedOn w:val="Normal"/>
    <w:next w:val="Normal"/>
    <w:autoRedefine/>
    <w:semiHidden/>
    <w:rsid w:val="00FB493A"/>
    <w:pPr>
      <w:spacing w:after="0" w:line="240" w:lineRule="auto"/>
      <w:ind w:left="880" w:hanging="220"/>
    </w:pPr>
  </w:style>
  <w:style w:type="paragraph" w:styleId="Index5">
    <w:name w:val="index 5"/>
    <w:basedOn w:val="Normal"/>
    <w:next w:val="Normal"/>
    <w:autoRedefine/>
    <w:semiHidden/>
    <w:rsid w:val="00FB493A"/>
    <w:pPr>
      <w:spacing w:after="0" w:line="240" w:lineRule="auto"/>
      <w:ind w:left="1100" w:hanging="220"/>
    </w:pPr>
  </w:style>
  <w:style w:type="paragraph" w:styleId="Index6">
    <w:name w:val="index 6"/>
    <w:basedOn w:val="Normal"/>
    <w:next w:val="Normal"/>
    <w:autoRedefine/>
    <w:semiHidden/>
    <w:rsid w:val="00FB493A"/>
    <w:pPr>
      <w:spacing w:after="0" w:line="240" w:lineRule="auto"/>
      <w:ind w:left="1320" w:hanging="220"/>
    </w:pPr>
  </w:style>
  <w:style w:type="paragraph" w:styleId="Index7">
    <w:name w:val="index 7"/>
    <w:basedOn w:val="Normal"/>
    <w:next w:val="Normal"/>
    <w:autoRedefine/>
    <w:semiHidden/>
    <w:rsid w:val="00FB493A"/>
    <w:pPr>
      <w:spacing w:after="0" w:line="240" w:lineRule="auto"/>
      <w:ind w:left="1540" w:hanging="220"/>
    </w:pPr>
  </w:style>
  <w:style w:type="paragraph" w:styleId="Index8">
    <w:name w:val="index 8"/>
    <w:basedOn w:val="Normal"/>
    <w:next w:val="Normal"/>
    <w:autoRedefine/>
    <w:semiHidden/>
    <w:rsid w:val="00FB493A"/>
    <w:pPr>
      <w:spacing w:after="0" w:line="240" w:lineRule="auto"/>
      <w:ind w:left="1760" w:hanging="220"/>
    </w:pPr>
  </w:style>
  <w:style w:type="paragraph" w:styleId="Index9">
    <w:name w:val="index 9"/>
    <w:basedOn w:val="Normal"/>
    <w:next w:val="Normal"/>
    <w:autoRedefine/>
    <w:semiHidden/>
    <w:rsid w:val="00FB493A"/>
    <w:pPr>
      <w:spacing w:after="0" w:line="240" w:lineRule="auto"/>
      <w:ind w:left="1980" w:hanging="220"/>
    </w:pPr>
  </w:style>
  <w:style w:type="paragraph" w:styleId="IndexHeading">
    <w:name w:val="index heading"/>
    <w:basedOn w:val="Normal"/>
    <w:next w:val="Index1"/>
    <w:semiHidden/>
    <w:rsid w:val="00FB493A"/>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FB493A"/>
    <w:rPr>
      <w:i/>
      <w:iCs/>
      <w:color w:val="009DE0" w:themeColor="accent1"/>
    </w:rPr>
  </w:style>
  <w:style w:type="paragraph" w:styleId="IntenseQuote">
    <w:name w:val="Intense Quote"/>
    <w:basedOn w:val="Normal"/>
    <w:next w:val="Normal"/>
    <w:link w:val="IntenseQuoteChar"/>
    <w:uiPriority w:val="30"/>
    <w:semiHidden/>
    <w:qFormat/>
    <w:rsid w:val="00FB493A"/>
    <w:pPr>
      <w:pBdr>
        <w:top w:val="single" w:sz="4" w:space="10" w:color="009DE0" w:themeColor="accent1"/>
        <w:bottom w:val="single" w:sz="4" w:space="10" w:color="009DE0" w:themeColor="accent1"/>
      </w:pBdr>
      <w:spacing w:before="360" w:after="360"/>
      <w:ind w:left="864" w:right="864"/>
      <w:jc w:val="center"/>
    </w:pPr>
    <w:rPr>
      <w:i/>
      <w:iCs/>
      <w:color w:val="009DE0" w:themeColor="accent1"/>
    </w:rPr>
  </w:style>
  <w:style w:type="character" w:customStyle="1" w:styleId="IntenseQuoteChar">
    <w:name w:val="Intense Quote Char"/>
    <w:basedOn w:val="DefaultParagraphFont"/>
    <w:link w:val="IntenseQuote"/>
    <w:uiPriority w:val="30"/>
    <w:rsid w:val="00FB493A"/>
    <w:rPr>
      <w:rFonts w:cs="Arial"/>
      <w:i/>
      <w:iCs/>
      <w:color w:val="009DE0" w:themeColor="accent1"/>
      <w:lang w:val="en-US"/>
    </w:rPr>
  </w:style>
  <w:style w:type="character" w:styleId="IntenseReference">
    <w:name w:val="Intense Reference"/>
    <w:basedOn w:val="DefaultParagraphFont"/>
    <w:uiPriority w:val="32"/>
    <w:semiHidden/>
    <w:qFormat/>
    <w:rsid w:val="00FB493A"/>
    <w:rPr>
      <w:b/>
      <w:bCs/>
      <w:smallCaps/>
      <w:color w:val="009DE0" w:themeColor="accent1"/>
      <w:spacing w:val="5"/>
    </w:rPr>
  </w:style>
  <w:style w:type="character" w:styleId="SubtleEmphasis">
    <w:name w:val="Subtle Emphasis"/>
    <w:basedOn w:val="DefaultParagraphFont"/>
    <w:uiPriority w:val="19"/>
    <w:semiHidden/>
    <w:qFormat/>
    <w:rsid w:val="00FB493A"/>
    <w:rPr>
      <w:i/>
      <w:iCs/>
      <w:color w:val="004FD9" w:themeColor="text1" w:themeTint="BF"/>
    </w:rPr>
  </w:style>
  <w:style w:type="character" w:styleId="SubtleReference">
    <w:name w:val="Subtle Reference"/>
    <w:basedOn w:val="DefaultParagraphFont"/>
    <w:uiPriority w:val="31"/>
    <w:semiHidden/>
    <w:qFormat/>
    <w:rsid w:val="00FB493A"/>
    <w:rPr>
      <w:smallCaps/>
      <w:color w:val="025FFF" w:themeColor="text1" w:themeTint="A5"/>
    </w:rPr>
  </w:style>
  <w:style w:type="paragraph" w:customStyle="1" w:styleId="TableLogoText">
    <w:name w:val="Table Logo Text"/>
    <w:basedOn w:val="Base"/>
    <w:rsid w:val="00FB493A"/>
    <w:pPr>
      <w:spacing w:after="0" w:line="240" w:lineRule="auto"/>
    </w:pPr>
    <w:rPr>
      <w:color w:val="404040"/>
      <w:sz w:val="24"/>
    </w:rPr>
  </w:style>
  <w:style w:type="paragraph" w:customStyle="1" w:styleId="AddressBlock">
    <w:name w:val="Address Block"/>
    <w:basedOn w:val="Base"/>
    <w:rsid w:val="00FB493A"/>
    <w:pPr>
      <w:spacing w:after="0" w:line="180" w:lineRule="atLeast"/>
    </w:pPr>
    <w:rPr>
      <w:color w:val="404040"/>
      <w:sz w:val="18"/>
    </w:rPr>
  </w:style>
  <w:style w:type="paragraph" w:styleId="TOC3">
    <w:name w:val="toc 3"/>
    <w:basedOn w:val="Normal"/>
    <w:next w:val="Normal"/>
    <w:uiPriority w:val="39"/>
    <w:rsid w:val="00FB493A"/>
    <w:pPr>
      <w:numPr>
        <w:numId w:val="13"/>
      </w:numPr>
      <w:tabs>
        <w:tab w:val="clear" w:pos="1267"/>
        <w:tab w:val="left" w:pos="1166"/>
        <w:tab w:val="right" w:leader="dot" w:pos="9729"/>
      </w:tabs>
      <w:spacing w:after="240" w:line="300" w:lineRule="exact"/>
    </w:pPr>
    <w:rPr>
      <w:rFonts w:eastAsia="Times New Roman"/>
      <w:color w:val="404040"/>
      <w:szCs w:val="20"/>
    </w:rPr>
  </w:style>
  <w:style w:type="paragraph" w:customStyle="1" w:styleId="AppendixHeading2">
    <w:name w:val="Appendix Heading 2"/>
    <w:basedOn w:val="Normal"/>
    <w:next w:val="Normal"/>
    <w:qFormat/>
    <w:rsid w:val="00FB493A"/>
    <w:pPr>
      <w:keepNext/>
      <w:tabs>
        <w:tab w:val="num" w:pos="0"/>
      </w:tabs>
      <w:spacing w:after="0" w:line="300" w:lineRule="atLeast"/>
      <w:outlineLvl w:val="1"/>
    </w:pPr>
    <w:rPr>
      <w:rFonts w:eastAsia="Times New Roman"/>
      <w:caps/>
      <w:color w:val="002C77"/>
      <w:spacing w:val="40"/>
      <w:szCs w:val="20"/>
    </w:rPr>
  </w:style>
  <w:style w:type="paragraph" w:customStyle="1" w:styleId="AppendixHeading3">
    <w:name w:val="Appendix Heading 3"/>
    <w:basedOn w:val="Normal"/>
    <w:next w:val="Normal"/>
    <w:qFormat/>
    <w:rsid w:val="00FB493A"/>
    <w:pPr>
      <w:keepNext/>
      <w:tabs>
        <w:tab w:val="num" w:pos="0"/>
      </w:tabs>
      <w:spacing w:after="0" w:line="300" w:lineRule="atLeast"/>
      <w:outlineLvl w:val="2"/>
    </w:pPr>
    <w:rPr>
      <w:rFonts w:eastAsia="Times New Roman"/>
      <w:b/>
      <w:color w:val="006D9E"/>
      <w:szCs w:val="20"/>
    </w:rPr>
  </w:style>
  <w:style w:type="paragraph" w:customStyle="1" w:styleId="Logo">
    <w:name w:val="Logo"/>
    <w:basedOn w:val="Normal"/>
    <w:rsid w:val="00FB493A"/>
    <w:pPr>
      <w:spacing w:after="240" w:line="560" w:lineRule="exact"/>
      <w:jc w:val="center"/>
    </w:pPr>
    <w:rPr>
      <w:rFonts w:eastAsia="Times New Roman"/>
      <w:color w:val="404040"/>
      <w:sz w:val="16"/>
      <w:szCs w:val="16"/>
    </w:rPr>
  </w:style>
  <w:style w:type="paragraph" w:customStyle="1" w:styleId="ReportTagline">
    <w:name w:val="Report Tagline"/>
    <w:basedOn w:val="Base"/>
    <w:next w:val="Normal"/>
    <w:rsid w:val="00FB493A"/>
    <w:pPr>
      <w:spacing w:after="0" w:line="200" w:lineRule="atLeast"/>
    </w:pPr>
    <w:rPr>
      <w:b/>
      <w:caps/>
      <w:color w:val="BFBFBF"/>
      <w:spacing w:val="40"/>
      <w:sz w:val="20"/>
    </w:rPr>
  </w:style>
  <w:style w:type="character" w:customStyle="1" w:styleId="NormalIndent1Char">
    <w:name w:val="Normal Indent 1 Char"/>
    <w:basedOn w:val="DefaultParagraphFont"/>
    <w:link w:val="NormalIndent1"/>
    <w:rsid w:val="00FB493A"/>
    <w:rPr>
      <w:rFonts w:cs="Arial"/>
      <w:lang w:val="en-US"/>
    </w:rPr>
  </w:style>
  <w:style w:type="character" w:customStyle="1" w:styleId="NormalIndent2Char">
    <w:name w:val="Normal Indent 2 Char"/>
    <w:basedOn w:val="DefaultParagraphFont"/>
    <w:link w:val="NormalIndent2"/>
    <w:rsid w:val="00FB493A"/>
    <w:rPr>
      <w:rFonts w:cs="Arial"/>
      <w:lang w:val="en-US"/>
    </w:rPr>
  </w:style>
  <w:style w:type="character" w:customStyle="1" w:styleId="NormalIndent3Char">
    <w:name w:val="Normal Indent 3 Char"/>
    <w:basedOn w:val="DefaultParagraphFont"/>
    <w:link w:val="NormalIndent3"/>
    <w:rsid w:val="00FB493A"/>
    <w:rPr>
      <w:rFonts w:cs="Arial"/>
      <w:lang w:val="en-US"/>
    </w:rPr>
  </w:style>
  <w:style w:type="character" w:customStyle="1" w:styleId="NormalIndent4Char">
    <w:name w:val="Normal Indent 4 Char"/>
    <w:basedOn w:val="DefaultParagraphFont"/>
    <w:link w:val="NormalIndent4"/>
    <w:rsid w:val="00FB493A"/>
    <w:rPr>
      <w:rFonts w:cs="Arial"/>
      <w:lang w:val="en-US"/>
    </w:rPr>
  </w:style>
  <w:style w:type="character" w:customStyle="1" w:styleId="LogoHideChar">
    <w:name w:val="Logo Hide Char"/>
    <w:basedOn w:val="DefaultParagraphFont"/>
    <w:link w:val="LogoHide"/>
    <w:rsid w:val="00FB493A"/>
    <w:rPr>
      <w:rFonts w:eastAsia="Times New Roman" w:cs="Times New Roman"/>
      <w:noProof/>
      <w:sz w:val="2"/>
      <w:szCs w:val="20"/>
      <w:lang w:val="en-US"/>
    </w:rPr>
  </w:style>
  <w:style w:type="character" w:customStyle="1" w:styleId="LogoHide2Char">
    <w:name w:val="Logo Hide 2 Char"/>
    <w:basedOn w:val="DefaultParagraphFont"/>
    <w:link w:val="LogoHide2"/>
    <w:rsid w:val="00FB493A"/>
    <w:rPr>
      <w:rFonts w:eastAsia="Times New Roman" w:cs="Arial"/>
      <w:noProof/>
      <w:szCs w:val="20"/>
      <w:lang w:val="en-US"/>
    </w:rPr>
  </w:style>
  <w:style w:type="table" w:styleId="TableClassic1">
    <w:name w:val="Table Classic 1"/>
    <w:basedOn w:val="TableNormal"/>
    <w:rsid w:val="00FB493A"/>
    <w:pPr>
      <w:spacing w:after="0"/>
    </w:pPr>
    <w:rPr>
      <w:rFonts w:ascii="Times New Roman" w:eastAsia="Times New Roman" w:hAnsi="Times New Roman" w:cs="Times New Roman"/>
      <w:color w:val="auto"/>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FB493A"/>
    <w:pPr>
      <w:spacing w:after="0" w:line="240" w:lineRule="auto"/>
    </w:pPr>
    <w:rPr>
      <w:rFonts w:eastAsia="Times New Roman" w:cs="Arial"/>
      <w:color w:val="404040"/>
      <w:szCs w:val="20"/>
      <w:lang w:val="en-US"/>
    </w:rPr>
  </w:style>
  <w:style w:type="character" w:customStyle="1" w:styleId="ui-provider">
    <w:name w:val="ui-provider"/>
    <w:basedOn w:val="DefaultParagraphFont"/>
    <w:rsid w:val="00681F78"/>
  </w:style>
  <w:style w:type="character" w:styleId="UnresolvedMention">
    <w:name w:val="Unresolved Mention"/>
    <w:basedOn w:val="DefaultParagraphFont"/>
    <w:uiPriority w:val="99"/>
    <w:semiHidden/>
    <w:unhideWhenUsed/>
    <w:rsid w:val="009F44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777719">
      <w:bodyDiv w:val="1"/>
      <w:marLeft w:val="0"/>
      <w:marRight w:val="0"/>
      <w:marTop w:val="0"/>
      <w:marBottom w:val="0"/>
      <w:divBdr>
        <w:top w:val="none" w:sz="0" w:space="0" w:color="auto"/>
        <w:left w:val="none" w:sz="0" w:space="0" w:color="auto"/>
        <w:bottom w:val="none" w:sz="0" w:space="0" w:color="auto"/>
        <w:right w:val="none" w:sz="0" w:space="0" w:color="auto"/>
      </w:divBdr>
    </w:div>
    <w:div w:id="495341004">
      <w:bodyDiv w:val="1"/>
      <w:marLeft w:val="0"/>
      <w:marRight w:val="0"/>
      <w:marTop w:val="0"/>
      <w:marBottom w:val="0"/>
      <w:divBdr>
        <w:top w:val="none" w:sz="0" w:space="0" w:color="auto"/>
        <w:left w:val="none" w:sz="0" w:space="0" w:color="auto"/>
        <w:bottom w:val="none" w:sz="0" w:space="0" w:color="auto"/>
        <w:right w:val="none" w:sz="0" w:space="0" w:color="auto"/>
      </w:divBdr>
    </w:div>
    <w:div w:id="707801620">
      <w:bodyDiv w:val="1"/>
      <w:marLeft w:val="0"/>
      <w:marRight w:val="0"/>
      <w:marTop w:val="0"/>
      <w:marBottom w:val="0"/>
      <w:divBdr>
        <w:top w:val="none" w:sz="0" w:space="0" w:color="auto"/>
        <w:left w:val="none" w:sz="0" w:space="0" w:color="auto"/>
        <w:bottom w:val="none" w:sz="0" w:space="0" w:color="auto"/>
        <w:right w:val="none" w:sz="0" w:space="0" w:color="auto"/>
      </w:divBdr>
    </w:div>
    <w:div w:id="980041248">
      <w:bodyDiv w:val="1"/>
      <w:marLeft w:val="0"/>
      <w:marRight w:val="0"/>
      <w:marTop w:val="0"/>
      <w:marBottom w:val="0"/>
      <w:divBdr>
        <w:top w:val="none" w:sz="0" w:space="0" w:color="auto"/>
        <w:left w:val="none" w:sz="0" w:space="0" w:color="auto"/>
        <w:bottom w:val="none" w:sz="0" w:space="0" w:color="auto"/>
        <w:right w:val="none" w:sz="0" w:space="0" w:color="auto"/>
      </w:divBdr>
    </w:div>
    <w:div w:id="1668054664">
      <w:bodyDiv w:val="1"/>
      <w:marLeft w:val="0"/>
      <w:marRight w:val="0"/>
      <w:marTop w:val="0"/>
      <w:marBottom w:val="0"/>
      <w:divBdr>
        <w:top w:val="none" w:sz="0" w:space="0" w:color="auto"/>
        <w:left w:val="none" w:sz="0" w:space="0" w:color="auto"/>
        <w:bottom w:val="none" w:sz="0" w:space="0" w:color="auto"/>
        <w:right w:val="none" w:sz="0" w:space="0" w:color="auto"/>
      </w:divBdr>
    </w:div>
    <w:div w:id="1749887993">
      <w:bodyDiv w:val="1"/>
      <w:marLeft w:val="0"/>
      <w:marRight w:val="0"/>
      <w:marTop w:val="0"/>
      <w:marBottom w:val="0"/>
      <w:divBdr>
        <w:top w:val="none" w:sz="0" w:space="0" w:color="auto"/>
        <w:left w:val="none" w:sz="0" w:space="0" w:color="auto"/>
        <w:bottom w:val="none" w:sz="0" w:space="0" w:color="auto"/>
        <w:right w:val="none" w:sz="0" w:space="0" w:color="auto"/>
      </w:divBdr>
    </w:div>
    <w:div w:id="1942060191">
      <w:bodyDiv w:val="1"/>
      <w:marLeft w:val="0"/>
      <w:marRight w:val="0"/>
      <w:marTop w:val="0"/>
      <w:marBottom w:val="0"/>
      <w:divBdr>
        <w:top w:val="none" w:sz="0" w:space="0" w:color="auto"/>
        <w:left w:val="none" w:sz="0" w:space="0" w:color="auto"/>
        <w:bottom w:val="none" w:sz="0" w:space="0" w:color="auto"/>
        <w:right w:val="none" w:sz="0" w:space="0" w:color="auto"/>
      </w:divBdr>
    </w:div>
    <w:div w:id="2102867728">
      <w:bodyDiv w:val="1"/>
      <w:marLeft w:val="0"/>
      <w:marRight w:val="0"/>
      <w:marTop w:val="0"/>
      <w:marBottom w:val="0"/>
      <w:divBdr>
        <w:top w:val="none" w:sz="0" w:space="0" w:color="auto"/>
        <w:left w:val="none" w:sz="0" w:space="0" w:color="auto"/>
        <w:bottom w:val="none" w:sz="0" w:space="0" w:color="auto"/>
        <w:right w:val="none" w:sz="0" w:space="0" w:color="auto"/>
      </w:divBdr>
    </w:div>
    <w:div w:id="211073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package" Target="embeddings/Microsoft_Excel_Worksheet.xlsx"/><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image" Target="media/image5.emf"/><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5.xm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6.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footer" Target="footer7.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4D98BDEA0F74421BFA867A9EF851100"/>
        <w:category>
          <w:name w:val="General"/>
          <w:gallery w:val="placeholder"/>
        </w:category>
        <w:types>
          <w:type w:val="bbPlcHdr"/>
        </w:types>
        <w:behaviors>
          <w:behavior w:val="content"/>
        </w:behaviors>
        <w:guid w:val="{27E193A2-782A-4700-9574-75E6112F379E}"/>
      </w:docPartPr>
      <w:docPartBody>
        <w:p w:rsidR="009C694D" w:rsidRDefault="00B4264E">
          <w:pPr>
            <w:pStyle w:val="D4D98BDEA0F74421BFA867A9EF851100"/>
          </w:pPr>
          <w:r w:rsidRPr="00E35D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94D"/>
    <w:rsid w:val="00011F16"/>
    <w:rsid w:val="001319F9"/>
    <w:rsid w:val="001424D5"/>
    <w:rsid w:val="001507B4"/>
    <w:rsid w:val="0017782E"/>
    <w:rsid w:val="0018072D"/>
    <w:rsid w:val="001C019E"/>
    <w:rsid w:val="00222CE9"/>
    <w:rsid w:val="0031070A"/>
    <w:rsid w:val="003C1C03"/>
    <w:rsid w:val="003D2B48"/>
    <w:rsid w:val="00410FD3"/>
    <w:rsid w:val="00457D9E"/>
    <w:rsid w:val="004603FD"/>
    <w:rsid w:val="00476EEB"/>
    <w:rsid w:val="004C7887"/>
    <w:rsid w:val="004C78EE"/>
    <w:rsid w:val="004E6C75"/>
    <w:rsid w:val="00500761"/>
    <w:rsid w:val="00531F75"/>
    <w:rsid w:val="00586EE0"/>
    <w:rsid w:val="005B04DE"/>
    <w:rsid w:val="005C1FAA"/>
    <w:rsid w:val="006031B7"/>
    <w:rsid w:val="0071463D"/>
    <w:rsid w:val="007227CB"/>
    <w:rsid w:val="00722BF3"/>
    <w:rsid w:val="00780C28"/>
    <w:rsid w:val="007E2C2D"/>
    <w:rsid w:val="007E46CB"/>
    <w:rsid w:val="008510CF"/>
    <w:rsid w:val="008942C8"/>
    <w:rsid w:val="008B6865"/>
    <w:rsid w:val="00910661"/>
    <w:rsid w:val="00944AD0"/>
    <w:rsid w:val="0094512F"/>
    <w:rsid w:val="00987DBC"/>
    <w:rsid w:val="009950D0"/>
    <w:rsid w:val="009977D4"/>
    <w:rsid w:val="009C694D"/>
    <w:rsid w:val="009E52C4"/>
    <w:rsid w:val="009E732F"/>
    <w:rsid w:val="009F2FFA"/>
    <w:rsid w:val="00A81A57"/>
    <w:rsid w:val="00A9322D"/>
    <w:rsid w:val="00B17BCD"/>
    <w:rsid w:val="00B33381"/>
    <w:rsid w:val="00B4264E"/>
    <w:rsid w:val="00B65F4F"/>
    <w:rsid w:val="00BA4429"/>
    <w:rsid w:val="00C6586E"/>
    <w:rsid w:val="00C90FD8"/>
    <w:rsid w:val="00CA2F69"/>
    <w:rsid w:val="00CE0B18"/>
    <w:rsid w:val="00D302D0"/>
    <w:rsid w:val="00D652D8"/>
    <w:rsid w:val="00D6617B"/>
    <w:rsid w:val="00D870BC"/>
    <w:rsid w:val="00D92853"/>
    <w:rsid w:val="00DB6184"/>
    <w:rsid w:val="00E837D7"/>
    <w:rsid w:val="00E91EF3"/>
    <w:rsid w:val="00EA54C0"/>
    <w:rsid w:val="00EB4786"/>
    <w:rsid w:val="00F04DE3"/>
    <w:rsid w:val="00F463CF"/>
    <w:rsid w:val="00F47BAF"/>
    <w:rsid w:val="00FA4E67"/>
    <w:rsid w:val="00FC3F0A"/>
    <w:rsid w:val="00FC7D1F"/>
    <w:rsid w:val="00FF4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617B"/>
    <w:rPr>
      <w:color w:val="808080"/>
    </w:rPr>
  </w:style>
  <w:style w:type="paragraph" w:customStyle="1" w:styleId="D4D98BDEA0F74421BFA867A9EF851100">
    <w:name w:val="D4D98BDEA0F74421BFA867A9EF8511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Marsh Colour Theme">
      <a:dk1>
        <a:srgbClr val="002C77"/>
      </a:dk1>
      <a:lt1>
        <a:srgbClr val="FFFFFF"/>
      </a:lt1>
      <a:dk2>
        <a:srgbClr val="565656"/>
      </a:dk2>
      <a:lt2>
        <a:srgbClr val="F0F0F0"/>
      </a:lt2>
      <a:accent1>
        <a:srgbClr val="009DE0"/>
      </a:accent1>
      <a:accent2>
        <a:srgbClr val="00AC41"/>
      </a:accent2>
      <a:accent3>
        <a:srgbClr val="8246AF"/>
      </a:accent3>
      <a:accent4>
        <a:srgbClr val="EE3D8B"/>
      </a:accent4>
      <a:accent5>
        <a:srgbClr val="00968F"/>
      </a:accent5>
      <a:accent6>
        <a:srgbClr val="0077A0"/>
      </a:accent6>
      <a:hlink>
        <a:srgbClr val="2C6EF2"/>
      </a:hlink>
      <a:folHlink>
        <a:srgbClr val="8246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C881C-A3E9-44FD-BF3F-15BE988B2CF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27</Pages>
  <Words>6506</Words>
  <Characters>37086</Characters>
  <Application>Microsoft Office Word</Application>
  <DocSecurity>0</DocSecurity>
  <Lines>309</Lines>
  <Paragraphs>87</Paragraphs>
  <ScaleCrop>false</ScaleCrop>
  <Company/>
  <LinksUpToDate>false</LinksUpToDate>
  <CharactersWithSpaces>43505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2024-10-11T20:36:00Z</dcterms:created>
  <dcterms:modified xsi:type="dcterms:W3CDTF">2024-10-15T15:28:00Z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2024-10-11T20:36:55Z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9dd2f16d-02d1-4e5c-a42a-a524c25a981c</vt:lpwstr>
  </property>
  <property fmtid="{D5CDD505-2E9C-101B-9397-08002B2CF9AE}" pid="8" name="MSIP_Label_38f1469a-2c2a-4aee-b92b-090d4c5468ff_ContentBits">
    <vt:lpwstr>0</vt:lpwstr>
  </property>
</Properties>
</file>