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0DD19" w14:textId="79F864C7" w:rsidR="00D919A6" w:rsidRPr="00D919A6" w:rsidRDefault="00D919A6" w:rsidP="00D919A6">
      <w:pPr>
        <w:rPr>
          <w:rFonts w:ascii="Times New Roman" w:hAnsi="Times New Roman" w:cs="Times New Roman"/>
          <w:b/>
          <w:sz w:val="36"/>
          <w:szCs w:val="32"/>
        </w:rPr>
      </w:pPr>
      <w:r w:rsidRPr="00327AF3">
        <w:rPr>
          <w:noProof/>
          <w:sz w:val="32"/>
          <w:szCs w:val="32"/>
        </w:rPr>
        <w:drawing>
          <wp:anchor distT="0" distB="0" distL="114300" distR="114300" simplePos="0" relativeHeight="251659264" behindDoc="1" locked="0" layoutInCell="1" allowOverlap="1" wp14:anchorId="0DB7C518" wp14:editId="0F35EE69">
            <wp:simplePos x="0" y="0"/>
            <wp:positionH relativeFrom="column">
              <wp:posOffset>0</wp:posOffset>
            </wp:positionH>
            <wp:positionV relativeFrom="paragraph">
              <wp:posOffset>0</wp:posOffset>
            </wp:positionV>
            <wp:extent cx="520700" cy="520700"/>
            <wp:effectExtent l="0" t="0" r="0" b="0"/>
            <wp:wrapThrough wrapText="bothSides">
              <wp:wrapPolygon edited="0">
                <wp:start x="4741" y="0"/>
                <wp:lineTo x="0" y="4741"/>
                <wp:lineTo x="0" y="15805"/>
                <wp:lineTo x="4741" y="20546"/>
                <wp:lineTo x="15805" y="20546"/>
                <wp:lineTo x="20546" y="15805"/>
                <wp:lineTo x="20546" y="4741"/>
                <wp:lineTo x="15805" y="0"/>
                <wp:lineTo x="4741" y="0"/>
              </wp:wrapPolygon>
            </wp:wrapThrough>
            <wp:docPr id="1" name="Picture 1"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19A6">
        <w:rPr>
          <w:rFonts w:ascii="Times New Roman" w:hAnsi="Times New Roman" w:cs="Times New Roman"/>
          <w:b/>
          <w:sz w:val="36"/>
          <w:szCs w:val="32"/>
        </w:rPr>
        <w:t>Massachusetts Department of Public Health</w:t>
      </w:r>
    </w:p>
    <w:p w14:paraId="5662C2FC" w14:textId="4833F033" w:rsidR="00D919A6" w:rsidRPr="00D90EDF" w:rsidRDefault="007D65A9" w:rsidP="00D90EDF">
      <w:pPr>
        <w:ind w:left="-720"/>
        <w:rPr>
          <w:rFonts w:cs="Times New Roman"/>
          <w:b/>
          <w:bCs/>
          <w:sz w:val="8"/>
          <w:szCs w:val="32"/>
        </w:rPr>
      </w:pPr>
      <w:r>
        <w:rPr>
          <w:rFonts w:ascii="Times New Roman" w:hAnsi="Times New Roman" w:cs="Times New Roman"/>
          <w:b/>
          <w:sz w:val="32"/>
        </w:rPr>
        <w:t>Acute Care Hospital</w:t>
      </w:r>
      <w:r w:rsidR="00D919A6" w:rsidRPr="00D919A6">
        <w:rPr>
          <w:rFonts w:ascii="Times New Roman" w:hAnsi="Times New Roman" w:cs="Times New Roman"/>
          <w:b/>
          <w:sz w:val="32"/>
        </w:rPr>
        <w:t xml:space="preserve"> Phase 1 Reopen Attestation </w:t>
      </w:r>
    </w:p>
    <w:p w14:paraId="091FD2C3" w14:textId="67B7A666" w:rsidR="00A668E9" w:rsidRDefault="00F90034" w:rsidP="00052618">
      <w:pPr>
        <w:pBdr>
          <w:bottom w:val="single" w:sz="6" w:space="11" w:color="auto"/>
        </w:pBdr>
        <w:rPr>
          <w:rFonts w:ascii="Times New Roman" w:hAnsi="Times New Roman" w:cs="Times New Roman"/>
          <w:sz w:val="24"/>
        </w:rPr>
      </w:pPr>
      <w:r w:rsidRPr="00CC5D64">
        <w:rPr>
          <w:rFonts w:ascii="Times New Roman" w:hAnsi="Times New Roman" w:cs="Times New Roman"/>
          <w:b/>
          <w:bCs/>
          <w:noProof/>
          <w:sz w:val="28"/>
        </w:rPr>
        <mc:AlternateContent>
          <mc:Choice Requires="wps">
            <w:drawing>
              <wp:anchor distT="45720" distB="45720" distL="114300" distR="114300" simplePos="0" relativeHeight="251658240" behindDoc="0" locked="0" layoutInCell="1" allowOverlap="1" wp14:anchorId="656FF546" wp14:editId="1A88A616">
                <wp:simplePos x="0" y="0"/>
                <wp:positionH relativeFrom="margin">
                  <wp:posOffset>0</wp:posOffset>
                </wp:positionH>
                <wp:positionV relativeFrom="paragraph">
                  <wp:posOffset>308610</wp:posOffset>
                </wp:positionV>
                <wp:extent cx="5920740" cy="932180"/>
                <wp:effectExtent l="0" t="0" r="228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932180"/>
                        </a:xfrm>
                        <a:prstGeom prst="rect">
                          <a:avLst/>
                        </a:prstGeom>
                        <a:noFill/>
                        <a:ln w="9525">
                          <a:solidFill>
                            <a:srgbClr val="000000"/>
                          </a:solidFill>
                          <a:miter lim="800000"/>
                          <a:headEnd/>
                          <a:tailEnd/>
                        </a:ln>
                      </wps:spPr>
                      <wps:txbx>
                        <w:txbxContent>
                          <w:p w14:paraId="756A917B" w14:textId="77FE947D" w:rsidR="00A668E9" w:rsidRPr="00F90034" w:rsidRDefault="00A668E9" w:rsidP="00A668E9">
                            <w:pPr>
                              <w:rPr>
                                <w:rFonts w:ascii="Times New Roman" w:hAnsi="Times New Roman" w:cs="Times New Roman"/>
                                <w:b/>
                                <w:bCs/>
                                <w:color w:val="1F497D" w:themeColor="text2"/>
                              </w:rPr>
                            </w:pPr>
                            <w:r w:rsidRPr="00F90034">
                              <w:rPr>
                                <w:rFonts w:ascii="Times New Roman" w:hAnsi="Times New Roman" w:cs="Times New Roman"/>
                                <w:b/>
                                <w:bCs/>
                                <w:color w:val="1F497D" w:themeColor="text2"/>
                              </w:rPr>
                              <w:t xml:space="preserve">NOTE: This attestation form has been updated as of May </w:t>
                            </w:r>
                            <w:r w:rsidR="00052618" w:rsidRPr="00F90034">
                              <w:rPr>
                                <w:rFonts w:ascii="Times New Roman" w:hAnsi="Times New Roman" w:cs="Times New Roman"/>
                                <w:b/>
                                <w:bCs/>
                                <w:color w:val="1F497D" w:themeColor="text2"/>
                              </w:rPr>
                              <w:t>25</w:t>
                            </w:r>
                            <w:r w:rsidRPr="00F90034">
                              <w:rPr>
                                <w:rFonts w:ascii="Times New Roman" w:hAnsi="Times New Roman" w:cs="Times New Roman"/>
                                <w:b/>
                                <w:bCs/>
                                <w:color w:val="1F497D" w:themeColor="text2"/>
                              </w:rPr>
                              <w:t xml:space="preserve">, 2020 to provide the following clarifications:  </w:t>
                            </w:r>
                          </w:p>
                          <w:p w14:paraId="2CEE81E8" w14:textId="776C966F" w:rsidR="00A668E9" w:rsidRPr="00F90034" w:rsidRDefault="00A668E9" w:rsidP="00A668E9">
                            <w:pPr>
                              <w:pStyle w:val="ListParagraph"/>
                              <w:numPr>
                                <w:ilvl w:val="0"/>
                                <w:numId w:val="4"/>
                              </w:numPr>
                              <w:rPr>
                                <w:rFonts w:ascii="Times New Roman" w:hAnsi="Times New Roman" w:cs="Times New Roman"/>
                                <w:b/>
                                <w:bCs/>
                                <w:color w:val="1F497D" w:themeColor="text2"/>
                              </w:rPr>
                            </w:pPr>
                            <w:r w:rsidRPr="00F90034">
                              <w:rPr>
                                <w:rFonts w:ascii="Times New Roman" w:hAnsi="Times New Roman" w:cs="Times New Roman"/>
                                <w:b/>
                                <w:bCs/>
                                <w:color w:val="1F497D" w:themeColor="text2"/>
                              </w:rPr>
                              <w:t>Bed capacity calculation methodology</w:t>
                            </w:r>
                          </w:p>
                          <w:p w14:paraId="1BD42793" w14:textId="77777777" w:rsidR="00052618" w:rsidRPr="00F90034" w:rsidRDefault="00052618" w:rsidP="00052618">
                            <w:pPr>
                              <w:pStyle w:val="ListParagraph"/>
                              <w:rPr>
                                <w:rFonts w:ascii="Times New Roman" w:hAnsi="Times New Roman" w:cs="Times New Roman"/>
                                <w:b/>
                                <w:bCs/>
                                <w:color w:val="1F497D" w:themeColor="text2"/>
                                <w:sz w:val="4"/>
                                <w:szCs w:val="4"/>
                              </w:rPr>
                            </w:pPr>
                          </w:p>
                          <w:p w14:paraId="7E84091C" w14:textId="3C2D0ABC" w:rsidR="00A668E9" w:rsidRPr="00F90034" w:rsidRDefault="00A668E9" w:rsidP="00052618">
                            <w:pPr>
                              <w:jc w:val="center"/>
                              <w:rPr>
                                <w:rFonts w:ascii="Times New Roman" w:hAnsi="Times New Roman" w:cs="Times New Roman"/>
                                <w:b/>
                                <w:bCs/>
                                <w:i/>
                                <w:iCs/>
                                <w:color w:val="1F497D" w:themeColor="text2"/>
                              </w:rPr>
                            </w:pPr>
                            <w:r w:rsidRPr="00F90034">
                              <w:rPr>
                                <w:rFonts w:ascii="Times New Roman" w:hAnsi="Times New Roman" w:cs="Times New Roman"/>
                                <w:b/>
                                <w:bCs/>
                                <w:i/>
                                <w:iCs/>
                                <w:color w:val="1F497D" w:themeColor="text2"/>
                              </w:rPr>
                              <w:t xml:space="preserve">If hospitals submitted the previous version of this </w:t>
                            </w:r>
                            <w:r w:rsidR="00052618" w:rsidRPr="00F90034">
                              <w:rPr>
                                <w:rFonts w:ascii="Times New Roman" w:hAnsi="Times New Roman" w:cs="Times New Roman"/>
                                <w:b/>
                                <w:bCs/>
                                <w:i/>
                                <w:iCs/>
                                <w:color w:val="1F497D" w:themeColor="text2"/>
                              </w:rPr>
                              <w:t xml:space="preserve">attestation </w:t>
                            </w:r>
                            <w:r w:rsidRPr="00F90034">
                              <w:rPr>
                                <w:rFonts w:ascii="Times New Roman" w:hAnsi="Times New Roman" w:cs="Times New Roman"/>
                                <w:b/>
                                <w:bCs/>
                                <w:i/>
                                <w:iCs/>
                                <w:color w:val="1F497D" w:themeColor="text2"/>
                              </w:rPr>
                              <w:t>form</w:t>
                            </w:r>
                            <w:r w:rsidR="001F33B2" w:rsidRPr="00F90034">
                              <w:rPr>
                                <w:rFonts w:ascii="Times New Roman" w:hAnsi="Times New Roman" w:cs="Times New Roman"/>
                                <w:b/>
                                <w:bCs/>
                                <w:i/>
                                <w:iCs/>
                                <w:color w:val="1F497D" w:themeColor="text2"/>
                              </w:rPr>
                              <w:t>,</w:t>
                            </w:r>
                            <w:r w:rsidRPr="00F90034">
                              <w:rPr>
                                <w:rFonts w:ascii="Times New Roman" w:hAnsi="Times New Roman" w:cs="Times New Roman"/>
                                <w:b/>
                                <w:bCs/>
                                <w:i/>
                                <w:iCs/>
                                <w:color w:val="1F497D" w:themeColor="text2"/>
                              </w:rPr>
                              <w:t xml:space="preserve"> there is </w:t>
                            </w:r>
                            <w:r w:rsidRPr="00F90034">
                              <w:rPr>
                                <w:rFonts w:ascii="Times New Roman" w:hAnsi="Times New Roman" w:cs="Times New Roman"/>
                                <w:b/>
                                <w:bCs/>
                                <w:i/>
                                <w:iCs/>
                                <w:color w:val="1F497D" w:themeColor="text2"/>
                                <w:u w:val="single"/>
                              </w:rPr>
                              <w:t>no</w:t>
                            </w:r>
                            <w:r w:rsidRPr="00F90034">
                              <w:rPr>
                                <w:rFonts w:ascii="Times New Roman" w:hAnsi="Times New Roman" w:cs="Times New Roman"/>
                                <w:b/>
                                <w:bCs/>
                                <w:i/>
                                <w:iCs/>
                                <w:color w:val="1F497D" w:themeColor="text2"/>
                              </w:rPr>
                              <w:t xml:space="preserve"> requirement to resubmit.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FF546" id="_x0000_t202" coordsize="21600,21600" o:spt="202" path="m,l,21600r21600,l21600,xe">
                <v:stroke joinstyle="miter"/>
                <v:path gradientshapeok="t" o:connecttype="rect"/>
              </v:shapetype>
              <v:shape id="Text Box 2" o:spid="_x0000_s1026" type="#_x0000_t202" style="position:absolute;margin-left:0;margin-top:24.3pt;width:466.2pt;height:73.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" filled="f">
                <v:textbox>
                  <w:txbxContent>
                    <w:p w14:paraId="756A917B" w14:textId="77FE947D" w:rsidR="00A668E9" w:rsidRPr="00F90034" w:rsidRDefault="00A668E9" w:rsidP="00A668E9">
                      <w:pPr>
                        <w:rPr>
                          <w:rFonts w:ascii="Times New Roman" w:hAnsi="Times New Roman" w:cs="Times New Roman"/>
                          <w:b/>
                          <w:bCs/>
                          <w:color w:val="1F497D" w:themeColor="text2"/>
                        </w:rPr>
                      </w:pPr>
                      <w:r w:rsidRPr="00F90034">
                        <w:rPr>
                          <w:rFonts w:ascii="Times New Roman" w:hAnsi="Times New Roman" w:cs="Times New Roman"/>
                          <w:b/>
                          <w:bCs/>
                          <w:color w:val="1F497D" w:themeColor="text2"/>
                        </w:rPr>
                        <w:t xml:space="preserve">NOTE: This attestation form has been updated as of May </w:t>
                      </w:r>
                      <w:r w:rsidR="00052618" w:rsidRPr="00F90034">
                        <w:rPr>
                          <w:rFonts w:ascii="Times New Roman" w:hAnsi="Times New Roman" w:cs="Times New Roman"/>
                          <w:b/>
                          <w:bCs/>
                          <w:color w:val="1F497D" w:themeColor="text2"/>
                        </w:rPr>
                        <w:t>25</w:t>
                      </w:r>
                      <w:r w:rsidRPr="00F90034">
                        <w:rPr>
                          <w:rFonts w:ascii="Times New Roman" w:hAnsi="Times New Roman" w:cs="Times New Roman"/>
                          <w:b/>
                          <w:bCs/>
                          <w:color w:val="1F497D" w:themeColor="text2"/>
                        </w:rPr>
                        <w:t xml:space="preserve">, 2020 to provide the following clarifications:  </w:t>
                      </w:r>
                    </w:p>
                    <w:p w14:paraId="2CEE81E8" w14:textId="776C966F" w:rsidR="00A668E9" w:rsidRPr="00F90034" w:rsidRDefault="00A668E9" w:rsidP="00A668E9">
                      <w:pPr>
                        <w:pStyle w:val="ListParagraph"/>
                        <w:numPr>
                          <w:ilvl w:val="0"/>
                          <w:numId w:val="4"/>
                        </w:numPr>
                        <w:rPr>
                          <w:rFonts w:ascii="Times New Roman" w:hAnsi="Times New Roman" w:cs="Times New Roman"/>
                          <w:b/>
                          <w:bCs/>
                          <w:color w:val="1F497D" w:themeColor="text2"/>
                        </w:rPr>
                      </w:pPr>
                      <w:r w:rsidRPr="00F90034">
                        <w:rPr>
                          <w:rFonts w:ascii="Times New Roman" w:hAnsi="Times New Roman" w:cs="Times New Roman"/>
                          <w:b/>
                          <w:bCs/>
                          <w:color w:val="1F497D" w:themeColor="text2"/>
                        </w:rPr>
                        <w:t>Bed capacity calculation methodology</w:t>
                      </w:r>
                    </w:p>
                    <w:p w14:paraId="1BD42793" w14:textId="77777777" w:rsidR="00052618" w:rsidRPr="00F90034" w:rsidRDefault="00052618" w:rsidP="00052618">
                      <w:pPr>
                        <w:pStyle w:val="ListParagraph"/>
                        <w:rPr>
                          <w:rFonts w:ascii="Times New Roman" w:hAnsi="Times New Roman" w:cs="Times New Roman"/>
                          <w:b/>
                          <w:bCs/>
                          <w:color w:val="1F497D" w:themeColor="text2"/>
                          <w:sz w:val="4"/>
                          <w:szCs w:val="4"/>
                        </w:rPr>
                      </w:pPr>
                    </w:p>
                    <w:p w14:paraId="7E84091C" w14:textId="3C2D0ABC" w:rsidR="00A668E9" w:rsidRPr="00F90034" w:rsidRDefault="00A668E9" w:rsidP="00052618">
                      <w:pPr>
                        <w:jc w:val="center"/>
                        <w:rPr>
                          <w:rFonts w:ascii="Times New Roman" w:hAnsi="Times New Roman" w:cs="Times New Roman"/>
                          <w:b/>
                          <w:bCs/>
                          <w:i/>
                          <w:iCs/>
                          <w:color w:val="1F497D" w:themeColor="text2"/>
                        </w:rPr>
                      </w:pPr>
                      <w:r w:rsidRPr="00F90034">
                        <w:rPr>
                          <w:rFonts w:ascii="Times New Roman" w:hAnsi="Times New Roman" w:cs="Times New Roman"/>
                          <w:b/>
                          <w:bCs/>
                          <w:i/>
                          <w:iCs/>
                          <w:color w:val="1F497D" w:themeColor="text2"/>
                        </w:rPr>
                        <w:t xml:space="preserve">If hospitals submitted the previous version of this </w:t>
                      </w:r>
                      <w:r w:rsidR="00052618" w:rsidRPr="00F90034">
                        <w:rPr>
                          <w:rFonts w:ascii="Times New Roman" w:hAnsi="Times New Roman" w:cs="Times New Roman"/>
                          <w:b/>
                          <w:bCs/>
                          <w:i/>
                          <w:iCs/>
                          <w:color w:val="1F497D" w:themeColor="text2"/>
                        </w:rPr>
                        <w:t xml:space="preserve">attestation </w:t>
                      </w:r>
                      <w:r w:rsidRPr="00F90034">
                        <w:rPr>
                          <w:rFonts w:ascii="Times New Roman" w:hAnsi="Times New Roman" w:cs="Times New Roman"/>
                          <w:b/>
                          <w:bCs/>
                          <w:i/>
                          <w:iCs/>
                          <w:color w:val="1F497D" w:themeColor="text2"/>
                        </w:rPr>
                        <w:t>form</w:t>
                      </w:r>
                      <w:r w:rsidR="001F33B2" w:rsidRPr="00F90034">
                        <w:rPr>
                          <w:rFonts w:ascii="Times New Roman" w:hAnsi="Times New Roman" w:cs="Times New Roman"/>
                          <w:b/>
                          <w:bCs/>
                          <w:i/>
                          <w:iCs/>
                          <w:color w:val="1F497D" w:themeColor="text2"/>
                        </w:rPr>
                        <w:t>,</w:t>
                      </w:r>
                      <w:r w:rsidRPr="00F90034">
                        <w:rPr>
                          <w:rFonts w:ascii="Times New Roman" w:hAnsi="Times New Roman" w:cs="Times New Roman"/>
                          <w:b/>
                          <w:bCs/>
                          <w:i/>
                          <w:iCs/>
                          <w:color w:val="1F497D" w:themeColor="text2"/>
                        </w:rPr>
                        <w:t xml:space="preserve"> there is </w:t>
                      </w:r>
                      <w:r w:rsidRPr="00F90034">
                        <w:rPr>
                          <w:rFonts w:ascii="Times New Roman" w:hAnsi="Times New Roman" w:cs="Times New Roman"/>
                          <w:b/>
                          <w:bCs/>
                          <w:i/>
                          <w:iCs/>
                          <w:color w:val="1F497D" w:themeColor="text2"/>
                          <w:u w:val="single"/>
                        </w:rPr>
                        <w:t>no</w:t>
                      </w:r>
                      <w:r w:rsidRPr="00F90034">
                        <w:rPr>
                          <w:rFonts w:ascii="Times New Roman" w:hAnsi="Times New Roman" w:cs="Times New Roman"/>
                          <w:b/>
                          <w:bCs/>
                          <w:i/>
                          <w:iCs/>
                          <w:color w:val="1F497D" w:themeColor="text2"/>
                        </w:rPr>
                        <w:t xml:space="preserve"> requirement to resubmit.</w:t>
                      </w:r>
                    </w:p>
                  </w:txbxContent>
                </v:textbox>
                <w10:wrap type="square" anchorx="margin"/>
              </v:shape>
            </w:pict>
          </mc:Fallback>
        </mc:AlternateContent>
      </w:r>
      <w:r w:rsidR="00D90EDF">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6AD1C715" wp14:editId="3F34182A">
                <wp:simplePos x="0" y="0"/>
                <wp:positionH relativeFrom="column">
                  <wp:posOffset>6350</wp:posOffset>
                </wp:positionH>
                <wp:positionV relativeFrom="paragraph">
                  <wp:posOffset>106680</wp:posOffset>
                </wp:positionV>
                <wp:extent cx="5892800" cy="19050"/>
                <wp:effectExtent l="0" t="0" r="31750" b="19050"/>
                <wp:wrapNone/>
                <wp:docPr id="2" name="Straight Connector 2"/>
                <wp:cNvGraphicFramePr/>
                <a:graphic xmlns:a="http://schemas.openxmlformats.org/drawingml/2006/main">
                  <a:graphicData uri="http://schemas.microsoft.com/office/word/2010/wordprocessingShape">
                    <wps:wsp>
                      <wps:cNvCnPr/>
                      <wps:spPr>
                        <a:xfrm flipV="1">
                          <a:off x="0" y="0"/>
                          <a:ext cx="5892800" cy="1905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39BFB"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8.4pt" to="46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" strokecolor="black [3040]" strokeweight=".25pt"/>
            </w:pict>
          </mc:Fallback>
        </mc:AlternateContent>
      </w:r>
    </w:p>
    <w:p w14:paraId="70FDF1F1" w14:textId="77777777" w:rsidR="00052618" w:rsidRDefault="005D64DB" w:rsidP="00052618">
      <w:pPr>
        <w:pBdr>
          <w:bottom w:val="single" w:sz="6" w:space="11" w:color="auto"/>
        </w:pBdr>
        <w:rPr>
          <w:rFonts w:ascii="Times New Roman" w:hAnsi="Times New Roman" w:cs="Times New Roman"/>
          <w:b/>
          <w:sz w:val="24"/>
        </w:rPr>
      </w:pPr>
      <w:r>
        <w:rPr>
          <w:rFonts w:ascii="Times New Roman" w:hAnsi="Times New Roman" w:cs="Times New Roman"/>
          <w:sz w:val="24"/>
        </w:rPr>
        <w:t>This attestation form is applicable to acute care hospitals</w:t>
      </w:r>
      <w:r w:rsidR="00D27361">
        <w:rPr>
          <w:rFonts w:ascii="Times New Roman" w:hAnsi="Times New Roman" w:cs="Times New Roman"/>
          <w:sz w:val="24"/>
        </w:rPr>
        <w:t xml:space="preserve"> and </w:t>
      </w:r>
      <w:r w:rsidR="007D65A9">
        <w:rPr>
          <w:rFonts w:ascii="Times New Roman" w:hAnsi="Times New Roman" w:cs="Times New Roman"/>
          <w:b/>
          <w:sz w:val="24"/>
        </w:rPr>
        <w:t xml:space="preserve">must be completed prior to </w:t>
      </w:r>
      <w:r w:rsidR="007D65A9" w:rsidRPr="004B2D1C">
        <w:rPr>
          <w:rFonts w:ascii="Times New Roman" w:hAnsi="Times New Roman" w:cs="Times New Roman"/>
          <w:b/>
          <w:sz w:val="24"/>
        </w:rPr>
        <w:t xml:space="preserve">performing </w:t>
      </w:r>
      <w:r w:rsidR="007D65A9">
        <w:rPr>
          <w:rFonts w:ascii="Times New Roman" w:hAnsi="Times New Roman" w:cs="Times New Roman"/>
          <w:b/>
          <w:sz w:val="24"/>
        </w:rPr>
        <w:t xml:space="preserve">Phase 1 </w:t>
      </w:r>
      <w:r w:rsidR="007D65A9" w:rsidRPr="000E0A47">
        <w:rPr>
          <w:rFonts w:ascii="Times New Roman" w:hAnsi="Times New Roman" w:cs="Times New Roman"/>
          <w:b/>
          <w:sz w:val="24"/>
        </w:rPr>
        <w:t>services and procedures</w:t>
      </w:r>
      <w:r w:rsidR="00460B70">
        <w:rPr>
          <w:rFonts w:ascii="Times New Roman" w:hAnsi="Times New Roman" w:cs="Times New Roman"/>
          <w:b/>
          <w:sz w:val="24"/>
        </w:rPr>
        <w:t xml:space="preserve"> as defined </w:t>
      </w:r>
      <w:r w:rsidR="00460B70" w:rsidRPr="00471894">
        <w:rPr>
          <w:rFonts w:ascii="Times New Roman" w:hAnsi="Times New Roman" w:cs="Times New Roman"/>
          <w:b/>
          <w:sz w:val="24"/>
        </w:rPr>
        <w:t xml:space="preserve">in Massachusetts Department of Public Health (DPH) </w:t>
      </w:r>
      <w:r w:rsidR="00C32F26" w:rsidRPr="00471894">
        <w:rPr>
          <w:rFonts w:ascii="Times New Roman" w:hAnsi="Times New Roman" w:cs="Times New Roman"/>
          <w:b/>
          <w:sz w:val="24"/>
        </w:rPr>
        <w:t xml:space="preserve">Reopen Approach for Acute Care Hospitals </w:t>
      </w:r>
      <w:r w:rsidR="00460B70" w:rsidRPr="00471894">
        <w:rPr>
          <w:rFonts w:ascii="Times New Roman" w:hAnsi="Times New Roman" w:cs="Times New Roman"/>
          <w:b/>
          <w:sz w:val="24"/>
        </w:rPr>
        <w:t xml:space="preserve">guidance </w:t>
      </w:r>
      <w:r w:rsidR="00C32F26">
        <w:rPr>
          <w:rFonts w:ascii="Times New Roman" w:hAnsi="Times New Roman" w:cs="Times New Roman"/>
          <w:b/>
          <w:sz w:val="24"/>
        </w:rPr>
        <w:t>(“</w:t>
      </w:r>
      <w:commentRangeStart w:id="0"/>
      <w:r w:rsidR="004C27EF">
        <w:fldChar w:fldCharType="begin"/>
      </w:r>
      <w:r w:rsidR="004C27EF">
        <w:instrText xml:space="preserve"> HYPERLINK "https://www.mass.gov/doc/dph-phase-1-reopening-guidance-acute-care-hospitals-may-18/download" </w:instrText>
      </w:r>
      <w:r w:rsidR="004C27EF">
        <w:fldChar w:fldCharType="separate"/>
      </w:r>
      <w:r w:rsidR="00C32F26" w:rsidRPr="001F0CF9">
        <w:rPr>
          <w:rStyle w:val="Hyperlink"/>
          <w:rFonts w:ascii="Times New Roman" w:hAnsi="Times New Roman" w:cs="Times New Roman"/>
          <w:b/>
          <w:sz w:val="24"/>
        </w:rPr>
        <w:t>DPH Hospital</w:t>
      </w:r>
      <w:r w:rsidR="001F0DE3" w:rsidRPr="001F0CF9">
        <w:rPr>
          <w:rStyle w:val="Hyperlink"/>
          <w:rFonts w:ascii="Times New Roman" w:hAnsi="Times New Roman" w:cs="Times New Roman"/>
          <w:b/>
          <w:sz w:val="24"/>
        </w:rPr>
        <w:t xml:space="preserve"> Reopening</w:t>
      </w:r>
      <w:r w:rsidR="00C32F26" w:rsidRPr="001F0CF9">
        <w:rPr>
          <w:rStyle w:val="Hyperlink"/>
          <w:rFonts w:ascii="Times New Roman" w:hAnsi="Times New Roman" w:cs="Times New Roman"/>
          <w:b/>
          <w:sz w:val="24"/>
        </w:rPr>
        <w:t xml:space="preserve"> Guidance</w:t>
      </w:r>
      <w:r w:rsidR="004C27EF">
        <w:rPr>
          <w:rStyle w:val="Hyperlink"/>
          <w:rFonts w:ascii="Times New Roman" w:hAnsi="Times New Roman" w:cs="Times New Roman"/>
          <w:b/>
          <w:sz w:val="24"/>
        </w:rPr>
        <w:fldChar w:fldCharType="end"/>
      </w:r>
      <w:commentRangeEnd w:id="0"/>
      <w:r w:rsidR="00D90EDF">
        <w:rPr>
          <w:rStyle w:val="CommentReference"/>
        </w:rPr>
        <w:commentReference w:id="0"/>
      </w:r>
      <w:r w:rsidR="00C32F26">
        <w:rPr>
          <w:rFonts w:ascii="Times New Roman" w:hAnsi="Times New Roman" w:cs="Times New Roman"/>
          <w:b/>
          <w:sz w:val="24"/>
        </w:rPr>
        <w:t>”)</w:t>
      </w:r>
      <w:r w:rsidR="007D65A9" w:rsidRPr="000E0A47">
        <w:rPr>
          <w:rFonts w:ascii="Times New Roman" w:hAnsi="Times New Roman" w:cs="Times New Roman"/>
          <w:b/>
          <w:sz w:val="24"/>
        </w:rPr>
        <w:t xml:space="preserve">. </w:t>
      </w:r>
    </w:p>
    <w:p w14:paraId="4698EB8E" w14:textId="77777777" w:rsidR="00052618" w:rsidRDefault="00052618" w:rsidP="00052618">
      <w:pPr>
        <w:pBdr>
          <w:bottom w:val="single" w:sz="6" w:space="11" w:color="auto"/>
        </w:pBdr>
        <w:rPr>
          <w:rFonts w:ascii="Times New Roman" w:hAnsi="Times New Roman" w:cs="Times New Roman"/>
          <w:b/>
          <w:sz w:val="24"/>
        </w:rPr>
      </w:pPr>
    </w:p>
    <w:p w14:paraId="684FDA40" w14:textId="2E9CD6EB" w:rsidR="00052618" w:rsidRDefault="007D65A9" w:rsidP="00052618">
      <w:pPr>
        <w:pBdr>
          <w:bottom w:val="single" w:sz="6" w:space="11" w:color="auto"/>
        </w:pBdr>
        <w:rPr>
          <w:rFonts w:ascii="Times New Roman" w:hAnsi="Times New Roman" w:cs="Times New Roman"/>
          <w:b/>
          <w:sz w:val="24"/>
        </w:rPr>
      </w:pPr>
      <w:r>
        <w:rPr>
          <w:rFonts w:ascii="Times New Roman" w:hAnsi="Times New Roman" w:cs="Times New Roman"/>
          <w:sz w:val="24"/>
        </w:rPr>
        <w:t xml:space="preserve">The form </w:t>
      </w:r>
      <w:r w:rsidR="00D27361">
        <w:rPr>
          <w:rFonts w:ascii="Times New Roman" w:hAnsi="Times New Roman" w:cs="Times New Roman"/>
          <w:sz w:val="24"/>
        </w:rPr>
        <w:t xml:space="preserve">must be signed by the </w:t>
      </w:r>
      <w:r>
        <w:rPr>
          <w:rFonts w:ascii="Times New Roman" w:hAnsi="Times New Roman" w:cs="Times New Roman"/>
          <w:sz w:val="24"/>
        </w:rPr>
        <w:t>chief</w:t>
      </w:r>
      <w:r w:rsidR="00AE2590">
        <w:rPr>
          <w:rFonts w:ascii="Times New Roman" w:hAnsi="Times New Roman" w:cs="Times New Roman"/>
          <w:sz w:val="24"/>
        </w:rPr>
        <w:t xml:space="preserve"> executive officer</w:t>
      </w:r>
      <w:r>
        <w:rPr>
          <w:rFonts w:ascii="Times New Roman" w:hAnsi="Times New Roman" w:cs="Times New Roman"/>
          <w:sz w:val="24"/>
        </w:rPr>
        <w:t xml:space="preserve"> (CEO) of the hospital or the hospital system and prominently posted on the hospital’s website with a link to the </w:t>
      </w:r>
      <w:hyperlink r:id="rId13" w:history="1">
        <w:r w:rsidRPr="00471894">
          <w:rPr>
            <w:rStyle w:val="Hyperlink"/>
            <w:rFonts w:ascii="Times New Roman" w:hAnsi="Times New Roman" w:cs="Times New Roman"/>
            <w:sz w:val="24"/>
          </w:rPr>
          <w:t>Commonwealth’s Reopening website</w:t>
        </w:r>
      </w:hyperlink>
      <w:r w:rsidR="005D64DB" w:rsidRPr="00471894">
        <w:rPr>
          <w:rFonts w:ascii="Times New Roman" w:hAnsi="Times New Roman" w:cs="Times New Roman"/>
          <w:sz w:val="24"/>
        </w:rPr>
        <w:t>.</w:t>
      </w:r>
      <w:r w:rsidRPr="00471894">
        <w:rPr>
          <w:rFonts w:ascii="Times New Roman" w:hAnsi="Times New Roman" w:cs="Times New Roman"/>
          <w:sz w:val="24"/>
        </w:rPr>
        <w:t xml:space="preserve"> H</w:t>
      </w:r>
      <w:r w:rsidRPr="00471894">
        <w:rPr>
          <w:rFonts w:ascii="Times New Roman" w:hAnsi="Times New Roman" w:cs="Times New Roman"/>
          <w:sz w:val="24"/>
          <w:szCs w:val="24"/>
        </w:rPr>
        <w:t>ospital</w:t>
      </w:r>
      <w:r w:rsidRPr="00B666B7">
        <w:rPr>
          <w:rFonts w:ascii="Times New Roman" w:hAnsi="Times New Roman" w:cs="Times New Roman"/>
          <w:sz w:val="24"/>
          <w:szCs w:val="24"/>
        </w:rPr>
        <w:t>s</w:t>
      </w:r>
      <w:r w:rsidR="00532FB0">
        <w:rPr>
          <w:rFonts w:ascii="Times New Roman" w:hAnsi="Times New Roman" w:cs="Times New Roman"/>
          <w:sz w:val="24"/>
          <w:szCs w:val="24"/>
        </w:rPr>
        <w:t xml:space="preserve"> or hospital systems</w:t>
      </w:r>
      <w:r w:rsidRPr="00B666B7">
        <w:rPr>
          <w:rFonts w:ascii="Times New Roman" w:hAnsi="Times New Roman" w:cs="Times New Roman"/>
          <w:sz w:val="24"/>
          <w:szCs w:val="24"/>
        </w:rPr>
        <w:t xml:space="preserve"> must submit the attestation </w:t>
      </w:r>
      <w:r>
        <w:rPr>
          <w:rFonts w:ascii="Times New Roman" w:hAnsi="Times New Roman" w:cs="Times New Roman"/>
          <w:sz w:val="24"/>
          <w:szCs w:val="24"/>
        </w:rPr>
        <w:t>to</w:t>
      </w:r>
      <w:r w:rsidR="00460B70">
        <w:rPr>
          <w:rFonts w:ascii="Times New Roman" w:hAnsi="Times New Roman" w:cs="Times New Roman"/>
          <w:sz w:val="24"/>
          <w:szCs w:val="24"/>
        </w:rPr>
        <w:t xml:space="preserve"> DPH </w:t>
      </w:r>
      <w:r>
        <w:rPr>
          <w:rFonts w:ascii="Times New Roman" w:hAnsi="Times New Roman" w:cs="Times New Roman"/>
          <w:sz w:val="24"/>
          <w:szCs w:val="24"/>
        </w:rPr>
        <w:t xml:space="preserve">via its </w:t>
      </w:r>
      <w:r w:rsidRPr="00B666B7">
        <w:rPr>
          <w:rFonts w:ascii="Times New Roman" w:hAnsi="Times New Roman" w:cs="Times New Roman"/>
          <w:sz w:val="24"/>
          <w:szCs w:val="24"/>
        </w:rPr>
        <w:t>secure reporting web-based portal, the Health Care Faci</w:t>
      </w:r>
      <w:r>
        <w:rPr>
          <w:rFonts w:ascii="Times New Roman" w:hAnsi="Times New Roman" w:cs="Times New Roman"/>
          <w:sz w:val="24"/>
          <w:szCs w:val="24"/>
        </w:rPr>
        <w:t>lity Reporting System (HCFRS). H</w:t>
      </w:r>
      <w:r w:rsidRPr="00B666B7">
        <w:rPr>
          <w:rFonts w:ascii="Times New Roman" w:hAnsi="Times New Roman" w:cs="Times New Roman"/>
          <w:sz w:val="24"/>
          <w:szCs w:val="24"/>
        </w:rPr>
        <w:t xml:space="preserve">ospitals </w:t>
      </w:r>
      <w:r w:rsidR="00532FB0">
        <w:rPr>
          <w:rFonts w:ascii="Times New Roman" w:hAnsi="Times New Roman" w:cs="Times New Roman"/>
          <w:sz w:val="24"/>
          <w:szCs w:val="24"/>
        </w:rPr>
        <w:t xml:space="preserve">or hospital systems </w:t>
      </w:r>
      <w:r w:rsidRPr="00B666B7">
        <w:rPr>
          <w:rFonts w:ascii="Times New Roman" w:hAnsi="Times New Roman" w:cs="Times New Roman"/>
          <w:sz w:val="24"/>
          <w:szCs w:val="24"/>
        </w:rPr>
        <w:t>should upload the completed attestation as a new incident case, under the incident type “Phase 1 At</w:t>
      </w:r>
      <w:r>
        <w:rPr>
          <w:rFonts w:ascii="Times New Roman" w:hAnsi="Times New Roman" w:cs="Times New Roman"/>
          <w:sz w:val="24"/>
          <w:szCs w:val="24"/>
        </w:rPr>
        <w:t xml:space="preserve">testation” and then submit it. If the hospital </w:t>
      </w:r>
      <w:r w:rsidR="00684A27">
        <w:rPr>
          <w:rFonts w:ascii="Times New Roman" w:hAnsi="Times New Roman" w:cs="Times New Roman"/>
          <w:sz w:val="24"/>
          <w:szCs w:val="24"/>
        </w:rPr>
        <w:t xml:space="preserve">or hospital system </w:t>
      </w:r>
      <w:r>
        <w:rPr>
          <w:rFonts w:ascii="Times New Roman" w:hAnsi="Times New Roman" w:cs="Times New Roman"/>
          <w:sz w:val="24"/>
          <w:szCs w:val="24"/>
        </w:rPr>
        <w:t xml:space="preserve">no longer meets the criteria described in </w:t>
      </w:r>
      <w:r w:rsidR="001F0DE3" w:rsidRPr="001F0DE3">
        <w:rPr>
          <w:rFonts w:ascii="Times New Roman" w:hAnsi="Times New Roman" w:cs="Times New Roman"/>
          <w:sz w:val="24"/>
        </w:rPr>
        <w:t>DPH Hospital Reopening Guidance</w:t>
      </w:r>
      <w:r>
        <w:rPr>
          <w:rFonts w:ascii="Times New Roman" w:hAnsi="Times New Roman" w:cs="Times New Roman"/>
          <w:sz w:val="24"/>
          <w:szCs w:val="24"/>
        </w:rPr>
        <w:t>, the hospital</w:t>
      </w:r>
      <w:r w:rsidR="00532FB0">
        <w:rPr>
          <w:rFonts w:ascii="Times New Roman" w:hAnsi="Times New Roman" w:cs="Times New Roman"/>
          <w:sz w:val="24"/>
          <w:szCs w:val="24"/>
        </w:rPr>
        <w:t xml:space="preserve"> or hospital system</w:t>
      </w:r>
      <w:r>
        <w:rPr>
          <w:rFonts w:ascii="Times New Roman" w:hAnsi="Times New Roman" w:cs="Times New Roman"/>
          <w:sz w:val="24"/>
          <w:szCs w:val="24"/>
        </w:rPr>
        <w:t xml:space="preserve"> should notify DPH via a message in the notes section using the same incident case in HCFRS.</w:t>
      </w:r>
      <w:r w:rsidRPr="00B666B7">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258"/>
        <w:gridCol w:w="6318"/>
      </w:tblGrid>
      <w:tr w:rsidR="00AE2590" w:rsidRPr="00F90034" w14:paraId="76F2C663" w14:textId="77777777" w:rsidTr="00AE2590">
        <w:trPr>
          <w:trHeight w:val="530"/>
        </w:trPr>
        <w:tc>
          <w:tcPr>
            <w:tcW w:w="9576" w:type="dxa"/>
            <w:gridSpan w:val="2"/>
            <w:shd w:val="clear" w:color="auto" w:fill="001C76"/>
            <w:vAlign w:val="center"/>
          </w:tcPr>
          <w:p w14:paraId="1BD5DFAE" w14:textId="47E58872" w:rsidR="00AE2590" w:rsidRPr="00F90034" w:rsidRDefault="007D65A9" w:rsidP="00C03A49">
            <w:pPr>
              <w:jc w:val="center"/>
              <w:rPr>
                <w:rFonts w:ascii="Times New Roman" w:hAnsi="Times New Roman" w:cs="Times New Roman"/>
                <w:b/>
                <w:color w:val="001C76"/>
              </w:rPr>
            </w:pPr>
            <w:r w:rsidRPr="00F90034">
              <w:rPr>
                <w:rFonts w:ascii="Times New Roman" w:hAnsi="Times New Roman" w:cs="Times New Roman"/>
                <w:b/>
                <w:color w:val="FFFFFF" w:themeColor="background1"/>
              </w:rPr>
              <w:t>Hospital or Hospital System Information</w:t>
            </w:r>
          </w:p>
        </w:tc>
      </w:tr>
      <w:tr w:rsidR="00AE2590" w:rsidRPr="00F90034" w14:paraId="4174A2DC" w14:textId="77777777" w:rsidTr="00AE2590">
        <w:trPr>
          <w:trHeight w:val="432"/>
        </w:trPr>
        <w:tc>
          <w:tcPr>
            <w:tcW w:w="3258" w:type="dxa"/>
            <w:tcBorders>
              <w:right w:val="nil"/>
            </w:tcBorders>
            <w:vAlign w:val="center"/>
          </w:tcPr>
          <w:p w14:paraId="5AB1BC4C" w14:textId="4760BDAB" w:rsidR="00AE2590" w:rsidRPr="00F90034" w:rsidRDefault="007D65A9" w:rsidP="00C03A49">
            <w:pPr>
              <w:rPr>
                <w:rFonts w:ascii="Times New Roman" w:hAnsi="Times New Roman" w:cs="Times New Roman"/>
                <w:b/>
              </w:rPr>
            </w:pPr>
            <w:r w:rsidRPr="00F90034">
              <w:rPr>
                <w:rFonts w:ascii="Times New Roman" w:hAnsi="Times New Roman" w:cs="Times New Roman"/>
                <w:b/>
              </w:rPr>
              <w:t>Hospital Name or Hospital System Name:</w:t>
            </w:r>
          </w:p>
        </w:tc>
        <w:tc>
          <w:tcPr>
            <w:tcW w:w="6318" w:type="dxa"/>
            <w:tcBorders>
              <w:left w:val="nil"/>
            </w:tcBorders>
            <w:shd w:val="clear" w:color="auto" w:fill="E1E8FF"/>
            <w:vAlign w:val="center"/>
          </w:tcPr>
          <w:p w14:paraId="6F91A505" w14:textId="47F1695A" w:rsidR="00AE2590" w:rsidRPr="00F90034" w:rsidRDefault="00AE2590" w:rsidP="00C03A49">
            <w:pPr>
              <w:rPr>
                <w:rFonts w:ascii="Times New Roman" w:hAnsi="Times New Roman" w:cs="Times New Roman"/>
                <w:i/>
              </w:rPr>
            </w:pPr>
          </w:p>
        </w:tc>
      </w:tr>
      <w:tr w:rsidR="00AE2590" w:rsidRPr="00F90034" w14:paraId="58153628" w14:textId="77777777" w:rsidTr="00AE2590">
        <w:trPr>
          <w:trHeight w:val="432"/>
        </w:trPr>
        <w:tc>
          <w:tcPr>
            <w:tcW w:w="3258" w:type="dxa"/>
            <w:tcBorders>
              <w:right w:val="nil"/>
            </w:tcBorders>
            <w:vAlign w:val="center"/>
          </w:tcPr>
          <w:p w14:paraId="32989715" w14:textId="65591924" w:rsidR="00AE2590" w:rsidRPr="00F90034" w:rsidRDefault="00AE2590" w:rsidP="007D65A9">
            <w:pPr>
              <w:rPr>
                <w:rFonts w:ascii="Times New Roman" w:hAnsi="Times New Roman" w:cs="Times New Roman"/>
                <w:b/>
              </w:rPr>
            </w:pPr>
            <w:r w:rsidRPr="00F90034">
              <w:rPr>
                <w:rFonts w:ascii="Times New Roman" w:hAnsi="Times New Roman" w:cs="Times New Roman"/>
                <w:b/>
              </w:rPr>
              <w:t>Date of Attestation:</w:t>
            </w:r>
          </w:p>
        </w:tc>
        <w:tc>
          <w:tcPr>
            <w:tcW w:w="6318" w:type="dxa"/>
            <w:tcBorders>
              <w:left w:val="nil"/>
            </w:tcBorders>
            <w:shd w:val="clear" w:color="auto" w:fill="E1E8FF"/>
            <w:vAlign w:val="center"/>
          </w:tcPr>
          <w:p w14:paraId="22E8CD35" w14:textId="77777777" w:rsidR="00AE2590" w:rsidRPr="00F90034" w:rsidRDefault="00AE2590" w:rsidP="00C03A49">
            <w:pPr>
              <w:rPr>
                <w:rFonts w:ascii="Times New Roman" w:hAnsi="Times New Roman" w:cs="Times New Roman"/>
              </w:rPr>
            </w:pPr>
          </w:p>
        </w:tc>
      </w:tr>
      <w:tr w:rsidR="00AE2590" w:rsidRPr="00F90034" w14:paraId="06200A5C" w14:textId="77777777" w:rsidTr="00AE2590">
        <w:trPr>
          <w:trHeight w:val="432"/>
        </w:trPr>
        <w:tc>
          <w:tcPr>
            <w:tcW w:w="3258" w:type="dxa"/>
            <w:tcBorders>
              <w:right w:val="nil"/>
            </w:tcBorders>
            <w:vAlign w:val="center"/>
          </w:tcPr>
          <w:p w14:paraId="40CB7672" w14:textId="4219E405" w:rsidR="00AE2590" w:rsidRPr="00F90034" w:rsidRDefault="00AE2590" w:rsidP="00AE2590">
            <w:pPr>
              <w:rPr>
                <w:rFonts w:ascii="Times New Roman" w:hAnsi="Times New Roman" w:cs="Times New Roman"/>
                <w:b/>
              </w:rPr>
            </w:pPr>
            <w:r w:rsidRPr="00F90034">
              <w:rPr>
                <w:rFonts w:ascii="Times New Roman" w:hAnsi="Times New Roman" w:cs="Times New Roman"/>
                <w:b/>
              </w:rPr>
              <w:t>Date to Begin Phase 1 Services:</w:t>
            </w:r>
          </w:p>
        </w:tc>
        <w:tc>
          <w:tcPr>
            <w:tcW w:w="6318" w:type="dxa"/>
            <w:tcBorders>
              <w:left w:val="nil"/>
            </w:tcBorders>
            <w:shd w:val="clear" w:color="auto" w:fill="E1E8FF"/>
            <w:vAlign w:val="center"/>
          </w:tcPr>
          <w:p w14:paraId="588BCC0E" w14:textId="77777777" w:rsidR="00AE2590" w:rsidRPr="00F90034" w:rsidRDefault="00AE2590" w:rsidP="00C03A49">
            <w:pPr>
              <w:rPr>
                <w:rFonts w:ascii="Times New Roman" w:hAnsi="Times New Roman" w:cs="Times New Roman"/>
              </w:rPr>
            </w:pPr>
          </w:p>
        </w:tc>
      </w:tr>
      <w:tr w:rsidR="00AE2590" w:rsidRPr="00F90034" w14:paraId="4D1102A0" w14:textId="77777777" w:rsidTr="00C03A49">
        <w:trPr>
          <w:trHeight w:val="432"/>
        </w:trPr>
        <w:tc>
          <w:tcPr>
            <w:tcW w:w="9576" w:type="dxa"/>
            <w:gridSpan w:val="2"/>
            <w:shd w:val="clear" w:color="auto" w:fill="D9D9D9" w:themeFill="background1" w:themeFillShade="D9"/>
            <w:vAlign w:val="center"/>
          </w:tcPr>
          <w:p w14:paraId="25275FA0" w14:textId="0BF78156" w:rsidR="00AE2590" w:rsidRPr="00F90034" w:rsidRDefault="00DC6017" w:rsidP="00C03A49">
            <w:pPr>
              <w:jc w:val="center"/>
              <w:rPr>
                <w:rFonts w:ascii="Times New Roman" w:hAnsi="Times New Roman" w:cs="Times New Roman"/>
                <w:b/>
              </w:rPr>
            </w:pPr>
            <w:r w:rsidRPr="00F90034">
              <w:rPr>
                <w:rFonts w:ascii="Times New Roman" w:hAnsi="Times New Roman" w:cs="Times New Roman"/>
                <w:b/>
              </w:rPr>
              <w:t>Chief Executive Officer</w:t>
            </w:r>
          </w:p>
          <w:p w14:paraId="163A13A9" w14:textId="0BCC253A" w:rsidR="008F15FD" w:rsidRPr="00F90034" w:rsidRDefault="00156E92" w:rsidP="001F7C54">
            <w:pPr>
              <w:jc w:val="center"/>
              <w:rPr>
                <w:rFonts w:ascii="Times New Roman" w:hAnsi="Times New Roman" w:cs="Times New Roman"/>
                <w:i/>
              </w:rPr>
            </w:pPr>
            <w:r w:rsidRPr="00F90034">
              <w:rPr>
                <w:rFonts w:ascii="Times New Roman" w:hAnsi="Times New Roman" w:cs="Times New Roman"/>
                <w:i/>
              </w:rPr>
              <w:t>CEO authorized to sign</w:t>
            </w:r>
            <w:r w:rsidR="008F15FD" w:rsidRPr="00F90034">
              <w:rPr>
                <w:rFonts w:ascii="Times New Roman" w:hAnsi="Times New Roman" w:cs="Times New Roman"/>
                <w:i/>
              </w:rPr>
              <w:t xml:space="preserve"> on behalf of the </w:t>
            </w:r>
            <w:r w:rsidR="001F7C54" w:rsidRPr="00F90034">
              <w:rPr>
                <w:rFonts w:ascii="Times New Roman" w:hAnsi="Times New Roman" w:cs="Times New Roman"/>
                <w:i/>
              </w:rPr>
              <w:t>hospital</w:t>
            </w:r>
            <w:r w:rsidRPr="00F90034">
              <w:rPr>
                <w:rFonts w:ascii="Times New Roman" w:hAnsi="Times New Roman" w:cs="Times New Roman"/>
                <w:i/>
              </w:rPr>
              <w:t xml:space="preserve"> or hospital system</w:t>
            </w:r>
          </w:p>
        </w:tc>
      </w:tr>
      <w:tr w:rsidR="00AE2590" w:rsidRPr="00F90034" w14:paraId="25B7E120" w14:textId="77777777" w:rsidTr="008F15FD">
        <w:trPr>
          <w:trHeight w:val="432"/>
        </w:trPr>
        <w:tc>
          <w:tcPr>
            <w:tcW w:w="3258" w:type="dxa"/>
            <w:tcBorders>
              <w:right w:val="nil"/>
            </w:tcBorders>
            <w:vAlign w:val="center"/>
          </w:tcPr>
          <w:p w14:paraId="209E91DD" w14:textId="77777777" w:rsidR="00AE2590" w:rsidRPr="00F90034" w:rsidRDefault="00AE2590" w:rsidP="00C03A49">
            <w:pPr>
              <w:rPr>
                <w:rFonts w:ascii="Times New Roman" w:hAnsi="Times New Roman" w:cs="Times New Roman"/>
                <w:b/>
              </w:rPr>
            </w:pPr>
            <w:r w:rsidRPr="00F90034">
              <w:rPr>
                <w:rFonts w:ascii="Times New Roman" w:hAnsi="Times New Roman" w:cs="Times New Roman"/>
                <w:b/>
              </w:rPr>
              <w:t>Name:</w:t>
            </w:r>
          </w:p>
        </w:tc>
        <w:tc>
          <w:tcPr>
            <w:tcW w:w="6318" w:type="dxa"/>
            <w:tcBorders>
              <w:left w:val="nil"/>
            </w:tcBorders>
            <w:shd w:val="clear" w:color="auto" w:fill="E1E8FF"/>
            <w:vAlign w:val="center"/>
          </w:tcPr>
          <w:p w14:paraId="7E4E87AD" w14:textId="77777777" w:rsidR="00AE2590" w:rsidRPr="00F90034" w:rsidRDefault="00AE2590" w:rsidP="00C03A49">
            <w:pPr>
              <w:rPr>
                <w:rFonts w:ascii="Times New Roman" w:hAnsi="Times New Roman" w:cs="Times New Roman"/>
              </w:rPr>
            </w:pPr>
          </w:p>
        </w:tc>
      </w:tr>
      <w:tr w:rsidR="00AE2590" w:rsidRPr="00F90034" w14:paraId="38AE6529" w14:textId="77777777" w:rsidTr="008F15FD">
        <w:trPr>
          <w:trHeight w:val="432"/>
        </w:trPr>
        <w:tc>
          <w:tcPr>
            <w:tcW w:w="3258" w:type="dxa"/>
            <w:tcBorders>
              <w:right w:val="nil"/>
            </w:tcBorders>
            <w:vAlign w:val="center"/>
          </w:tcPr>
          <w:p w14:paraId="477DED9A" w14:textId="77777777" w:rsidR="00AE2590" w:rsidRPr="00F90034" w:rsidRDefault="00AE2590" w:rsidP="00C03A49">
            <w:pPr>
              <w:rPr>
                <w:rFonts w:ascii="Times New Roman" w:hAnsi="Times New Roman" w:cs="Times New Roman"/>
                <w:b/>
              </w:rPr>
            </w:pPr>
            <w:r w:rsidRPr="00F90034">
              <w:rPr>
                <w:rFonts w:ascii="Times New Roman" w:hAnsi="Times New Roman" w:cs="Times New Roman"/>
                <w:b/>
              </w:rPr>
              <w:t>Phone Number:</w:t>
            </w:r>
          </w:p>
        </w:tc>
        <w:tc>
          <w:tcPr>
            <w:tcW w:w="6318" w:type="dxa"/>
            <w:tcBorders>
              <w:left w:val="nil"/>
            </w:tcBorders>
            <w:shd w:val="clear" w:color="auto" w:fill="E1E8FF"/>
            <w:vAlign w:val="center"/>
          </w:tcPr>
          <w:p w14:paraId="4511030A" w14:textId="77777777" w:rsidR="00AE2590" w:rsidRPr="00F90034" w:rsidRDefault="00AE2590" w:rsidP="00C03A49">
            <w:pPr>
              <w:rPr>
                <w:rFonts w:ascii="Times New Roman" w:hAnsi="Times New Roman" w:cs="Times New Roman"/>
              </w:rPr>
            </w:pPr>
          </w:p>
        </w:tc>
      </w:tr>
      <w:tr w:rsidR="00AE2590" w:rsidRPr="00F90034" w14:paraId="272BA759" w14:textId="77777777" w:rsidTr="008F15FD">
        <w:trPr>
          <w:trHeight w:val="432"/>
        </w:trPr>
        <w:tc>
          <w:tcPr>
            <w:tcW w:w="3258" w:type="dxa"/>
            <w:tcBorders>
              <w:right w:val="nil"/>
            </w:tcBorders>
            <w:vAlign w:val="center"/>
          </w:tcPr>
          <w:p w14:paraId="156B9729" w14:textId="77777777" w:rsidR="00AE2590" w:rsidRPr="00F90034" w:rsidRDefault="00AE2590" w:rsidP="00C03A49">
            <w:pPr>
              <w:rPr>
                <w:rFonts w:ascii="Times New Roman" w:hAnsi="Times New Roman" w:cs="Times New Roman"/>
                <w:b/>
              </w:rPr>
            </w:pPr>
            <w:r w:rsidRPr="00F90034">
              <w:rPr>
                <w:rFonts w:ascii="Times New Roman" w:hAnsi="Times New Roman" w:cs="Times New Roman"/>
                <w:b/>
              </w:rPr>
              <w:t>E-mail Address:</w:t>
            </w:r>
          </w:p>
        </w:tc>
        <w:tc>
          <w:tcPr>
            <w:tcW w:w="6318" w:type="dxa"/>
            <w:tcBorders>
              <w:left w:val="nil"/>
            </w:tcBorders>
            <w:shd w:val="clear" w:color="auto" w:fill="E1E8FF"/>
            <w:vAlign w:val="center"/>
          </w:tcPr>
          <w:p w14:paraId="5B92BB63" w14:textId="77777777" w:rsidR="00AE2590" w:rsidRPr="00F90034" w:rsidRDefault="00AE2590" w:rsidP="00C03A49">
            <w:pPr>
              <w:rPr>
                <w:rFonts w:ascii="Times New Roman" w:hAnsi="Times New Roman" w:cs="Times New Roman"/>
              </w:rPr>
            </w:pPr>
          </w:p>
        </w:tc>
      </w:tr>
    </w:tbl>
    <w:p w14:paraId="35F75D9A" w14:textId="400B217A" w:rsidR="00D90EDF" w:rsidRPr="00F90034" w:rsidRDefault="00D90EDF" w:rsidP="00BC62BA">
      <w:pPr>
        <w:rPr>
          <w:rFonts w:ascii="Times New Roman" w:hAnsi="Times New Roman" w:cs="Times New Roman"/>
          <w:b/>
        </w:rPr>
      </w:pPr>
    </w:p>
    <w:p w14:paraId="061017D2" w14:textId="77777777" w:rsidR="00D90EDF" w:rsidRPr="00F90034" w:rsidRDefault="00D90EDF">
      <w:pPr>
        <w:rPr>
          <w:rFonts w:ascii="Times New Roman" w:hAnsi="Times New Roman" w:cs="Times New Roman"/>
          <w:b/>
        </w:rPr>
      </w:pPr>
      <w:r w:rsidRPr="00F90034">
        <w:rPr>
          <w:rFonts w:ascii="Times New Roman" w:hAnsi="Times New Roman" w:cs="Times New Roman"/>
          <w:b/>
        </w:rPr>
        <w:br w:type="page"/>
      </w:r>
    </w:p>
    <w:tbl>
      <w:tblPr>
        <w:tblStyle w:val="TableGrid"/>
        <w:tblW w:w="0" w:type="auto"/>
        <w:tblLook w:val="04A0" w:firstRow="1" w:lastRow="0" w:firstColumn="1" w:lastColumn="0" w:noHBand="0" w:noVBand="1"/>
      </w:tblPr>
      <w:tblGrid>
        <w:gridCol w:w="1368"/>
        <w:gridCol w:w="8208"/>
      </w:tblGrid>
      <w:tr w:rsidR="008F15FD" w:rsidRPr="00F90034" w14:paraId="71188F48" w14:textId="77777777" w:rsidTr="00D90EDF">
        <w:trPr>
          <w:trHeight w:val="800"/>
        </w:trPr>
        <w:tc>
          <w:tcPr>
            <w:tcW w:w="9576" w:type="dxa"/>
            <w:gridSpan w:val="2"/>
            <w:shd w:val="clear" w:color="auto" w:fill="001C76"/>
            <w:vAlign w:val="center"/>
          </w:tcPr>
          <w:p w14:paraId="775C6613" w14:textId="77777777" w:rsidR="008F15FD" w:rsidRPr="00F90034" w:rsidRDefault="008F15FD" w:rsidP="00C03A49">
            <w:pPr>
              <w:jc w:val="center"/>
              <w:rPr>
                <w:rFonts w:ascii="Times New Roman" w:hAnsi="Times New Roman" w:cs="Times New Roman"/>
                <w:b/>
                <w:color w:val="FFFFFF" w:themeColor="background1"/>
              </w:rPr>
            </w:pPr>
            <w:r w:rsidRPr="00F90034">
              <w:rPr>
                <w:rFonts w:ascii="Times New Roman" w:hAnsi="Times New Roman" w:cs="Times New Roman"/>
                <w:b/>
                <w:color w:val="FFFFFF" w:themeColor="background1"/>
              </w:rPr>
              <w:lastRenderedPageBreak/>
              <w:t>Attestation</w:t>
            </w:r>
            <w:r w:rsidR="00A31074" w:rsidRPr="00F90034">
              <w:rPr>
                <w:rFonts w:ascii="Times New Roman" w:hAnsi="Times New Roman" w:cs="Times New Roman"/>
                <w:b/>
                <w:color w:val="FFFFFF" w:themeColor="background1"/>
              </w:rPr>
              <w:t xml:space="preserve"> of Compliance</w:t>
            </w:r>
          </w:p>
          <w:p w14:paraId="2E864BD9" w14:textId="5052738C" w:rsidR="00A31074" w:rsidRPr="00F90034" w:rsidRDefault="00A31074" w:rsidP="00C03A49">
            <w:pPr>
              <w:jc w:val="center"/>
              <w:rPr>
                <w:rFonts w:ascii="Times New Roman" w:hAnsi="Times New Roman" w:cs="Times New Roman"/>
                <w:b/>
                <w:i/>
                <w:color w:val="001C76"/>
              </w:rPr>
            </w:pPr>
            <w:r w:rsidRPr="00F90034">
              <w:rPr>
                <w:rFonts w:ascii="Times New Roman" w:hAnsi="Times New Roman" w:cs="Times New Roman"/>
                <w:b/>
                <w:i/>
                <w:color w:val="FFFFFF" w:themeColor="background1"/>
              </w:rPr>
              <w:t xml:space="preserve">Mark each </w:t>
            </w:r>
            <w:proofErr w:type="gramStart"/>
            <w:r w:rsidRPr="00F90034">
              <w:rPr>
                <w:rFonts w:ascii="Times New Roman" w:hAnsi="Times New Roman" w:cs="Times New Roman"/>
                <w:b/>
                <w:i/>
                <w:color w:val="FFFFFF" w:themeColor="background1"/>
              </w:rPr>
              <w:t>criteria</w:t>
            </w:r>
            <w:proofErr w:type="gramEnd"/>
            <w:r w:rsidRPr="00F90034">
              <w:rPr>
                <w:rFonts w:ascii="Times New Roman" w:hAnsi="Times New Roman" w:cs="Times New Roman"/>
                <w:b/>
                <w:i/>
                <w:color w:val="FFFFFF" w:themeColor="background1"/>
              </w:rPr>
              <w:t xml:space="preserve"> with an “X”</w:t>
            </w:r>
          </w:p>
        </w:tc>
      </w:tr>
      <w:tr w:rsidR="008F15FD" w:rsidRPr="00F90034" w14:paraId="5791AA6B" w14:textId="77777777" w:rsidTr="008F15FD">
        <w:trPr>
          <w:trHeight w:val="432"/>
        </w:trPr>
        <w:tc>
          <w:tcPr>
            <w:tcW w:w="9576" w:type="dxa"/>
            <w:gridSpan w:val="2"/>
            <w:shd w:val="clear" w:color="auto" w:fill="auto"/>
            <w:vAlign w:val="center"/>
          </w:tcPr>
          <w:p w14:paraId="52C7D70B" w14:textId="1FFC529E" w:rsidR="008F15FD" w:rsidRPr="00F90034" w:rsidRDefault="008F15FD" w:rsidP="008F15FD">
            <w:pPr>
              <w:tabs>
                <w:tab w:val="left" w:pos="4002"/>
              </w:tabs>
              <w:rPr>
                <w:rFonts w:ascii="Times New Roman" w:hAnsi="Times New Roman" w:cs="Times New Roman"/>
              </w:rPr>
            </w:pPr>
            <w:r w:rsidRPr="00F90034">
              <w:rPr>
                <w:rFonts w:ascii="Times New Roman" w:hAnsi="Times New Roman" w:cs="Times New Roman"/>
              </w:rPr>
              <w:t xml:space="preserve">In accordance with </w:t>
            </w:r>
            <w:commentRangeStart w:id="1"/>
            <w:r w:rsidR="00C60A20" w:rsidRPr="00F90034">
              <w:fldChar w:fldCharType="begin"/>
            </w:r>
            <w:r w:rsidR="00C60A20" w:rsidRPr="00F90034">
              <w:rPr>
                <w:rFonts w:ascii="Times New Roman" w:hAnsi="Times New Roman" w:cs="Times New Roman"/>
              </w:rPr>
              <w:instrText xml:space="preserve"> HYPERLINK "https://www.mass.gov/doc/dph-phase-1-reopening-guidance-acute-care-hospitals-may-18/download" </w:instrText>
            </w:r>
            <w:r w:rsidR="00C60A20" w:rsidRPr="00F90034">
              <w:fldChar w:fldCharType="separate"/>
            </w:r>
            <w:r w:rsidR="001F0DE3" w:rsidRPr="00F90034">
              <w:rPr>
                <w:rStyle w:val="Hyperlink"/>
                <w:rFonts w:ascii="Times New Roman" w:hAnsi="Times New Roman" w:cs="Times New Roman"/>
              </w:rPr>
              <w:t>DPH Hospital Reopening Guidance</w:t>
            </w:r>
            <w:r w:rsidR="00C60A20" w:rsidRPr="00F90034">
              <w:rPr>
                <w:rStyle w:val="Hyperlink"/>
                <w:rFonts w:ascii="Times New Roman" w:hAnsi="Times New Roman" w:cs="Times New Roman"/>
              </w:rPr>
              <w:fldChar w:fldCharType="end"/>
            </w:r>
            <w:commentRangeEnd w:id="1"/>
            <w:r w:rsidR="00D90EDF" w:rsidRPr="00F90034">
              <w:rPr>
                <w:rStyle w:val="CommentReference"/>
                <w:rFonts w:ascii="Times New Roman" w:hAnsi="Times New Roman" w:cs="Times New Roman"/>
                <w:sz w:val="22"/>
                <w:szCs w:val="22"/>
              </w:rPr>
              <w:commentReference w:id="1"/>
            </w:r>
            <w:r w:rsidRPr="00F90034">
              <w:rPr>
                <w:rFonts w:ascii="Times New Roman" w:hAnsi="Times New Roman" w:cs="Times New Roman"/>
              </w:rPr>
              <w:t>, the undersigned certifies that:</w:t>
            </w:r>
          </w:p>
        </w:tc>
      </w:tr>
      <w:tr w:rsidR="008F15FD" w:rsidRPr="00F90034" w14:paraId="7F7D1D65" w14:textId="77777777" w:rsidTr="008F15FD">
        <w:trPr>
          <w:trHeight w:val="432"/>
        </w:trPr>
        <w:tc>
          <w:tcPr>
            <w:tcW w:w="9576" w:type="dxa"/>
            <w:gridSpan w:val="2"/>
            <w:shd w:val="clear" w:color="auto" w:fill="D9D9D9" w:themeFill="background1" w:themeFillShade="D9"/>
            <w:vAlign w:val="center"/>
          </w:tcPr>
          <w:p w14:paraId="64BB4619" w14:textId="337E0009" w:rsidR="008F15FD" w:rsidRPr="00F90034" w:rsidRDefault="00DC6017" w:rsidP="008F15FD">
            <w:pPr>
              <w:tabs>
                <w:tab w:val="left" w:pos="4002"/>
              </w:tabs>
              <w:rPr>
                <w:rFonts w:ascii="Times New Roman" w:hAnsi="Times New Roman" w:cs="Times New Roman"/>
                <w:b/>
              </w:rPr>
            </w:pPr>
            <w:r w:rsidRPr="00F90034">
              <w:rPr>
                <w:rFonts w:ascii="Times New Roman" w:hAnsi="Times New Roman" w:cs="Times New Roman"/>
                <w:b/>
              </w:rPr>
              <w:t>Capacity Criteria</w:t>
            </w:r>
            <w:r w:rsidR="002B6CB8" w:rsidRPr="00F90034">
              <w:rPr>
                <w:rFonts w:ascii="Times New Roman" w:hAnsi="Times New Roman" w:cs="Times New Roman"/>
                <w:b/>
              </w:rPr>
              <w:t xml:space="preserve"> (See Methodology Guidance Below </w:t>
            </w:r>
            <w:proofErr w:type="gramStart"/>
            <w:r w:rsidR="002B6CB8" w:rsidRPr="00F90034">
              <w:rPr>
                <w:rFonts w:ascii="Times New Roman" w:hAnsi="Times New Roman" w:cs="Times New Roman"/>
                <w:b/>
              </w:rPr>
              <w:t>For</w:t>
            </w:r>
            <w:proofErr w:type="gramEnd"/>
            <w:r w:rsidR="002B6CB8" w:rsidRPr="00F90034">
              <w:rPr>
                <w:rFonts w:ascii="Times New Roman" w:hAnsi="Times New Roman" w:cs="Times New Roman"/>
                <w:b/>
              </w:rPr>
              <w:t xml:space="preserve"> More Information)</w:t>
            </w:r>
          </w:p>
        </w:tc>
      </w:tr>
      <w:tr w:rsidR="00DC6017" w:rsidRPr="00F90034" w14:paraId="7AF78813" w14:textId="77777777" w:rsidTr="008F15FD">
        <w:trPr>
          <w:trHeight w:val="432"/>
        </w:trPr>
        <w:tc>
          <w:tcPr>
            <w:tcW w:w="1368" w:type="dxa"/>
            <w:tcBorders>
              <w:right w:val="nil"/>
            </w:tcBorders>
            <w:shd w:val="clear" w:color="auto" w:fill="E1E8FF"/>
            <w:vAlign w:val="center"/>
          </w:tcPr>
          <w:p w14:paraId="0BC82B5B" w14:textId="582445E6" w:rsidR="00DC6017" w:rsidRPr="00F90034" w:rsidRDefault="00DC6017" w:rsidP="008F15FD">
            <w:pPr>
              <w:jc w:val="center"/>
              <w:rPr>
                <w:rFonts w:ascii="Times New Roman" w:hAnsi="Times New Roman" w:cs="Times New Roman"/>
                <w:b/>
                <w:i/>
              </w:rPr>
            </w:pPr>
          </w:p>
        </w:tc>
        <w:tc>
          <w:tcPr>
            <w:tcW w:w="8208" w:type="dxa"/>
            <w:tcBorders>
              <w:left w:val="nil"/>
            </w:tcBorders>
            <w:shd w:val="clear" w:color="auto" w:fill="auto"/>
            <w:vAlign w:val="center"/>
          </w:tcPr>
          <w:p w14:paraId="1934002D" w14:textId="05E15B51" w:rsidR="00DC6017" w:rsidRPr="00F90034" w:rsidRDefault="00DC6017" w:rsidP="00DC6017">
            <w:pPr>
              <w:rPr>
                <w:rFonts w:ascii="Times New Roman" w:hAnsi="Times New Roman" w:cs="Times New Roman"/>
              </w:rPr>
            </w:pPr>
            <w:r w:rsidRPr="00F90034">
              <w:rPr>
                <w:rFonts w:ascii="Times New Roman" w:hAnsi="Times New Roman" w:cs="Times New Roman"/>
              </w:rPr>
              <w:t>The 7-day average of the hospital’s or hospital system’s available, staffed adult ICU beds was at least 25% of its total staffed adult ICU bed capacity (including staffed surge ICU beds) as of the date of attestation.</w:t>
            </w:r>
          </w:p>
        </w:tc>
      </w:tr>
      <w:tr w:rsidR="00DC6017" w:rsidRPr="00F90034" w14:paraId="166438D1" w14:textId="77777777" w:rsidTr="008F15FD">
        <w:trPr>
          <w:trHeight w:val="432"/>
        </w:trPr>
        <w:tc>
          <w:tcPr>
            <w:tcW w:w="1368" w:type="dxa"/>
            <w:tcBorders>
              <w:right w:val="nil"/>
            </w:tcBorders>
            <w:shd w:val="clear" w:color="auto" w:fill="E1E8FF"/>
            <w:vAlign w:val="center"/>
          </w:tcPr>
          <w:p w14:paraId="052C36EB" w14:textId="77777777" w:rsidR="00DC6017" w:rsidRPr="00F90034" w:rsidRDefault="00DC6017" w:rsidP="008F15FD">
            <w:pPr>
              <w:jc w:val="center"/>
              <w:rPr>
                <w:rFonts w:ascii="Times New Roman" w:hAnsi="Times New Roman" w:cs="Times New Roman"/>
                <w:b/>
                <w:i/>
              </w:rPr>
            </w:pPr>
          </w:p>
        </w:tc>
        <w:tc>
          <w:tcPr>
            <w:tcW w:w="8208" w:type="dxa"/>
            <w:tcBorders>
              <w:left w:val="nil"/>
            </w:tcBorders>
            <w:shd w:val="clear" w:color="auto" w:fill="auto"/>
            <w:vAlign w:val="center"/>
          </w:tcPr>
          <w:p w14:paraId="0C438C26" w14:textId="6FD237B7" w:rsidR="00DC6017" w:rsidRPr="00F90034" w:rsidRDefault="00DC6017" w:rsidP="00DC6017">
            <w:pPr>
              <w:rPr>
                <w:rFonts w:ascii="Times New Roman" w:hAnsi="Times New Roman" w:cs="Times New Roman"/>
              </w:rPr>
            </w:pPr>
            <w:r w:rsidRPr="00F90034">
              <w:rPr>
                <w:rFonts w:ascii="Times New Roman" w:hAnsi="Times New Roman" w:cs="Times New Roman"/>
              </w:rPr>
              <w:t>The 7-day average of the hospital’s or hospital system’s available, staffed adult inpatient beds was at least 25% of its total staffed adult inpatient bed capacity (</w:t>
            </w:r>
            <w:r w:rsidR="005C37B4" w:rsidRPr="00F90034">
              <w:rPr>
                <w:rFonts w:ascii="Times New Roman" w:hAnsi="Times New Roman" w:cs="Times New Roman"/>
              </w:rPr>
              <w:t xml:space="preserve">adult ICU and adult medical surgical beds including </w:t>
            </w:r>
            <w:r w:rsidRPr="00F90034">
              <w:rPr>
                <w:rFonts w:ascii="Times New Roman" w:hAnsi="Times New Roman" w:cs="Times New Roman"/>
              </w:rPr>
              <w:t>staffed surge beds) as of the date of attestation.</w:t>
            </w:r>
          </w:p>
        </w:tc>
      </w:tr>
      <w:tr w:rsidR="00DC6017" w:rsidRPr="00F90034" w14:paraId="52CB5B18" w14:textId="77777777" w:rsidTr="008F15FD">
        <w:trPr>
          <w:trHeight w:val="432"/>
        </w:trPr>
        <w:tc>
          <w:tcPr>
            <w:tcW w:w="1368" w:type="dxa"/>
            <w:tcBorders>
              <w:right w:val="nil"/>
            </w:tcBorders>
            <w:shd w:val="clear" w:color="auto" w:fill="E1E8FF"/>
            <w:vAlign w:val="center"/>
          </w:tcPr>
          <w:p w14:paraId="1DE46772" w14:textId="77777777" w:rsidR="00DC6017" w:rsidRPr="00F90034" w:rsidRDefault="00DC6017" w:rsidP="008F15FD">
            <w:pPr>
              <w:jc w:val="center"/>
              <w:rPr>
                <w:rFonts w:ascii="Times New Roman" w:hAnsi="Times New Roman" w:cs="Times New Roman"/>
                <w:b/>
                <w:i/>
              </w:rPr>
            </w:pPr>
          </w:p>
        </w:tc>
        <w:tc>
          <w:tcPr>
            <w:tcW w:w="8208" w:type="dxa"/>
            <w:tcBorders>
              <w:left w:val="nil"/>
            </w:tcBorders>
            <w:shd w:val="clear" w:color="auto" w:fill="auto"/>
            <w:vAlign w:val="center"/>
          </w:tcPr>
          <w:p w14:paraId="5E6138C2" w14:textId="7CAFF372" w:rsidR="00DC6017" w:rsidRPr="00F90034" w:rsidRDefault="00DC6017" w:rsidP="00DC6017">
            <w:pPr>
              <w:rPr>
                <w:rFonts w:ascii="Times New Roman" w:hAnsi="Times New Roman" w:cs="Times New Roman"/>
              </w:rPr>
            </w:pPr>
            <w:r w:rsidRPr="00F90034">
              <w:rPr>
                <w:rFonts w:ascii="Times New Roman" w:hAnsi="Times New Roman" w:cs="Times New Roman"/>
              </w:rPr>
              <w:t xml:space="preserve">The hospital or hospital system has reopened and has the ability to staff all pediatric ICU beds and psychiatric/behavioral health beds consistent with pre-pandemic levels as described in </w:t>
            </w:r>
            <w:hyperlink r:id="rId14" w:history="1">
              <w:r w:rsidR="001F0DE3" w:rsidRPr="00F90034">
                <w:rPr>
                  <w:rStyle w:val="Hyperlink"/>
                  <w:rFonts w:ascii="Times New Roman" w:hAnsi="Times New Roman" w:cs="Times New Roman"/>
                </w:rPr>
                <w:t>DPH Hospital Reopening Guidance</w:t>
              </w:r>
            </w:hyperlink>
            <w:r w:rsidRPr="00F90034">
              <w:rPr>
                <w:rFonts w:ascii="Times New Roman" w:hAnsi="Times New Roman" w:cs="Times New Roman"/>
              </w:rPr>
              <w:t xml:space="preserve">.  </w:t>
            </w:r>
          </w:p>
        </w:tc>
      </w:tr>
      <w:tr w:rsidR="00DC6017" w:rsidRPr="00F90034" w14:paraId="29428146" w14:textId="77777777" w:rsidTr="008F15FD">
        <w:trPr>
          <w:trHeight w:val="432"/>
        </w:trPr>
        <w:tc>
          <w:tcPr>
            <w:tcW w:w="1368" w:type="dxa"/>
            <w:tcBorders>
              <w:right w:val="nil"/>
            </w:tcBorders>
            <w:shd w:val="clear" w:color="auto" w:fill="E1E8FF"/>
            <w:vAlign w:val="center"/>
          </w:tcPr>
          <w:p w14:paraId="69CCC71A" w14:textId="77777777" w:rsidR="00DC6017" w:rsidRPr="00F90034" w:rsidRDefault="00DC6017" w:rsidP="008F15FD">
            <w:pPr>
              <w:jc w:val="center"/>
              <w:rPr>
                <w:rFonts w:ascii="Times New Roman" w:hAnsi="Times New Roman" w:cs="Times New Roman"/>
                <w:b/>
                <w:i/>
              </w:rPr>
            </w:pPr>
          </w:p>
        </w:tc>
        <w:tc>
          <w:tcPr>
            <w:tcW w:w="8208" w:type="dxa"/>
            <w:tcBorders>
              <w:left w:val="nil"/>
            </w:tcBorders>
            <w:shd w:val="clear" w:color="auto" w:fill="auto"/>
            <w:vAlign w:val="center"/>
          </w:tcPr>
          <w:p w14:paraId="6FFF1E83" w14:textId="6EB0546C" w:rsidR="00DC6017" w:rsidRPr="00F90034" w:rsidRDefault="00DC6017" w:rsidP="004B4B99">
            <w:pPr>
              <w:rPr>
                <w:rFonts w:ascii="Times New Roman" w:hAnsi="Times New Roman" w:cs="Times New Roman"/>
              </w:rPr>
            </w:pPr>
            <w:r w:rsidRPr="00F90034">
              <w:rPr>
                <w:rFonts w:ascii="Times New Roman" w:hAnsi="Times New Roman" w:cs="Times New Roman"/>
              </w:rPr>
              <w:t xml:space="preserve">If the </w:t>
            </w:r>
            <w:r w:rsidR="005C37B4" w:rsidRPr="00F90034">
              <w:rPr>
                <w:rFonts w:ascii="Times New Roman" w:hAnsi="Times New Roman" w:cs="Times New Roman"/>
              </w:rPr>
              <w:t xml:space="preserve">7-day average of the </w:t>
            </w:r>
            <w:r w:rsidRPr="00F90034">
              <w:rPr>
                <w:rFonts w:ascii="Times New Roman" w:hAnsi="Times New Roman" w:cs="Times New Roman"/>
              </w:rPr>
              <w:t xml:space="preserve">hospital’s or hospital system’s </w:t>
            </w:r>
            <w:r w:rsidR="005C37B4" w:rsidRPr="00F90034">
              <w:rPr>
                <w:rFonts w:ascii="Times New Roman" w:hAnsi="Times New Roman" w:cs="Times New Roman"/>
              </w:rPr>
              <w:t xml:space="preserve">total staffed </w:t>
            </w:r>
            <w:r w:rsidR="004B4B99" w:rsidRPr="00F90034">
              <w:rPr>
                <w:rFonts w:ascii="Times New Roman" w:hAnsi="Times New Roman" w:cs="Times New Roman"/>
              </w:rPr>
              <w:t>adult inpatient</w:t>
            </w:r>
            <w:r w:rsidRPr="00F90034">
              <w:rPr>
                <w:rFonts w:ascii="Times New Roman" w:hAnsi="Times New Roman" w:cs="Times New Roman"/>
              </w:rPr>
              <w:t xml:space="preserve"> bed capacity </w:t>
            </w:r>
            <w:r w:rsidR="005C37B4" w:rsidRPr="00F90034">
              <w:rPr>
                <w:rFonts w:ascii="Times New Roman" w:hAnsi="Times New Roman" w:cs="Times New Roman"/>
              </w:rPr>
              <w:t>(adult ICU and adult medical</w:t>
            </w:r>
            <w:r w:rsidR="009C39B7" w:rsidRPr="00F90034">
              <w:rPr>
                <w:rFonts w:ascii="Times New Roman" w:hAnsi="Times New Roman" w:cs="Times New Roman"/>
              </w:rPr>
              <w:t>/</w:t>
            </w:r>
            <w:r w:rsidR="005C37B4" w:rsidRPr="00F90034">
              <w:rPr>
                <w:rFonts w:ascii="Times New Roman" w:hAnsi="Times New Roman" w:cs="Times New Roman"/>
              </w:rPr>
              <w:t>surgical beds included staffed surge</w:t>
            </w:r>
            <w:r w:rsidR="009C39B7" w:rsidRPr="00F90034">
              <w:rPr>
                <w:rFonts w:ascii="Times New Roman" w:hAnsi="Times New Roman" w:cs="Times New Roman"/>
              </w:rPr>
              <w:t xml:space="preserve"> beds</w:t>
            </w:r>
            <w:r w:rsidR="005C37B4" w:rsidRPr="00F90034">
              <w:rPr>
                <w:rFonts w:ascii="Times New Roman" w:hAnsi="Times New Roman" w:cs="Times New Roman"/>
              </w:rPr>
              <w:t xml:space="preserve">) </w:t>
            </w:r>
            <w:r w:rsidRPr="00F90034">
              <w:rPr>
                <w:rFonts w:ascii="Times New Roman" w:hAnsi="Times New Roman" w:cs="Times New Roman"/>
              </w:rPr>
              <w:t>falls below 20%, it must immediately give notice to DPH and promptly suspend the provision of non-emergent Phase 1 services</w:t>
            </w:r>
            <w:r w:rsidR="005C37B4" w:rsidRPr="00F90034">
              <w:rPr>
                <w:rFonts w:ascii="Times New Roman" w:hAnsi="Times New Roman" w:cs="Times New Roman"/>
              </w:rPr>
              <w:t>, as outlined in the DPH Hospital Reopening Guidance.</w:t>
            </w:r>
          </w:p>
        </w:tc>
      </w:tr>
      <w:tr w:rsidR="00DC6017" w:rsidRPr="00F90034" w14:paraId="46E716D3" w14:textId="77777777" w:rsidTr="00DC6017">
        <w:trPr>
          <w:trHeight w:val="432"/>
        </w:trPr>
        <w:tc>
          <w:tcPr>
            <w:tcW w:w="9576" w:type="dxa"/>
            <w:gridSpan w:val="2"/>
            <w:shd w:val="clear" w:color="auto" w:fill="D9D9D9" w:themeFill="background1" w:themeFillShade="D9"/>
            <w:vAlign w:val="center"/>
          </w:tcPr>
          <w:p w14:paraId="69E9BC3B" w14:textId="56F27CEE" w:rsidR="00DC6017" w:rsidRPr="00F90034" w:rsidRDefault="00DC6017" w:rsidP="00C03A49">
            <w:pPr>
              <w:rPr>
                <w:rFonts w:ascii="Times New Roman" w:hAnsi="Times New Roman" w:cs="Times New Roman"/>
              </w:rPr>
            </w:pPr>
            <w:r w:rsidRPr="00F90034">
              <w:rPr>
                <w:rFonts w:ascii="Times New Roman" w:hAnsi="Times New Roman" w:cs="Times New Roman"/>
                <w:b/>
              </w:rPr>
              <w:t>Public Health and Safety Standards</w:t>
            </w:r>
          </w:p>
        </w:tc>
      </w:tr>
      <w:tr w:rsidR="00DC6017" w:rsidRPr="00F90034" w14:paraId="526448C5" w14:textId="77777777" w:rsidTr="008F15FD">
        <w:trPr>
          <w:trHeight w:val="432"/>
        </w:trPr>
        <w:tc>
          <w:tcPr>
            <w:tcW w:w="1368" w:type="dxa"/>
            <w:tcBorders>
              <w:right w:val="nil"/>
            </w:tcBorders>
            <w:shd w:val="clear" w:color="auto" w:fill="E1E8FF"/>
            <w:vAlign w:val="center"/>
          </w:tcPr>
          <w:p w14:paraId="563DB9FC" w14:textId="6FF23912" w:rsidR="00DC6017" w:rsidRPr="00F90034" w:rsidRDefault="00DC6017" w:rsidP="008F15FD">
            <w:pPr>
              <w:jc w:val="center"/>
              <w:rPr>
                <w:rFonts w:ascii="Times New Roman" w:hAnsi="Times New Roman" w:cs="Times New Roman"/>
                <w:b/>
                <w:i/>
              </w:rPr>
            </w:pPr>
          </w:p>
        </w:tc>
        <w:tc>
          <w:tcPr>
            <w:tcW w:w="8208" w:type="dxa"/>
            <w:tcBorders>
              <w:left w:val="nil"/>
            </w:tcBorders>
            <w:shd w:val="clear" w:color="auto" w:fill="auto"/>
            <w:vAlign w:val="center"/>
          </w:tcPr>
          <w:p w14:paraId="1914EA11" w14:textId="65779BEB" w:rsidR="00DC6017" w:rsidRPr="00F90034" w:rsidRDefault="00DC6017" w:rsidP="001F7C54">
            <w:pPr>
              <w:rPr>
                <w:rFonts w:ascii="Times New Roman" w:hAnsi="Times New Roman" w:cs="Times New Roman"/>
              </w:rPr>
            </w:pPr>
            <w:r w:rsidRPr="00F90034">
              <w:rPr>
                <w:rFonts w:ascii="Times New Roman" w:hAnsi="Times New Roman" w:cs="Times New Roman"/>
              </w:rPr>
              <w:t xml:space="preserve">The </w:t>
            </w:r>
            <w:r w:rsidR="001F7C54" w:rsidRPr="00F90034">
              <w:rPr>
                <w:rFonts w:ascii="Times New Roman" w:hAnsi="Times New Roman" w:cs="Times New Roman"/>
              </w:rPr>
              <w:t>hospital or hospital system</w:t>
            </w:r>
            <w:r w:rsidRPr="00F90034">
              <w:rPr>
                <w:rFonts w:ascii="Times New Roman" w:hAnsi="Times New Roman" w:cs="Times New Roman"/>
              </w:rPr>
              <w:t xml:space="preserve"> is in compliance with all Personal Protective Equipment and Other Essential Supplies standards outlined in </w:t>
            </w:r>
            <w:hyperlink r:id="rId15" w:history="1">
              <w:r w:rsidR="001F0DE3" w:rsidRPr="00F90034">
                <w:rPr>
                  <w:rStyle w:val="Hyperlink"/>
                  <w:rFonts w:ascii="Times New Roman" w:hAnsi="Times New Roman" w:cs="Times New Roman"/>
                </w:rPr>
                <w:t>DPH Hospital Reopening Guidance</w:t>
              </w:r>
            </w:hyperlink>
            <w:r w:rsidRPr="00F90034">
              <w:rPr>
                <w:rFonts w:ascii="Times New Roman" w:hAnsi="Times New Roman" w:cs="Times New Roman"/>
              </w:rPr>
              <w:t>.</w:t>
            </w:r>
          </w:p>
        </w:tc>
      </w:tr>
      <w:tr w:rsidR="00DC6017" w:rsidRPr="00F90034" w14:paraId="09712FF9" w14:textId="77777777" w:rsidTr="008F15FD">
        <w:trPr>
          <w:trHeight w:val="432"/>
        </w:trPr>
        <w:tc>
          <w:tcPr>
            <w:tcW w:w="1368" w:type="dxa"/>
            <w:tcBorders>
              <w:right w:val="nil"/>
            </w:tcBorders>
            <w:shd w:val="clear" w:color="auto" w:fill="E1E8FF"/>
            <w:vAlign w:val="center"/>
          </w:tcPr>
          <w:p w14:paraId="60A80517" w14:textId="757BF4C6" w:rsidR="00DC6017" w:rsidRPr="00F90034" w:rsidRDefault="00DC6017" w:rsidP="008F15FD">
            <w:pPr>
              <w:jc w:val="center"/>
              <w:rPr>
                <w:rFonts w:ascii="Times New Roman" w:hAnsi="Times New Roman" w:cs="Times New Roman"/>
                <w:b/>
              </w:rPr>
            </w:pPr>
          </w:p>
        </w:tc>
        <w:tc>
          <w:tcPr>
            <w:tcW w:w="8208" w:type="dxa"/>
            <w:tcBorders>
              <w:left w:val="nil"/>
            </w:tcBorders>
            <w:shd w:val="clear" w:color="auto" w:fill="auto"/>
            <w:vAlign w:val="center"/>
          </w:tcPr>
          <w:p w14:paraId="28D834E0" w14:textId="48EBD93A" w:rsidR="00DC6017" w:rsidRPr="00F90034" w:rsidRDefault="00DC6017" w:rsidP="008F15FD">
            <w:pPr>
              <w:tabs>
                <w:tab w:val="left" w:pos="4002"/>
              </w:tabs>
              <w:rPr>
                <w:rFonts w:ascii="Times New Roman" w:hAnsi="Times New Roman" w:cs="Times New Roman"/>
              </w:rPr>
            </w:pPr>
            <w:r w:rsidRPr="00F90034">
              <w:rPr>
                <w:rFonts w:ascii="Times New Roman" w:hAnsi="Times New Roman" w:cs="Times New Roman"/>
              </w:rPr>
              <w:t xml:space="preserve">The </w:t>
            </w:r>
            <w:r w:rsidR="001F7C54" w:rsidRPr="00F90034">
              <w:rPr>
                <w:rFonts w:ascii="Times New Roman" w:hAnsi="Times New Roman" w:cs="Times New Roman"/>
              </w:rPr>
              <w:t xml:space="preserve">hospital or hospital system </w:t>
            </w:r>
            <w:r w:rsidRPr="00F90034">
              <w:rPr>
                <w:rFonts w:ascii="Times New Roman" w:hAnsi="Times New Roman" w:cs="Times New Roman"/>
              </w:rPr>
              <w:t xml:space="preserve">is in compliance with all Workforce Safety standards outlined in </w:t>
            </w:r>
            <w:hyperlink r:id="rId16" w:history="1">
              <w:r w:rsidR="001F0DE3" w:rsidRPr="00F90034">
                <w:rPr>
                  <w:rStyle w:val="Hyperlink"/>
                  <w:rFonts w:ascii="Times New Roman" w:hAnsi="Times New Roman" w:cs="Times New Roman"/>
                </w:rPr>
                <w:t>DPH Hospital Reopening Guidance</w:t>
              </w:r>
            </w:hyperlink>
            <w:r w:rsidRPr="00F90034">
              <w:rPr>
                <w:rFonts w:ascii="Times New Roman" w:hAnsi="Times New Roman" w:cs="Times New Roman"/>
              </w:rPr>
              <w:t>.</w:t>
            </w:r>
          </w:p>
        </w:tc>
      </w:tr>
      <w:tr w:rsidR="00DC6017" w:rsidRPr="00F90034" w14:paraId="154CDE1A" w14:textId="77777777" w:rsidTr="008F15FD">
        <w:trPr>
          <w:trHeight w:val="432"/>
        </w:trPr>
        <w:tc>
          <w:tcPr>
            <w:tcW w:w="1368" w:type="dxa"/>
            <w:tcBorders>
              <w:right w:val="nil"/>
            </w:tcBorders>
            <w:shd w:val="clear" w:color="auto" w:fill="E1E8FF"/>
            <w:vAlign w:val="center"/>
          </w:tcPr>
          <w:p w14:paraId="4B164ACE" w14:textId="2F6A51DB" w:rsidR="00DC6017" w:rsidRPr="00F90034" w:rsidRDefault="00DC6017" w:rsidP="008F15FD">
            <w:pPr>
              <w:jc w:val="center"/>
              <w:rPr>
                <w:rFonts w:ascii="Times New Roman" w:hAnsi="Times New Roman" w:cs="Times New Roman"/>
                <w:b/>
              </w:rPr>
            </w:pPr>
          </w:p>
        </w:tc>
        <w:tc>
          <w:tcPr>
            <w:tcW w:w="8208" w:type="dxa"/>
            <w:tcBorders>
              <w:left w:val="nil"/>
            </w:tcBorders>
            <w:shd w:val="clear" w:color="auto" w:fill="auto"/>
            <w:vAlign w:val="center"/>
          </w:tcPr>
          <w:p w14:paraId="314092CF" w14:textId="79F61676" w:rsidR="00DC6017" w:rsidRPr="00F90034" w:rsidRDefault="00DC6017" w:rsidP="008F15FD">
            <w:pPr>
              <w:tabs>
                <w:tab w:val="left" w:pos="4002"/>
              </w:tabs>
              <w:rPr>
                <w:rFonts w:ascii="Times New Roman" w:hAnsi="Times New Roman" w:cs="Times New Roman"/>
              </w:rPr>
            </w:pPr>
            <w:r w:rsidRPr="00F90034">
              <w:rPr>
                <w:rFonts w:ascii="Times New Roman" w:hAnsi="Times New Roman" w:cs="Times New Roman"/>
              </w:rPr>
              <w:t xml:space="preserve">The </w:t>
            </w:r>
            <w:r w:rsidR="001F7C54" w:rsidRPr="00F90034">
              <w:rPr>
                <w:rFonts w:ascii="Times New Roman" w:hAnsi="Times New Roman" w:cs="Times New Roman"/>
              </w:rPr>
              <w:t xml:space="preserve">hospital or hospital system </w:t>
            </w:r>
            <w:r w:rsidRPr="00F90034">
              <w:rPr>
                <w:rFonts w:ascii="Times New Roman" w:hAnsi="Times New Roman" w:cs="Times New Roman"/>
              </w:rPr>
              <w:t xml:space="preserve">is in compliance with all Patient Safety standards outlined in </w:t>
            </w:r>
            <w:hyperlink r:id="rId17" w:history="1">
              <w:r w:rsidR="001F0DE3" w:rsidRPr="00F90034">
                <w:rPr>
                  <w:rStyle w:val="Hyperlink"/>
                  <w:rFonts w:ascii="Times New Roman" w:hAnsi="Times New Roman" w:cs="Times New Roman"/>
                </w:rPr>
                <w:t>DPH Hospital Reopening Guidance</w:t>
              </w:r>
            </w:hyperlink>
            <w:r w:rsidRPr="00F90034">
              <w:rPr>
                <w:rFonts w:ascii="Times New Roman" w:hAnsi="Times New Roman" w:cs="Times New Roman"/>
              </w:rPr>
              <w:t>.</w:t>
            </w:r>
          </w:p>
        </w:tc>
      </w:tr>
      <w:tr w:rsidR="00DC6017" w:rsidRPr="00F90034" w14:paraId="0075DB32" w14:textId="77777777" w:rsidTr="008F15FD">
        <w:trPr>
          <w:trHeight w:val="432"/>
        </w:trPr>
        <w:tc>
          <w:tcPr>
            <w:tcW w:w="1368" w:type="dxa"/>
            <w:tcBorders>
              <w:right w:val="nil"/>
            </w:tcBorders>
            <w:shd w:val="clear" w:color="auto" w:fill="E1E8FF"/>
            <w:vAlign w:val="center"/>
          </w:tcPr>
          <w:p w14:paraId="40F14930" w14:textId="1CD31734" w:rsidR="00DC6017" w:rsidRPr="00F90034" w:rsidRDefault="00DC6017" w:rsidP="008F15FD">
            <w:pPr>
              <w:jc w:val="center"/>
              <w:rPr>
                <w:rFonts w:ascii="Times New Roman" w:hAnsi="Times New Roman" w:cs="Times New Roman"/>
                <w:b/>
              </w:rPr>
            </w:pPr>
          </w:p>
        </w:tc>
        <w:tc>
          <w:tcPr>
            <w:tcW w:w="8208" w:type="dxa"/>
            <w:tcBorders>
              <w:left w:val="nil"/>
            </w:tcBorders>
            <w:shd w:val="clear" w:color="auto" w:fill="auto"/>
            <w:vAlign w:val="center"/>
          </w:tcPr>
          <w:p w14:paraId="039183B1" w14:textId="3D4AD1E1" w:rsidR="00DC6017" w:rsidRPr="00F90034" w:rsidRDefault="00DC6017" w:rsidP="00C03A49">
            <w:pPr>
              <w:rPr>
                <w:rFonts w:ascii="Times New Roman" w:hAnsi="Times New Roman" w:cs="Times New Roman"/>
              </w:rPr>
            </w:pPr>
            <w:r w:rsidRPr="00F90034">
              <w:rPr>
                <w:rFonts w:ascii="Times New Roman" w:hAnsi="Times New Roman" w:cs="Times New Roman"/>
              </w:rPr>
              <w:t xml:space="preserve">The </w:t>
            </w:r>
            <w:r w:rsidR="001F7C54" w:rsidRPr="00F90034">
              <w:rPr>
                <w:rFonts w:ascii="Times New Roman" w:hAnsi="Times New Roman" w:cs="Times New Roman"/>
              </w:rPr>
              <w:t xml:space="preserve">hospital or hospital system </w:t>
            </w:r>
            <w:r w:rsidRPr="00F90034">
              <w:rPr>
                <w:rFonts w:ascii="Times New Roman" w:hAnsi="Times New Roman" w:cs="Times New Roman"/>
              </w:rPr>
              <w:t xml:space="preserve">is in compliance with all Infection Control standards outlined in </w:t>
            </w:r>
            <w:hyperlink r:id="rId18" w:history="1">
              <w:r w:rsidR="001F0DE3" w:rsidRPr="00F90034">
                <w:rPr>
                  <w:rStyle w:val="Hyperlink"/>
                  <w:rFonts w:ascii="Times New Roman" w:hAnsi="Times New Roman" w:cs="Times New Roman"/>
                </w:rPr>
                <w:t>DPH Hospital Reopening Guidance</w:t>
              </w:r>
            </w:hyperlink>
            <w:r w:rsidRPr="00F90034">
              <w:rPr>
                <w:rFonts w:ascii="Times New Roman" w:hAnsi="Times New Roman" w:cs="Times New Roman"/>
              </w:rPr>
              <w:t>.</w:t>
            </w:r>
          </w:p>
        </w:tc>
      </w:tr>
      <w:tr w:rsidR="00DC6017" w:rsidRPr="00F90034" w14:paraId="160A5F23" w14:textId="77777777" w:rsidTr="008F15FD">
        <w:trPr>
          <w:trHeight w:val="432"/>
        </w:trPr>
        <w:tc>
          <w:tcPr>
            <w:tcW w:w="1368" w:type="dxa"/>
            <w:tcBorders>
              <w:right w:val="nil"/>
            </w:tcBorders>
            <w:shd w:val="clear" w:color="auto" w:fill="E1E8FF"/>
            <w:vAlign w:val="center"/>
          </w:tcPr>
          <w:p w14:paraId="4466C1FD" w14:textId="692DD4CB" w:rsidR="00DC6017" w:rsidRPr="00F90034" w:rsidRDefault="00DC6017" w:rsidP="008F15FD">
            <w:pPr>
              <w:jc w:val="center"/>
              <w:rPr>
                <w:rFonts w:ascii="Times New Roman" w:hAnsi="Times New Roman" w:cs="Times New Roman"/>
                <w:b/>
              </w:rPr>
            </w:pPr>
          </w:p>
        </w:tc>
        <w:tc>
          <w:tcPr>
            <w:tcW w:w="8208" w:type="dxa"/>
            <w:tcBorders>
              <w:left w:val="nil"/>
            </w:tcBorders>
            <w:shd w:val="clear" w:color="auto" w:fill="auto"/>
            <w:vAlign w:val="center"/>
          </w:tcPr>
          <w:p w14:paraId="352CE2ED" w14:textId="25C2E245" w:rsidR="00DC6017" w:rsidRPr="00F90034" w:rsidRDefault="00DC6017" w:rsidP="004B5B30">
            <w:pPr>
              <w:rPr>
                <w:rFonts w:ascii="Times New Roman" w:hAnsi="Times New Roman" w:cs="Times New Roman"/>
              </w:rPr>
            </w:pPr>
            <w:r w:rsidRPr="00F90034">
              <w:rPr>
                <w:rFonts w:ascii="Times New Roman" w:hAnsi="Times New Roman" w:cs="Times New Roman"/>
              </w:rPr>
              <w:t xml:space="preserve">The </w:t>
            </w:r>
            <w:r w:rsidR="001F7C54" w:rsidRPr="00F90034">
              <w:rPr>
                <w:rFonts w:ascii="Times New Roman" w:hAnsi="Times New Roman" w:cs="Times New Roman"/>
              </w:rPr>
              <w:t xml:space="preserve">hospital or hospital system </w:t>
            </w:r>
            <w:r w:rsidRPr="00F90034">
              <w:rPr>
                <w:rFonts w:ascii="Times New Roman" w:hAnsi="Times New Roman" w:cs="Times New Roman"/>
              </w:rPr>
              <w:t xml:space="preserve">maintains and regularly updates written policies or procedures that meet or exceed all of the public health/safety standards outlined in </w:t>
            </w:r>
            <w:hyperlink r:id="rId19" w:history="1">
              <w:r w:rsidR="001F0DE3" w:rsidRPr="00F90034">
                <w:rPr>
                  <w:rStyle w:val="Hyperlink"/>
                  <w:rFonts w:ascii="Times New Roman" w:hAnsi="Times New Roman" w:cs="Times New Roman"/>
                </w:rPr>
                <w:t>DPH Hospital Reopening Guidance</w:t>
              </w:r>
            </w:hyperlink>
            <w:r w:rsidRPr="00F90034">
              <w:rPr>
                <w:rFonts w:ascii="Times New Roman" w:hAnsi="Times New Roman" w:cs="Times New Roman"/>
              </w:rPr>
              <w:t>.</w:t>
            </w:r>
          </w:p>
        </w:tc>
      </w:tr>
      <w:tr w:rsidR="00DC6017" w:rsidRPr="00F90034" w14:paraId="769FF64F" w14:textId="77777777" w:rsidTr="00A31074">
        <w:trPr>
          <w:trHeight w:val="432"/>
        </w:trPr>
        <w:tc>
          <w:tcPr>
            <w:tcW w:w="9576" w:type="dxa"/>
            <w:gridSpan w:val="2"/>
            <w:shd w:val="clear" w:color="auto" w:fill="D9D9D9" w:themeFill="background1" w:themeFillShade="D9"/>
            <w:vAlign w:val="center"/>
          </w:tcPr>
          <w:p w14:paraId="7998D13C" w14:textId="1B4099CF" w:rsidR="00DC6017" w:rsidRPr="00F90034" w:rsidRDefault="00DC6017" w:rsidP="00A31074">
            <w:pPr>
              <w:tabs>
                <w:tab w:val="left" w:pos="4002"/>
              </w:tabs>
              <w:rPr>
                <w:rFonts w:ascii="Times New Roman" w:hAnsi="Times New Roman" w:cs="Times New Roman"/>
                <w:b/>
              </w:rPr>
            </w:pPr>
            <w:r w:rsidRPr="00F90034">
              <w:rPr>
                <w:rFonts w:ascii="Times New Roman" w:hAnsi="Times New Roman" w:cs="Times New Roman"/>
                <w:b/>
              </w:rPr>
              <w:t>Services and Procedures Provided</w:t>
            </w:r>
          </w:p>
        </w:tc>
      </w:tr>
      <w:tr w:rsidR="00DC6017" w:rsidRPr="00F90034" w14:paraId="1677D4F3" w14:textId="77777777" w:rsidTr="008F15FD">
        <w:trPr>
          <w:trHeight w:val="432"/>
        </w:trPr>
        <w:tc>
          <w:tcPr>
            <w:tcW w:w="1368" w:type="dxa"/>
            <w:tcBorders>
              <w:right w:val="nil"/>
            </w:tcBorders>
            <w:shd w:val="clear" w:color="auto" w:fill="E1E8FF"/>
            <w:vAlign w:val="center"/>
          </w:tcPr>
          <w:p w14:paraId="71B93D4A" w14:textId="27BF779C" w:rsidR="00DC6017" w:rsidRPr="00F90034" w:rsidRDefault="00DC6017" w:rsidP="008F15FD">
            <w:pPr>
              <w:jc w:val="center"/>
              <w:rPr>
                <w:rFonts w:ascii="Times New Roman" w:hAnsi="Times New Roman" w:cs="Times New Roman"/>
                <w:b/>
              </w:rPr>
            </w:pPr>
          </w:p>
        </w:tc>
        <w:tc>
          <w:tcPr>
            <w:tcW w:w="8208" w:type="dxa"/>
            <w:tcBorders>
              <w:left w:val="nil"/>
            </w:tcBorders>
            <w:shd w:val="clear" w:color="auto" w:fill="auto"/>
            <w:vAlign w:val="center"/>
          </w:tcPr>
          <w:p w14:paraId="6A71452E" w14:textId="676FEEA1" w:rsidR="00DC6017" w:rsidRPr="00F90034" w:rsidRDefault="00DC6017" w:rsidP="00460B70">
            <w:pPr>
              <w:rPr>
                <w:rFonts w:ascii="Times New Roman" w:hAnsi="Times New Roman" w:cs="Times New Roman"/>
              </w:rPr>
            </w:pPr>
            <w:r w:rsidRPr="00F90034">
              <w:rPr>
                <w:rFonts w:ascii="Times New Roman" w:hAnsi="Times New Roman" w:cs="Times New Roman"/>
              </w:rPr>
              <w:t xml:space="preserve">The </w:t>
            </w:r>
            <w:r w:rsidR="001F7C54" w:rsidRPr="00F90034">
              <w:rPr>
                <w:rFonts w:ascii="Times New Roman" w:hAnsi="Times New Roman" w:cs="Times New Roman"/>
              </w:rPr>
              <w:t>hospital</w:t>
            </w:r>
            <w:r w:rsidRPr="00F90034">
              <w:rPr>
                <w:rFonts w:ascii="Times New Roman" w:hAnsi="Times New Roman" w:cs="Times New Roman"/>
              </w:rPr>
              <w:t xml:space="preserve"> </w:t>
            </w:r>
            <w:r w:rsidR="00F54CF8" w:rsidRPr="00F90034">
              <w:rPr>
                <w:rFonts w:ascii="Times New Roman" w:hAnsi="Times New Roman" w:cs="Times New Roman"/>
              </w:rPr>
              <w:t xml:space="preserve">or hospital system </w:t>
            </w:r>
            <w:r w:rsidRPr="00F90034">
              <w:rPr>
                <w:rFonts w:ascii="Times New Roman" w:hAnsi="Times New Roman" w:cs="Times New Roman"/>
              </w:rPr>
              <w:t xml:space="preserve">will </w:t>
            </w:r>
            <w:r w:rsidR="00460B70" w:rsidRPr="00F90034">
              <w:rPr>
                <w:rFonts w:ascii="Times New Roman" w:hAnsi="Times New Roman" w:cs="Times New Roman"/>
              </w:rPr>
              <w:t>provide</w:t>
            </w:r>
            <w:r w:rsidRPr="00F90034">
              <w:rPr>
                <w:rFonts w:ascii="Times New Roman" w:hAnsi="Times New Roman" w:cs="Times New Roman"/>
              </w:rPr>
              <w:t xml:space="preserve"> only those in-person procedures and services </w:t>
            </w:r>
            <w:r w:rsidR="00460B70" w:rsidRPr="00F90034">
              <w:rPr>
                <w:rFonts w:ascii="Times New Roman" w:hAnsi="Times New Roman" w:cs="Times New Roman"/>
              </w:rPr>
              <w:t xml:space="preserve">consistent with </w:t>
            </w:r>
            <w:r w:rsidR="001F0DE3" w:rsidRPr="00F90034">
              <w:rPr>
                <w:rFonts w:ascii="Times New Roman" w:hAnsi="Times New Roman" w:cs="Times New Roman"/>
              </w:rPr>
              <w:t xml:space="preserve">DPH Hospital Reopening Guidance </w:t>
            </w:r>
            <w:r w:rsidRPr="00F90034">
              <w:rPr>
                <w:rFonts w:ascii="Times New Roman" w:hAnsi="Times New Roman" w:cs="Times New Roman"/>
              </w:rPr>
              <w:t xml:space="preserve">that </w:t>
            </w:r>
            <w:r w:rsidRPr="00F90034">
              <w:rPr>
                <w:rFonts w:ascii="Times New Roman" w:hAnsi="Times New Roman" w:cs="Times New Roman"/>
                <w:bCs/>
              </w:rPr>
              <w:t>based on the provider’s clinical judgment, constitute:</w:t>
            </w:r>
            <w:r w:rsidRPr="00F90034">
              <w:rPr>
                <w:rFonts w:ascii="Times New Roman" w:hAnsi="Times New Roman" w:cs="Times New Roman"/>
              </w:rPr>
              <w:t xml:space="preserve"> (1) </w:t>
            </w:r>
            <w:r w:rsidRPr="00F90034">
              <w:rPr>
                <w:rFonts w:ascii="Times New Roman" w:hAnsi="Times New Roman" w:cs="Times New Roman"/>
                <w:bCs/>
              </w:rPr>
              <w:t xml:space="preserve">high-priority preventative care such as pediatric care </w:t>
            </w:r>
            <w:r w:rsidRPr="00F90034">
              <w:rPr>
                <w:rFonts w:ascii="Times New Roman" w:hAnsi="Times New Roman" w:cs="Times New Roman"/>
              </w:rPr>
              <w:t>and</w:t>
            </w:r>
            <w:r w:rsidRPr="00F90034">
              <w:rPr>
                <w:rFonts w:ascii="Times New Roman" w:hAnsi="Times New Roman" w:cs="Times New Roman"/>
                <w:bCs/>
              </w:rPr>
              <w:t xml:space="preserve"> chronic disease care for high-risk patients, </w:t>
            </w:r>
            <w:r w:rsidRPr="00F90034">
              <w:rPr>
                <w:rFonts w:ascii="Times New Roman" w:hAnsi="Times New Roman" w:cs="Times New Roman"/>
              </w:rPr>
              <w:t xml:space="preserve">(2) </w:t>
            </w:r>
            <w:r w:rsidRPr="00F90034">
              <w:rPr>
                <w:rFonts w:ascii="Times New Roman" w:hAnsi="Times New Roman" w:cs="Times New Roman"/>
                <w:bCs/>
              </w:rPr>
              <w:t xml:space="preserve">urgent procedures </w:t>
            </w:r>
            <w:r w:rsidRPr="00F90034">
              <w:rPr>
                <w:rFonts w:ascii="Times New Roman" w:hAnsi="Times New Roman" w:cs="Times New Roman"/>
              </w:rPr>
              <w:t xml:space="preserve">or services that cannot be delivered remotely and would lead to </w:t>
            </w:r>
            <w:r w:rsidRPr="00F90034">
              <w:rPr>
                <w:rFonts w:ascii="Times New Roman" w:hAnsi="Times New Roman" w:cs="Times New Roman"/>
                <w:bCs/>
              </w:rPr>
              <w:t>high risk or significant worsening of the patient’s condition if deferred, and (3) emergency procedures or services.</w:t>
            </w:r>
          </w:p>
        </w:tc>
      </w:tr>
      <w:tr w:rsidR="00DC6017" w:rsidRPr="00F90034" w14:paraId="7B57FFF3" w14:textId="77777777" w:rsidTr="008F15FD">
        <w:trPr>
          <w:trHeight w:val="432"/>
        </w:trPr>
        <w:tc>
          <w:tcPr>
            <w:tcW w:w="1368" w:type="dxa"/>
            <w:tcBorders>
              <w:right w:val="nil"/>
            </w:tcBorders>
            <w:shd w:val="clear" w:color="auto" w:fill="E1E8FF"/>
            <w:vAlign w:val="center"/>
          </w:tcPr>
          <w:p w14:paraId="0E311C96" w14:textId="77777777" w:rsidR="00DC6017" w:rsidRPr="00F90034" w:rsidRDefault="00DC6017" w:rsidP="008F15FD">
            <w:pPr>
              <w:jc w:val="center"/>
              <w:rPr>
                <w:rFonts w:ascii="Times New Roman" w:hAnsi="Times New Roman" w:cs="Times New Roman"/>
                <w:b/>
              </w:rPr>
            </w:pPr>
          </w:p>
        </w:tc>
        <w:tc>
          <w:tcPr>
            <w:tcW w:w="8208" w:type="dxa"/>
            <w:tcBorders>
              <w:left w:val="nil"/>
            </w:tcBorders>
            <w:shd w:val="clear" w:color="auto" w:fill="auto"/>
            <w:vAlign w:val="center"/>
          </w:tcPr>
          <w:p w14:paraId="0D2263B6" w14:textId="0B880878" w:rsidR="00DC6017" w:rsidRPr="00F90034" w:rsidRDefault="00DC6017" w:rsidP="00DC6017">
            <w:pPr>
              <w:tabs>
                <w:tab w:val="left" w:pos="4002"/>
              </w:tabs>
              <w:rPr>
                <w:rFonts w:ascii="Times New Roman" w:hAnsi="Times New Roman" w:cs="Times New Roman"/>
              </w:rPr>
            </w:pPr>
            <w:r w:rsidRPr="00F90034">
              <w:rPr>
                <w:rFonts w:ascii="Times New Roman" w:hAnsi="Times New Roman" w:cs="Times New Roman"/>
              </w:rPr>
              <w:t xml:space="preserve">The hospital </w:t>
            </w:r>
            <w:r w:rsidR="008F29C0" w:rsidRPr="00F90034">
              <w:rPr>
                <w:rFonts w:ascii="Times New Roman" w:hAnsi="Times New Roman" w:cs="Times New Roman"/>
              </w:rPr>
              <w:t xml:space="preserve">or </w:t>
            </w:r>
            <w:r w:rsidR="00F54CF8" w:rsidRPr="00F90034">
              <w:rPr>
                <w:rFonts w:ascii="Times New Roman" w:hAnsi="Times New Roman" w:cs="Times New Roman"/>
              </w:rPr>
              <w:t>hospital system</w:t>
            </w:r>
            <w:r w:rsidR="00684A27" w:rsidRPr="00F90034">
              <w:rPr>
                <w:rFonts w:ascii="Times New Roman" w:hAnsi="Times New Roman" w:cs="Times New Roman"/>
              </w:rPr>
              <w:t xml:space="preserve"> </w:t>
            </w:r>
            <w:r w:rsidRPr="00F90034">
              <w:rPr>
                <w:rFonts w:ascii="Times New Roman" w:hAnsi="Times New Roman" w:cs="Times New Roman"/>
              </w:rPr>
              <w:t xml:space="preserve">is making clinical determinations about service provision in a manner consistent with </w:t>
            </w:r>
            <w:r w:rsidR="001F0DE3" w:rsidRPr="00F90034">
              <w:rPr>
                <w:rFonts w:ascii="Times New Roman" w:hAnsi="Times New Roman" w:cs="Times New Roman"/>
              </w:rPr>
              <w:t>DPH Hospital Reopening Guidance</w:t>
            </w:r>
            <w:r w:rsidRPr="00F90034">
              <w:rPr>
                <w:rFonts w:ascii="Times New Roman" w:hAnsi="Times New Roman" w:cs="Times New Roman"/>
              </w:rPr>
              <w:t>.</w:t>
            </w:r>
          </w:p>
        </w:tc>
      </w:tr>
      <w:tr w:rsidR="00DC6017" w:rsidRPr="00F90034" w14:paraId="4939602C" w14:textId="77777777" w:rsidTr="00A31074">
        <w:trPr>
          <w:trHeight w:val="432"/>
        </w:trPr>
        <w:tc>
          <w:tcPr>
            <w:tcW w:w="9576" w:type="dxa"/>
            <w:gridSpan w:val="2"/>
            <w:shd w:val="clear" w:color="auto" w:fill="D9D9D9" w:themeFill="background1" w:themeFillShade="D9"/>
            <w:vAlign w:val="center"/>
          </w:tcPr>
          <w:p w14:paraId="759DFE80" w14:textId="42910621" w:rsidR="00DC6017" w:rsidRPr="00F90034" w:rsidRDefault="00DC6017" w:rsidP="00C03A49">
            <w:pPr>
              <w:rPr>
                <w:rFonts w:ascii="Times New Roman" w:hAnsi="Times New Roman" w:cs="Times New Roman"/>
              </w:rPr>
            </w:pPr>
            <w:r w:rsidRPr="00F90034">
              <w:rPr>
                <w:rFonts w:ascii="Times New Roman" w:hAnsi="Times New Roman" w:cs="Times New Roman"/>
                <w:b/>
              </w:rPr>
              <w:t>Compliance and Reporting</w:t>
            </w:r>
          </w:p>
        </w:tc>
      </w:tr>
      <w:tr w:rsidR="00DC6017" w:rsidRPr="00F90034" w14:paraId="5B754272" w14:textId="77777777" w:rsidTr="008F15FD">
        <w:trPr>
          <w:trHeight w:val="432"/>
        </w:trPr>
        <w:tc>
          <w:tcPr>
            <w:tcW w:w="1368" w:type="dxa"/>
            <w:tcBorders>
              <w:right w:val="nil"/>
            </w:tcBorders>
            <w:shd w:val="clear" w:color="auto" w:fill="E1E8FF"/>
            <w:vAlign w:val="center"/>
          </w:tcPr>
          <w:p w14:paraId="01C9059C" w14:textId="0F64C3FD" w:rsidR="00DC6017" w:rsidRPr="00F90034" w:rsidRDefault="00DC6017" w:rsidP="008F15FD">
            <w:pPr>
              <w:jc w:val="center"/>
              <w:rPr>
                <w:rFonts w:ascii="Times New Roman" w:hAnsi="Times New Roman" w:cs="Times New Roman"/>
                <w:b/>
              </w:rPr>
            </w:pPr>
          </w:p>
        </w:tc>
        <w:tc>
          <w:tcPr>
            <w:tcW w:w="8208" w:type="dxa"/>
            <w:tcBorders>
              <w:left w:val="nil"/>
            </w:tcBorders>
            <w:shd w:val="clear" w:color="auto" w:fill="auto"/>
            <w:vAlign w:val="center"/>
          </w:tcPr>
          <w:p w14:paraId="17E8DD0F" w14:textId="59152CC2" w:rsidR="00DC6017" w:rsidRPr="00F90034" w:rsidRDefault="001F7C54" w:rsidP="00C03A49">
            <w:pPr>
              <w:rPr>
                <w:rFonts w:ascii="Times New Roman" w:hAnsi="Times New Roman" w:cs="Times New Roman"/>
              </w:rPr>
            </w:pPr>
            <w:r w:rsidRPr="00F90034">
              <w:rPr>
                <w:rFonts w:ascii="Times New Roman" w:hAnsi="Times New Roman" w:cs="Times New Roman"/>
              </w:rPr>
              <w:t>The hospital or hospital system has established a governance body that is responsible for overseeing ongoing compliance with the criteria and standards</w:t>
            </w:r>
            <w:r w:rsidR="00156E92" w:rsidRPr="00F90034">
              <w:rPr>
                <w:rFonts w:ascii="Times New Roman" w:hAnsi="Times New Roman" w:cs="Times New Roman"/>
              </w:rPr>
              <w:t xml:space="preserve"> for the hospital(s)</w:t>
            </w:r>
            <w:r w:rsidRPr="00F90034">
              <w:rPr>
                <w:rFonts w:ascii="Times New Roman" w:hAnsi="Times New Roman" w:cs="Times New Roman"/>
              </w:rPr>
              <w:t xml:space="preserve"> in </w:t>
            </w:r>
            <w:hyperlink r:id="rId20" w:history="1">
              <w:r w:rsidR="001F0DE3" w:rsidRPr="00F90034">
                <w:rPr>
                  <w:rStyle w:val="Hyperlink"/>
                  <w:rFonts w:ascii="Times New Roman" w:hAnsi="Times New Roman" w:cs="Times New Roman"/>
                </w:rPr>
                <w:t>DPH Hospital Reopening Guidance</w:t>
              </w:r>
            </w:hyperlink>
            <w:r w:rsidRPr="00F90034">
              <w:rPr>
                <w:rFonts w:ascii="Times New Roman" w:hAnsi="Times New Roman" w:cs="Times New Roman"/>
              </w:rPr>
              <w:t>.</w:t>
            </w:r>
          </w:p>
        </w:tc>
      </w:tr>
      <w:tr w:rsidR="00DC6017" w:rsidRPr="00F90034" w14:paraId="13FFCD4E" w14:textId="77777777" w:rsidTr="008F15FD">
        <w:trPr>
          <w:trHeight w:val="432"/>
        </w:trPr>
        <w:tc>
          <w:tcPr>
            <w:tcW w:w="1368" w:type="dxa"/>
            <w:tcBorders>
              <w:right w:val="nil"/>
            </w:tcBorders>
            <w:shd w:val="clear" w:color="auto" w:fill="E1E8FF"/>
            <w:vAlign w:val="center"/>
          </w:tcPr>
          <w:p w14:paraId="3C82F086" w14:textId="77777777" w:rsidR="00DC6017" w:rsidRPr="00F90034" w:rsidRDefault="00DC6017" w:rsidP="008F15FD">
            <w:pPr>
              <w:jc w:val="center"/>
              <w:rPr>
                <w:rFonts w:ascii="Times New Roman" w:hAnsi="Times New Roman" w:cs="Times New Roman"/>
                <w:b/>
              </w:rPr>
            </w:pPr>
          </w:p>
        </w:tc>
        <w:tc>
          <w:tcPr>
            <w:tcW w:w="8208" w:type="dxa"/>
            <w:tcBorders>
              <w:left w:val="nil"/>
            </w:tcBorders>
            <w:shd w:val="clear" w:color="auto" w:fill="auto"/>
            <w:vAlign w:val="center"/>
          </w:tcPr>
          <w:p w14:paraId="065207BF" w14:textId="274C40B9" w:rsidR="00DC6017" w:rsidRPr="00F90034" w:rsidRDefault="00DC6017" w:rsidP="00156E92">
            <w:pPr>
              <w:rPr>
                <w:rFonts w:ascii="Times New Roman" w:hAnsi="Times New Roman" w:cs="Times New Roman"/>
              </w:rPr>
            </w:pPr>
            <w:r w:rsidRPr="00F90034">
              <w:rPr>
                <w:rFonts w:ascii="Times New Roman" w:hAnsi="Times New Roman" w:cs="Times New Roman"/>
              </w:rPr>
              <w:t xml:space="preserve">The </w:t>
            </w:r>
            <w:r w:rsidR="001F7C54" w:rsidRPr="00F90034">
              <w:rPr>
                <w:rFonts w:ascii="Times New Roman" w:hAnsi="Times New Roman" w:cs="Times New Roman"/>
              </w:rPr>
              <w:t>hospital or hospital system</w:t>
            </w:r>
            <w:r w:rsidRPr="00F90034">
              <w:rPr>
                <w:rFonts w:ascii="Times New Roman" w:hAnsi="Times New Roman" w:cs="Times New Roman"/>
              </w:rPr>
              <w:t xml:space="preserve"> will maintain this attestation and documentation of compliance, including all written policies and protocols that incorporate or exceed the standards outlined in </w:t>
            </w:r>
            <w:hyperlink r:id="rId21" w:history="1">
              <w:r w:rsidR="001F0DE3" w:rsidRPr="00F90034">
                <w:rPr>
                  <w:rStyle w:val="Hyperlink"/>
                  <w:rFonts w:ascii="Times New Roman" w:hAnsi="Times New Roman" w:cs="Times New Roman"/>
                </w:rPr>
                <w:t>DPH Hospital Reopening Guidance</w:t>
              </w:r>
            </w:hyperlink>
            <w:r w:rsidR="001F0DE3" w:rsidRPr="00F90034">
              <w:rPr>
                <w:rFonts w:ascii="Times New Roman" w:hAnsi="Times New Roman" w:cs="Times New Roman"/>
              </w:rPr>
              <w:t xml:space="preserve"> for </w:t>
            </w:r>
            <w:r w:rsidRPr="00F90034">
              <w:rPr>
                <w:rFonts w:ascii="Times New Roman" w:hAnsi="Times New Roman" w:cs="Times New Roman"/>
              </w:rPr>
              <w:t xml:space="preserve">PPE and supplies, workforce </w:t>
            </w:r>
            <w:r w:rsidRPr="00F90034">
              <w:rPr>
                <w:rFonts w:ascii="Times New Roman" w:hAnsi="Times New Roman" w:cs="Times New Roman"/>
              </w:rPr>
              <w:lastRenderedPageBreak/>
              <w:t xml:space="preserve">safety, patient safety, and infection control, and will make </w:t>
            </w:r>
            <w:r w:rsidR="00156E92" w:rsidRPr="00F90034">
              <w:rPr>
                <w:rFonts w:ascii="Times New Roman" w:hAnsi="Times New Roman" w:cs="Times New Roman"/>
              </w:rPr>
              <w:t>such</w:t>
            </w:r>
            <w:r w:rsidRPr="00F90034">
              <w:rPr>
                <w:rFonts w:ascii="Times New Roman" w:hAnsi="Times New Roman" w:cs="Times New Roman"/>
              </w:rPr>
              <w:t xml:space="preserve"> documents available to DPH upon request at any time. </w:t>
            </w:r>
          </w:p>
        </w:tc>
      </w:tr>
      <w:tr w:rsidR="00DC6017" w:rsidRPr="00F90034" w14:paraId="7FC6FC1A" w14:textId="77777777" w:rsidTr="008F15FD">
        <w:trPr>
          <w:trHeight w:val="432"/>
        </w:trPr>
        <w:tc>
          <w:tcPr>
            <w:tcW w:w="1368" w:type="dxa"/>
            <w:tcBorders>
              <w:right w:val="nil"/>
            </w:tcBorders>
            <w:shd w:val="clear" w:color="auto" w:fill="E1E8FF"/>
            <w:vAlign w:val="center"/>
          </w:tcPr>
          <w:p w14:paraId="5773F589" w14:textId="77777777" w:rsidR="00DC6017" w:rsidRPr="00F90034" w:rsidRDefault="00DC6017" w:rsidP="008F15FD">
            <w:pPr>
              <w:jc w:val="center"/>
              <w:rPr>
                <w:rFonts w:ascii="Times New Roman" w:hAnsi="Times New Roman" w:cs="Times New Roman"/>
                <w:b/>
              </w:rPr>
            </w:pPr>
          </w:p>
        </w:tc>
        <w:tc>
          <w:tcPr>
            <w:tcW w:w="8208" w:type="dxa"/>
            <w:tcBorders>
              <w:left w:val="nil"/>
            </w:tcBorders>
            <w:shd w:val="clear" w:color="auto" w:fill="auto"/>
            <w:vAlign w:val="center"/>
          </w:tcPr>
          <w:p w14:paraId="169F7E8F" w14:textId="52815137" w:rsidR="00DC6017" w:rsidRPr="00F90034" w:rsidRDefault="00DC6017" w:rsidP="00DC6017">
            <w:pPr>
              <w:tabs>
                <w:tab w:val="left" w:pos="4002"/>
              </w:tabs>
              <w:rPr>
                <w:rFonts w:ascii="Times New Roman" w:hAnsi="Times New Roman" w:cs="Times New Roman"/>
              </w:rPr>
            </w:pPr>
            <w:r w:rsidRPr="00F90034">
              <w:rPr>
                <w:rFonts w:ascii="Times New Roman" w:hAnsi="Times New Roman" w:cs="Times New Roman"/>
              </w:rPr>
              <w:t>The hospital</w:t>
            </w:r>
            <w:r w:rsidR="001F7C54" w:rsidRPr="00F90034">
              <w:rPr>
                <w:rFonts w:ascii="Times New Roman" w:hAnsi="Times New Roman" w:cs="Times New Roman"/>
              </w:rPr>
              <w:t xml:space="preserve"> or hospital system</w:t>
            </w:r>
            <w:r w:rsidRPr="00F90034">
              <w:rPr>
                <w:rFonts w:ascii="Times New Roman" w:hAnsi="Times New Roman" w:cs="Times New Roman"/>
              </w:rPr>
              <w:t xml:space="preserve"> is making reasonable efforts to recall furloughed direct care workers to the extent possible.</w:t>
            </w:r>
          </w:p>
        </w:tc>
      </w:tr>
      <w:tr w:rsidR="00DC6017" w:rsidRPr="00F90034" w14:paraId="542957E1" w14:textId="77777777" w:rsidTr="00A31074">
        <w:trPr>
          <w:trHeight w:val="432"/>
        </w:trPr>
        <w:tc>
          <w:tcPr>
            <w:tcW w:w="9576" w:type="dxa"/>
            <w:gridSpan w:val="2"/>
            <w:shd w:val="clear" w:color="auto" w:fill="D9D9D9" w:themeFill="background1" w:themeFillShade="D9"/>
            <w:vAlign w:val="center"/>
          </w:tcPr>
          <w:p w14:paraId="2551F4CE" w14:textId="519A36F9" w:rsidR="00DC6017" w:rsidRPr="00F90034" w:rsidRDefault="00DC6017" w:rsidP="001F7C54">
            <w:pPr>
              <w:tabs>
                <w:tab w:val="left" w:pos="4002"/>
              </w:tabs>
              <w:rPr>
                <w:rFonts w:ascii="Times New Roman" w:hAnsi="Times New Roman" w:cs="Times New Roman"/>
                <w:b/>
              </w:rPr>
            </w:pPr>
            <w:r w:rsidRPr="00F90034">
              <w:rPr>
                <w:rFonts w:ascii="Times New Roman" w:hAnsi="Times New Roman" w:cs="Times New Roman"/>
                <w:b/>
              </w:rPr>
              <w:t xml:space="preserve">Certification and Attestation of </w:t>
            </w:r>
            <w:r w:rsidR="001F7C54" w:rsidRPr="00F90034">
              <w:rPr>
                <w:rFonts w:ascii="Times New Roman" w:hAnsi="Times New Roman" w:cs="Times New Roman"/>
                <w:b/>
              </w:rPr>
              <w:t>Hospital</w:t>
            </w:r>
            <w:r w:rsidRPr="00F90034">
              <w:rPr>
                <w:rFonts w:ascii="Times New Roman" w:hAnsi="Times New Roman" w:cs="Times New Roman"/>
                <w:b/>
              </w:rPr>
              <w:t xml:space="preserve"> Readiness</w:t>
            </w:r>
          </w:p>
        </w:tc>
      </w:tr>
      <w:tr w:rsidR="00DC6017" w:rsidRPr="00F90034" w14:paraId="76E62600" w14:textId="77777777" w:rsidTr="00AC0B7D">
        <w:trPr>
          <w:trHeight w:val="432"/>
        </w:trPr>
        <w:tc>
          <w:tcPr>
            <w:tcW w:w="1368" w:type="dxa"/>
            <w:tcBorders>
              <w:bottom w:val="single" w:sz="12" w:space="0" w:color="auto"/>
              <w:right w:val="nil"/>
            </w:tcBorders>
            <w:shd w:val="clear" w:color="auto" w:fill="E1E8FF"/>
            <w:vAlign w:val="center"/>
          </w:tcPr>
          <w:p w14:paraId="511D32CC" w14:textId="77777777" w:rsidR="00DC6017" w:rsidRPr="00F90034" w:rsidRDefault="00DC6017" w:rsidP="008F15FD">
            <w:pPr>
              <w:jc w:val="center"/>
              <w:rPr>
                <w:rFonts w:ascii="Times New Roman" w:hAnsi="Times New Roman" w:cs="Times New Roman"/>
                <w:b/>
              </w:rPr>
            </w:pPr>
          </w:p>
        </w:tc>
        <w:tc>
          <w:tcPr>
            <w:tcW w:w="8208" w:type="dxa"/>
            <w:tcBorders>
              <w:left w:val="nil"/>
              <w:bottom w:val="single" w:sz="12" w:space="0" w:color="auto"/>
            </w:tcBorders>
            <w:shd w:val="clear" w:color="auto" w:fill="auto"/>
            <w:vAlign w:val="center"/>
          </w:tcPr>
          <w:p w14:paraId="683290B4" w14:textId="3308EA1E" w:rsidR="00DC6017" w:rsidRPr="00F90034" w:rsidRDefault="00460B70" w:rsidP="00460B70">
            <w:pPr>
              <w:tabs>
                <w:tab w:val="left" w:pos="4002"/>
              </w:tabs>
              <w:rPr>
                <w:rFonts w:ascii="Times New Roman" w:hAnsi="Times New Roman" w:cs="Times New Roman"/>
              </w:rPr>
            </w:pPr>
            <w:r w:rsidRPr="00F90034">
              <w:rPr>
                <w:rFonts w:ascii="Times New Roman" w:hAnsi="Times New Roman" w:cs="Times New Roman"/>
              </w:rPr>
              <w:t xml:space="preserve">On behalf of the hospital or hospital system indicated above, </w:t>
            </w:r>
            <w:r w:rsidR="00DC6017" w:rsidRPr="00F90034">
              <w:rPr>
                <w:rFonts w:ascii="Times New Roman" w:hAnsi="Times New Roman" w:cs="Times New Roman"/>
              </w:rPr>
              <w:t xml:space="preserve">I certify under the pains and penalties of perjury that </w:t>
            </w:r>
            <w:r w:rsidRPr="00F90034">
              <w:rPr>
                <w:rFonts w:ascii="Times New Roman" w:hAnsi="Times New Roman" w:cs="Times New Roman"/>
              </w:rPr>
              <w:t xml:space="preserve">the above certifications are true and accurate </w:t>
            </w:r>
            <w:r w:rsidR="00DC6017" w:rsidRPr="00F90034">
              <w:rPr>
                <w:rFonts w:ascii="Times New Roman" w:hAnsi="Times New Roman" w:cs="Times New Roman"/>
              </w:rPr>
              <w:t xml:space="preserve">the hospital meets the Phase 1 criteria and standards in </w:t>
            </w:r>
            <w:hyperlink r:id="rId22" w:history="1">
              <w:r w:rsidR="001F0DE3" w:rsidRPr="00F90034">
                <w:rPr>
                  <w:rStyle w:val="Hyperlink"/>
                  <w:rFonts w:ascii="Times New Roman" w:hAnsi="Times New Roman" w:cs="Times New Roman"/>
                </w:rPr>
                <w:t>DPH Hospital Reopening Guidance</w:t>
              </w:r>
            </w:hyperlink>
            <w:r w:rsidR="00DC6017" w:rsidRPr="00F90034">
              <w:rPr>
                <w:rFonts w:ascii="Times New Roman" w:hAnsi="Times New Roman" w:cs="Times New Roman"/>
              </w:rPr>
              <w:t xml:space="preserve">. I understand that should the hospital become unable to meet any of the criteria or standards in </w:t>
            </w:r>
            <w:hyperlink r:id="rId23" w:history="1">
              <w:r w:rsidR="001F0DE3" w:rsidRPr="00F90034">
                <w:rPr>
                  <w:rStyle w:val="Hyperlink"/>
                  <w:rFonts w:ascii="Times New Roman" w:hAnsi="Times New Roman" w:cs="Times New Roman"/>
                </w:rPr>
                <w:t>DPH Hospital Reopening Guidance</w:t>
              </w:r>
            </w:hyperlink>
            <w:r w:rsidR="001F0DE3" w:rsidRPr="00F90034">
              <w:rPr>
                <w:rFonts w:ascii="Times New Roman" w:hAnsi="Times New Roman" w:cs="Times New Roman"/>
              </w:rPr>
              <w:t xml:space="preserve"> </w:t>
            </w:r>
            <w:r w:rsidR="00DC6017" w:rsidRPr="00F90034">
              <w:rPr>
                <w:rFonts w:ascii="Times New Roman" w:hAnsi="Times New Roman" w:cs="Times New Roman"/>
              </w:rPr>
              <w:t xml:space="preserve">and contained within this form the hospital must </w:t>
            </w:r>
            <w:r w:rsidRPr="00F90034">
              <w:rPr>
                <w:rFonts w:ascii="Times New Roman" w:hAnsi="Times New Roman" w:cs="Times New Roman"/>
              </w:rPr>
              <w:t>immediately</w:t>
            </w:r>
            <w:r w:rsidR="00156E92" w:rsidRPr="00F90034">
              <w:rPr>
                <w:rFonts w:ascii="Times New Roman" w:hAnsi="Times New Roman" w:cs="Times New Roman"/>
              </w:rPr>
              <w:t xml:space="preserve"> notify DPH and</w:t>
            </w:r>
            <w:r w:rsidRPr="00F90034">
              <w:rPr>
                <w:rFonts w:ascii="Times New Roman" w:hAnsi="Times New Roman" w:cs="Times New Roman"/>
              </w:rPr>
              <w:t xml:space="preserve"> </w:t>
            </w:r>
            <w:r w:rsidR="00DC6017" w:rsidRPr="00F90034">
              <w:rPr>
                <w:rFonts w:ascii="Times New Roman" w:hAnsi="Times New Roman" w:cs="Times New Roman"/>
              </w:rPr>
              <w:t>cease performing Phase 1 services until full compliance is obtained.</w:t>
            </w:r>
          </w:p>
        </w:tc>
      </w:tr>
      <w:tr w:rsidR="00DC6017" w:rsidRPr="00F90034" w14:paraId="3BDD7B33" w14:textId="77777777" w:rsidTr="00AC0B7D">
        <w:trPr>
          <w:trHeight w:val="432"/>
        </w:trPr>
        <w:tc>
          <w:tcPr>
            <w:tcW w:w="1368" w:type="dxa"/>
            <w:tcBorders>
              <w:top w:val="single" w:sz="18" w:space="0" w:color="auto"/>
              <w:right w:val="nil"/>
            </w:tcBorders>
            <w:shd w:val="clear" w:color="auto" w:fill="auto"/>
            <w:vAlign w:val="center"/>
          </w:tcPr>
          <w:p w14:paraId="764CBB51" w14:textId="2CE9DE11" w:rsidR="00DC6017" w:rsidRPr="00F90034" w:rsidRDefault="00DC6017" w:rsidP="00A31074">
            <w:pPr>
              <w:rPr>
                <w:rFonts w:ascii="Times New Roman" w:hAnsi="Times New Roman" w:cs="Times New Roman"/>
                <w:b/>
                <w:color w:val="000000" w:themeColor="text1"/>
              </w:rPr>
            </w:pPr>
            <w:r w:rsidRPr="00F90034">
              <w:rPr>
                <w:rFonts w:ascii="Times New Roman" w:hAnsi="Times New Roman" w:cs="Times New Roman"/>
                <w:b/>
                <w:color w:val="000000" w:themeColor="text1"/>
              </w:rPr>
              <w:t>Signature:</w:t>
            </w:r>
          </w:p>
        </w:tc>
        <w:tc>
          <w:tcPr>
            <w:tcW w:w="8208" w:type="dxa"/>
            <w:tcBorders>
              <w:top w:val="single" w:sz="18" w:space="0" w:color="auto"/>
              <w:left w:val="nil"/>
            </w:tcBorders>
            <w:shd w:val="clear" w:color="auto" w:fill="E1E8FF"/>
            <w:vAlign w:val="center"/>
          </w:tcPr>
          <w:p w14:paraId="78BB1339" w14:textId="77777777" w:rsidR="00DC6017" w:rsidRPr="00F90034" w:rsidRDefault="00DC6017" w:rsidP="00A31074">
            <w:pPr>
              <w:tabs>
                <w:tab w:val="left" w:pos="4002"/>
              </w:tabs>
              <w:rPr>
                <w:rFonts w:ascii="Times New Roman" w:hAnsi="Times New Roman" w:cs="Times New Roman"/>
              </w:rPr>
            </w:pPr>
          </w:p>
        </w:tc>
      </w:tr>
      <w:tr w:rsidR="00DC6017" w:rsidRPr="00F90034" w14:paraId="71432672" w14:textId="77777777" w:rsidTr="00A31074">
        <w:trPr>
          <w:trHeight w:val="432"/>
        </w:trPr>
        <w:tc>
          <w:tcPr>
            <w:tcW w:w="1368" w:type="dxa"/>
            <w:tcBorders>
              <w:right w:val="nil"/>
            </w:tcBorders>
            <w:shd w:val="clear" w:color="auto" w:fill="auto"/>
            <w:vAlign w:val="center"/>
          </w:tcPr>
          <w:p w14:paraId="1EBA66A8" w14:textId="22F8EDD2" w:rsidR="00DC6017" w:rsidRPr="00F90034" w:rsidRDefault="00DC6017" w:rsidP="00A31074">
            <w:pPr>
              <w:rPr>
                <w:rFonts w:ascii="Times New Roman" w:hAnsi="Times New Roman" w:cs="Times New Roman"/>
                <w:b/>
                <w:color w:val="000000" w:themeColor="text1"/>
              </w:rPr>
            </w:pPr>
            <w:r w:rsidRPr="00F90034">
              <w:rPr>
                <w:rFonts w:ascii="Times New Roman" w:hAnsi="Times New Roman" w:cs="Times New Roman"/>
                <w:b/>
                <w:color w:val="000000" w:themeColor="text1"/>
              </w:rPr>
              <w:t>Date:</w:t>
            </w:r>
          </w:p>
        </w:tc>
        <w:tc>
          <w:tcPr>
            <w:tcW w:w="8208" w:type="dxa"/>
            <w:tcBorders>
              <w:left w:val="nil"/>
            </w:tcBorders>
            <w:shd w:val="clear" w:color="auto" w:fill="E1E8FF"/>
            <w:vAlign w:val="center"/>
          </w:tcPr>
          <w:p w14:paraId="7000FEFD" w14:textId="77777777" w:rsidR="00DC6017" w:rsidRPr="00F90034" w:rsidRDefault="00DC6017" w:rsidP="00A31074">
            <w:pPr>
              <w:tabs>
                <w:tab w:val="left" w:pos="4002"/>
              </w:tabs>
              <w:rPr>
                <w:rFonts w:ascii="Times New Roman" w:hAnsi="Times New Roman" w:cs="Times New Roman"/>
              </w:rPr>
            </w:pPr>
          </w:p>
        </w:tc>
      </w:tr>
      <w:tr w:rsidR="00DC6017" w:rsidRPr="00F90034" w14:paraId="35A113DD" w14:textId="77777777" w:rsidTr="00A31074">
        <w:trPr>
          <w:trHeight w:val="432"/>
        </w:trPr>
        <w:tc>
          <w:tcPr>
            <w:tcW w:w="1368" w:type="dxa"/>
            <w:tcBorders>
              <w:right w:val="nil"/>
            </w:tcBorders>
            <w:shd w:val="clear" w:color="auto" w:fill="auto"/>
            <w:vAlign w:val="center"/>
          </w:tcPr>
          <w:p w14:paraId="41161DA9" w14:textId="42C85B3E" w:rsidR="00DC6017" w:rsidRPr="00F90034" w:rsidRDefault="00DC6017" w:rsidP="00A31074">
            <w:pPr>
              <w:rPr>
                <w:rFonts w:ascii="Times New Roman" w:hAnsi="Times New Roman" w:cs="Times New Roman"/>
                <w:b/>
                <w:color w:val="000000" w:themeColor="text1"/>
              </w:rPr>
            </w:pPr>
            <w:r w:rsidRPr="00F90034">
              <w:rPr>
                <w:rFonts w:ascii="Times New Roman" w:hAnsi="Times New Roman" w:cs="Times New Roman"/>
                <w:b/>
                <w:color w:val="000000" w:themeColor="text1"/>
              </w:rPr>
              <w:t>Name:</w:t>
            </w:r>
          </w:p>
        </w:tc>
        <w:tc>
          <w:tcPr>
            <w:tcW w:w="8208" w:type="dxa"/>
            <w:tcBorders>
              <w:left w:val="nil"/>
            </w:tcBorders>
            <w:shd w:val="clear" w:color="auto" w:fill="E1E8FF"/>
            <w:vAlign w:val="center"/>
          </w:tcPr>
          <w:p w14:paraId="087CC513" w14:textId="77777777" w:rsidR="00DC6017" w:rsidRPr="00F90034" w:rsidRDefault="00DC6017" w:rsidP="00A31074">
            <w:pPr>
              <w:tabs>
                <w:tab w:val="left" w:pos="4002"/>
              </w:tabs>
              <w:rPr>
                <w:rFonts w:ascii="Times New Roman" w:hAnsi="Times New Roman" w:cs="Times New Roman"/>
              </w:rPr>
            </w:pPr>
          </w:p>
        </w:tc>
      </w:tr>
    </w:tbl>
    <w:p w14:paraId="71CF7D87" w14:textId="16B7AF9F" w:rsidR="00730B8D" w:rsidRDefault="00730B8D" w:rsidP="00AC0B7D">
      <w:pPr>
        <w:tabs>
          <w:tab w:val="left" w:pos="4002"/>
        </w:tabs>
        <w:rPr>
          <w:rFonts w:ascii="Times New Roman" w:hAnsi="Times New Roman" w:cs="Times New Roman"/>
          <w:b/>
          <w:sz w:val="24"/>
        </w:rPr>
      </w:pPr>
    </w:p>
    <w:p w14:paraId="244848DF" w14:textId="77777777" w:rsidR="00D90EDF" w:rsidRDefault="00D90EDF" w:rsidP="009C39B7">
      <w:pPr>
        <w:tabs>
          <w:tab w:val="left" w:pos="4002"/>
        </w:tabs>
        <w:rPr>
          <w:rFonts w:ascii="Times New Roman" w:hAnsi="Times New Roman" w:cs="Times New Roman"/>
          <w:b/>
          <w:sz w:val="20"/>
          <w:szCs w:val="18"/>
        </w:rPr>
      </w:pPr>
    </w:p>
    <w:p w14:paraId="67ACBF04" w14:textId="77777777" w:rsidR="00D90EDF" w:rsidRDefault="00D90EDF" w:rsidP="009C39B7">
      <w:pPr>
        <w:tabs>
          <w:tab w:val="left" w:pos="4002"/>
        </w:tabs>
        <w:rPr>
          <w:rFonts w:ascii="Times New Roman" w:hAnsi="Times New Roman" w:cs="Times New Roman"/>
          <w:b/>
          <w:sz w:val="20"/>
          <w:szCs w:val="18"/>
        </w:rPr>
      </w:pPr>
    </w:p>
    <w:p w14:paraId="26132777" w14:textId="042056C0" w:rsidR="009C39B7" w:rsidRPr="005F781C" w:rsidRDefault="009C39B7" w:rsidP="009C39B7">
      <w:pPr>
        <w:tabs>
          <w:tab w:val="left" w:pos="4002"/>
        </w:tabs>
        <w:rPr>
          <w:rFonts w:ascii="Times New Roman" w:hAnsi="Times New Roman" w:cs="Times New Roman"/>
          <w:b/>
          <w:szCs w:val="20"/>
        </w:rPr>
      </w:pPr>
      <w:r w:rsidRPr="005F781C">
        <w:rPr>
          <w:rFonts w:ascii="Times New Roman" w:hAnsi="Times New Roman" w:cs="Times New Roman"/>
          <w:b/>
          <w:szCs w:val="20"/>
        </w:rPr>
        <w:t>Methodology Guidance for Calculating Capacity Criteria</w:t>
      </w:r>
    </w:p>
    <w:p w14:paraId="47DDC025" w14:textId="77777777" w:rsidR="009C39B7" w:rsidRPr="005F781C" w:rsidRDefault="009C39B7" w:rsidP="009C39B7">
      <w:pPr>
        <w:tabs>
          <w:tab w:val="left" w:pos="4002"/>
        </w:tabs>
        <w:rPr>
          <w:rFonts w:ascii="Times New Roman" w:hAnsi="Times New Roman" w:cs="Times New Roman"/>
          <w:b/>
          <w:sz w:val="8"/>
          <w:szCs w:val="6"/>
        </w:rPr>
      </w:pPr>
    </w:p>
    <w:p w14:paraId="31238D7C" w14:textId="77777777" w:rsidR="00943FE3" w:rsidRPr="005F781C" w:rsidRDefault="00943FE3" w:rsidP="00943FE3">
      <w:pPr>
        <w:pStyle w:val="ListParagraph"/>
        <w:numPr>
          <w:ilvl w:val="0"/>
          <w:numId w:val="3"/>
        </w:numPr>
        <w:rPr>
          <w:rFonts w:ascii="Times New Roman" w:eastAsia="Times New Roman" w:hAnsi="Times New Roman" w:cs="Times New Roman"/>
          <w:b/>
          <w:bCs/>
        </w:rPr>
      </w:pPr>
      <w:bookmarkStart w:id="2" w:name="_Hlk40881076"/>
      <w:r w:rsidRPr="005F781C">
        <w:rPr>
          <w:rFonts w:ascii="Times New Roman" w:eastAsia="Times New Roman" w:hAnsi="Times New Roman" w:cs="Times New Roman"/>
        </w:rPr>
        <w:t>Hospital systems are required to assess their total bed capacity at the system level for all capacity criteria. For the purposes of this guidance, a hospital system includes all acute care hospitals in Massachusetts that are owned or corporately controlled by a common parent entity.</w:t>
      </w:r>
    </w:p>
    <w:p w14:paraId="3BF7899E" w14:textId="2EFFBD27" w:rsidR="00943FE3" w:rsidRPr="005F781C" w:rsidRDefault="00943FE3" w:rsidP="00943FE3">
      <w:pPr>
        <w:pStyle w:val="ListParagraph"/>
        <w:numPr>
          <w:ilvl w:val="0"/>
          <w:numId w:val="3"/>
        </w:numPr>
        <w:rPr>
          <w:rFonts w:ascii="Times New Roman" w:eastAsia="Times New Roman" w:hAnsi="Times New Roman" w:cs="Times New Roman"/>
          <w:strike/>
          <w:shd w:val="clear" w:color="auto" w:fill="FFFFFF"/>
        </w:rPr>
      </w:pPr>
      <w:bookmarkStart w:id="3" w:name="_Hlk40865444"/>
      <w:r w:rsidRPr="005F781C">
        <w:rPr>
          <w:rFonts w:ascii="Times New Roman" w:eastAsia="Times New Roman" w:hAnsi="Times New Roman" w:cs="Times New Roman"/>
          <w:shd w:val="clear" w:color="auto" w:fill="FFFFFF"/>
        </w:rPr>
        <w:t xml:space="preserve">To calculate bed availability at a hospital or hospital-system level, </w:t>
      </w:r>
      <w:r w:rsidR="0027479F" w:rsidRPr="005F781C">
        <w:rPr>
          <w:rFonts w:ascii="Times New Roman" w:eastAsia="Times New Roman" w:hAnsi="Times New Roman" w:cs="Times New Roman"/>
          <w:shd w:val="clear" w:color="auto" w:fill="FFFFFF"/>
        </w:rPr>
        <w:t xml:space="preserve">based on the data reported daily in </w:t>
      </w:r>
      <w:proofErr w:type="spellStart"/>
      <w:r w:rsidR="0027479F" w:rsidRPr="005F781C">
        <w:rPr>
          <w:rFonts w:ascii="Times New Roman" w:eastAsia="Times New Roman" w:hAnsi="Times New Roman" w:cs="Times New Roman"/>
          <w:shd w:val="clear" w:color="auto" w:fill="FFFFFF"/>
        </w:rPr>
        <w:t>WebEOC</w:t>
      </w:r>
      <w:proofErr w:type="spellEnd"/>
      <w:r w:rsidR="0027479F" w:rsidRPr="005F781C">
        <w:rPr>
          <w:rFonts w:ascii="Times New Roman" w:eastAsia="Times New Roman" w:hAnsi="Times New Roman" w:cs="Times New Roman"/>
          <w:shd w:val="clear" w:color="auto" w:fill="FFFFFF"/>
        </w:rPr>
        <w:t xml:space="preserve">, </w:t>
      </w:r>
      <w:r w:rsidRPr="005F781C">
        <w:rPr>
          <w:rFonts w:ascii="Times New Roman" w:eastAsia="Times New Roman" w:hAnsi="Times New Roman" w:cs="Times New Roman"/>
          <w:shd w:val="clear" w:color="auto" w:fill="FFFFFF"/>
        </w:rPr>
        <w:t xml:space="preserve">the hospital or hospital-system </w:t>
      </w:r>
      <w:r w:rsidR="0027479F" w:rsidRPr="005F781C">
        <w:rPr>
          <w:rFonts w:ascii="Times New Roman" w:eastAsia="Times New Roman" w:hAnsi="Times New Roman" w:cs="Times New Roman"/>
          <w:shd w:val="clear" w:color="auto" w:fill="FFFFFF"/>
        </w:rPr>
        <w:t>should</w:t>
      </w:r>
      <w:r w:rsidRPr="005F781C">
        <w:rPr>
          <w:rFonts w:ascii="Times New Roman" w:eastAsia="Times New Roman" w:hAnsi="Times New Roman" w:cs="Times New Roman"/>
          <w:shd w:val="clear" w:color="auto" w:fill="FFFFFF"/>
        </w:rPr>
        <w:t xml:space="preserve">: (a) calculate the numerator for each day: sum the number of adult medical/surgical and ICU patients (i.e., occupied beds) across the hospital or hospital system. Then, (b) calculate the denominator for each day: sum the total adult medical/surgical and ICU staffed beds (including staffed surge) across the hospital or hospital system for the current day. To calculate the occupancy percent, (c) divide the numerator by the denominator: the summed number of patients (i.e., occupied beds) by the summed total number of staffed beds (including staffed surge). To calculate the availability percent (d), subtract the occupancy percent from 1. To calculate a 7-day average, (e) hospitals or hospital systems must calculate the bed availability rate for the current day, and using the same methodology calculate the rate from the previous 6 days, and take an average of the 7 rates. </w:t>
      </w:r>
      <w:bookmarkEnd w:id="3"/>
    </w:p>
    <w:p w14:paraId="22673563" w14:textId="744178DA" w:rsidR="00943FE3" w:rsidRPr="005F781C" w:rsidRDefault="00943FE3" w:rsidP="00943FE3">
      <w:pPr>
        <w:pStyle w:val="ListParagraph"/>
        <w:numPr>
          <w:ilvl w:val="0"/>
          <w:numId w:val="3"/>
        </w:numPr>
        <w:rPr>
          <w:rFonts w:ascii="Times New Roman" w:eastAsia="Times New Roman" w:hAnsi="Times New Roman" w:cs="Times New Roman"/>
          <w:b/>
          <w:bCs/>
        </w:rPr>
      </w:pPr>
      <w:r w:rsidRPr="005F781C">
        <w:rPr>
          <w:rFonts w:ascii="Times New Roman" w:eastAsia="Times New Roman" w:hAnsi="Times New Roman" w:cs="Times New Roman"/>
          <w:color w:val="000000"/>
          <w:shd w:val="clear" w:color="auto" w:fill="FFFFFF"/>
        </w:rPr>
        <w:t xml:space="preserve">The ICU criteria is calculated using the same methodology, but using only </w:t>
      </w:r>
      <w:r w:rsidR="00995444" w:rsidRPr="005F781C">
        <w:rPr>
          <w:rFonts w:ascii="Times New Roman" w:eastAsia="Times New Roman" w:hAnsi="Times New Roman" w:cs="Times New Roman"/>
          <w:color w:val="000000"/>
          <w:shd w:val="clear" w:color="auto" w:fill="FFFFFF"/>
        </w:rPr>
        <w:t xml:space="preserve">adult </w:t>
      </w:r>
      <w:r w:rsidRPr="005F781C">
        <w:rPr>
          <w:rFonts w:ascii="Times New Roman" w:eastAsia="Times New Roman" w:hAnsi="Times New Roman" w:cs="Times New Roman"/>
          <w:color w:val="000000"/>
          <w:shd w:val="clear" w:color="auto" w:fill="FFFFFF"/>
        </w:rPr>
        <w:t>ICU patients and staffed ICU beds (including staffed surge).</w:t>
      </w:r>
    </w:p>
    <w:p w14:paraId="584662F5" w14:textId="07B0D3EC" w:rsidR="009C39B7" w:rsidRPr="005F781C" w:rsidRDefault="00943FE3" w:rsidP="00052618">
      <w:pPr>
        <w:pStyle w:val="ListParagraph"/>
        <w:numPr>
          <w:ilvl w:val="0"/>
          <w:numId w:val="3"/>
        </w:numPr>
        <w:rPr>
          <w:rFonts w:ascii="Times New Roman" w:eastAsia="Times New Roman" w:hAnsi="Times New Roman" w:cs="Times New Roman"/>
          <w:b/>
          <w:bCs/>
        </w:rPr>
      </w:pPr>
      <w:proofErr w:type="gramStart"/>
      <w:r w:rsidRPr="005F781C">
        <w:rPr>
          <w:rFonts w:ascii="Times New Roman" w:eastAsia="Times New Roman" w:hAnsi="Times New Roman" w:cs="Times New Roman"/>
        </w:rPr>
        <w:t>For the purpose of</w:t>
      </w:r>
      <w:proofErr w:type="gramEnd"/>
      <w:r w:rsidRPr="005F781C">
        <w:rPr>
          <w:rFonts w:ascii="Times New Roman" w:eastAsia="Times New Roman" w:hAnsi="Times New Roman" w:cs="Times New Roman"/>
        </w:rPr>
        <w:t xml:space="preserve"> this guidance, staffed surge beds (ICU or adult medical/surgical) means those beds that are currently staffed or that the hospital can staff within 12-24 hours. Unstaffed surge beds, i.e., those that can be made available within 72 hours, should not be included.</w:t>
      </w:r>
      <w:bookmarkEnd w:id="2"/>
    </w:p>
    <w:sectPr w:rsidR="009C39B7" w:rsidRPr="005F781C" w:rsidSect="004E2A57">
      <w:footerReference w:type="default" r:id="rId24"/>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avid Seltz" w:date="2020-05-24T21:17:00Z" w:initials="SD(">
    <w:p w14:paraId="2E403D11" w14:textId="608F3F1B" w:rsidR="00D90EDF" w:rsidRDefault="00D90EDF">
      <w:pPr>
        <w:pStyle w:val="CommentText"/>
      </w:pPr>
      <w:r>
        <w:rPr>
          <w:rStyle w:val="CommentReference"/>
        </w:rPr>
        <w:annotationRef/>
      </w:r>
      <w:r>
        <w:t>Flag to confirm hyperlink</w:t>
      </w:r>
    </w:p>
  </w:comment>
  <w:comment w:id="1" w:author="David Seltz" w:date="2020-05-24T21:20:00Z" w:initials="SD(">
    <w:p w14:paraId="10145373" w14:textId="4E4823F8" w:rsidR="00D90EDF" w:rsidRDefault="00D90EDF">
      <w:pPr>
        <w:pStyle w:val="CommentText"/>
      </w:pPr>
      <w:r>
        <w:rPr>
          <w:rStyle w:val="CommentReference"/>
        </w:rPr>
        <w:annotationRef/>
      </w:r>
      <w:r>
        <w:t>Flag to check links throughout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403D11" w15:done="0"/>
  <w15:commentEx w15:paraId="10145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562F8" w16cex:dateUtc="2020-05-25T01:17:00Z"/>
  <w16cex:commentExtensible w16cex:durableId="22756386" w16cex:dateUtc="2020-05-25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403D11" w16cid:durableId="227562F8"/>
  <w16cid:commentId w16cid:paraId="10145373" w16cid:durableId="22756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03845" w14:textId="77777777" w:rsidR="005D2AD6" w:rsidRDefault="005D2AD6" w:rsidP="00B740B8">
      <w:r>
        <w:separator/>
      </w:r>
    </w:p>
  </w:endnote>
  <w:endnote w:type="continuationSeparator" w:id="0">
    <w:p w14:paraId="6B5BCE4D" w14:textId="77777777" w:rsidR="005D2AD6" w:rsidRDefault="005D2AD6" w:rsidP="00B7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6740522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13E8B24B" w14:textId="77777777" w:rsidR="00B740B8" w:rsidRPr="00B740B8" w:rsidRDefault="00B740B8">
            <w:pPr>
              <w:pStyle w:val="Footer"/>
              <w:jc w:val="right"/>
              <w:rPr>
                <w:rFonts w:ascii="Times New Roman" w:hAnsi="Times New Roman" w:cs="Times New Roman"/>
              </w:rPr>
            </w:pPr>
            <w:r w:rsidRPr="00B740B8">
              <w:rPr>
                <w:rFonts w:ascii="Times New Roman" w:hAnsi="Times New Roman" w:cs="Times New Roman"/>
              </w:rPr>
              <w:t xml:space="preserve">Page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PAGE </w:instrText>
            </w:r>
            <w:r w:rsidRPr="00B740B8">
              <w:rPr>
                <w:rFonts w:ascii="Times New Roman" w:hAnsi="Times New Roman" w:cs="Times New Roman"/>
                <w:b/>
                <w:bCs/>
              </w:rPr>
              <w:fldChar w:fldCharType="separate"/>
            </w:r>
            <w:r w:rsidR="00A774F4">
              <w:rPr>
                <w:rFonts w:ascii="Times New Roman" w:hAnsi="Times New Roman" w:cs="Times New Roman"/>
                <w:b/>
                <w:bCs/>
                <w:noProof/>
              </w:rPr>
              <w:t>3</w:t>
            </w:r>
            <w:r w:rsidRPr="00B740B8">
              <w:rPr>
                <w:rFonts w:ascii="Times New Roman" w:hAnsi="Times New Roman" w:cs="Times New Roman"/>
                <w:b/>
                <w:bCs/>
              </w:rPr>
              <w:fldChar w:fldCharType="end"/>
            </w:r>
            <w:r w:rsidRPr="00B740B8">
              <w:rPr>
                <w:rFonts w:ascii="Times New Roman" w:hAnsi="Times New Roman" w:cs="Times New Roman"/>
              </w:rPr>
              <w:t xml:space="preserve"> of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NUMPAGES  </w:instrText>
            </w:r>
            <w:r w:rsidRPr="00B740B8">
              <w:rPr>
                <w:rFonts w:ascii="Times New Roman" w:hAnsi="Times New Roman" w:cs="Times New Roman"/>
                <w:b/>
                <w:bCs/>
              </w:rPr>
              <w:fldChar w:fldCharType="separate"/>
            </w:r>
            <w:r w:rsidR="00A774F4">
              <w:rPr>
                <w:rFonts w:ascii="Times New Roman" w:hAnsi="Times New Roman" w:cs="Times New Roman"/>
                <w:b/>
                <w:bCs/>
                <w:noProof/>
              </w:rPr>
              <w:t>4</w:t>
            </w:r>
            <w:r w:rsidRPr="00B740B8">
              <w:rPr>
                <w:rFonts w:ascii="Times New Roman" w:hAnsi="Times New Roman" w:cs="Times New Roman"/>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FE279" w14:textId="77777777" w:rsidR="005D2AD6" w:rsidRDefault="005D2AD6" w:rsidP="00B740B8">
      <w:r>
        <w:separator/>
      </w:r>
    </w:p>
  </w:footnote>
  <w:footnote w:type="continuationSeparator" w:id="0">
    <w:p w14:paraId="1FFBA237" w14:textId="77777777" w:rsidR="005D2AD6" w:rsidRDefault="005D2AD6" w:rsidP="00B74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16D29"/>
    <w:multiLevelType w:val="hybridMultilevel"/>
    <w:tmpl w:val="340610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35610767"/>
    <w:multiLevelType w:val="hybridMultilevel"/>
    <w:tmpl w:val="46DE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Seltz">
    <w15:presenceInfo w15:providerId="AD" w15:userId="S::david.seltz@mass.gov::7613251f-e3f9-4eb8-93c0-e2d3774e47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2BA"/>
    <w:rsid w:val="00017E56"/>
    <w:rsid w:val="00052618"/>
    <w:rsid w:val="00077295"/>
    <w:rsid w:val="000A5789"/>
    <w:rsid w:val="000C2210"/>
    <w:rsid w:val="000F72DC"/>
    <w:rsid w:val="00156E92"/>
    <w:rsid w:val="001818EE"/>
    <w:rsid w:val="001915C1"/>
    <w:rsid w:val="001D304D"/>
    <w:rsid w:val="001F0CF9"/>
    <w:rsid w:val="001F0DE3"/>
    <w:rsid w:val="001F33B2"/>
    <w:rsid w:val="001F3E07"/>
    <w:rsid w:val="001F7C54"/>
    <w:rsid w:val="00205D01"/>
    <w:rsid w:val="00234E17"/>
    <w:rsid w:val="0024472D"/>
    <w:rsid w:val="0027479F"/>
    <w:rsid w:val="002849D2"/>
    <w:rsid w:val="00286F19"/>
    <w:rsid w:val="002B6CB8"/>
    <w:rsid w:val="00380E92"/>
    <w:rsid w:val="0038212E"/>
    <w:rsid w:val="003B0DB3"/>
    <w:rsid w:val="003C225A"/>
    <w:rsid w:val="003D3D05"/>
    <w:rsid w:val="004068D5"/>
    <w:rsid w:val="00430FF9"/>
    <w:rsid w:val="00443663"/>
    <w:rsid w:val="00460B70"/>
    <w:rsid w:val="00471894"/>
    <w:rsid w:val="00477200"/>
    <w:rsid w:val="004B4B99"/>
    <w:rsid w:val="004B5B30"/>
    <w:rsid w:val="004C27EF"/>
    <w:rsid w:val="004E2A57"/>
    <w:rsid w:val="004E4E10"/>
    <w:rsid w:val="005204DA"/>
    <w:rsid w:val="00531933"/>
    <w:rsid w:val="00532FB0"/>
    <w:rsid w:val="005436C0"/>
    <w:rsid w:val="00547042"/>
    <w:rsid w:val="00551692"/>
    <w:rsid w:val="00560DD3"/>
    <w:rsid w:val="005619FC"/>
    <w:rsid w:val="005B441C"/>
    <w:rsid w:val="005C2A33"/>
    <w:rsid w:val="005C37B4"/>
    <w:rsid w:val="005D2AD6"/>
    <w:rsid w:val="005D64DB"/>
    <w:rsid w:val="005E22C3"/>
    <w:rsid w:val="005F781C"/>
    <w:rsid w:val="00601FB8"/>
    <w:rsid w:val="00602CD4"/>
    <w:rsid w:val="0060411F"/>
    <w:rsid w:val="00644949"/>
    <w:rsid w:val="00653439"/>
    <w:rsid w:val="00667EAB"/>
    <w:rsid w:val="00684A27"/>
    <w:rsid w:val="00686D4F"/>
    <w:rsid w:val="006945D2"/>
    <w:rsid w:val="006A0E09"/>
    <w:rsid w:val="006F0E68"/>
    <w:rsid w:val="0071436B"/>
    <w:rsid w:val="00730B8D"/>
    <w:rsid w:val="00764914"/>
    <w:rsid w:val="007771B8"/>
    <w:rsid w:val="00793D26"/>
    <w:rsid w:val="00794D00"/>
    <w:rsid w:val="007C7BE0"/>
    <w:rsid w:val="007D33CC"/>
    <w:rsid w:val="007D65A9"/>
    <w:rsid w:val="007D784E"/>
    <w:rsid w:val="007F2599"/>
    <w:rsid w:val="007F6672"/>
    <w:rsid w:val="00807CA9"/>
    <w:rsid w:val="00852AB6"/>
    <w:rsid w:val="00890261"/>
    <w:rsid w:val="008D33E5"/>
    <w:rsid w:val="008F15FD"/>
    <w:rsid w:val="008F29C0"/>
    <w:rsid w:val="00905819"/>
    <w:rsid w:val="00943FE3"/>
    <w:rsid w:val="0095244A"/>
    <w:rsid w:val="00964F87"/>
    <w:rsid w:val="00974247"/>
    <w:rsid w:val="00995444"/>
    <w:rsid w:val="009964AC"/>
    <w:rsid w:val="009B6416"/>
    <w:rsid w:val="009C39B7"/>
    <w:rsid w:val="009D40EA"/>
    <w:rsid w:val="009E3847"/>
    <w:rsid w:val="00A03AB8"/>
    <w:rsid w:val="00A140CC"/>
    <w:rsid w:val="00A20276"/>
    <w:rsid w:val="00A30BDA"/>
    <w:rsid w:val="00A31074"/>
    <w:rsid w:val="00A50832"/>
    <w:rsid w:val="00A52C07"/>
    <w:rsid w:val="00A668E9"/>
    <w:rsid w:val="00A774F4"/>
    <w:rsid w:val="00A935EE"/>
    <w:rsid w:val="00A96028"/>
    <w:rsid w:val="00AC0B7D"/>
    <w:rsid w:val="00AC2596"/>
    <w:rsid w:val="00AE2590"/>
    <w:rsid w:val="00B0056A"/>
    <w:rsid w:val="00B201BD"/>
    <w:rsid w:val="00B253E0"/>
    <w:rsid w:val="00B414E1"/>
    <w:rsid w:val="00B550B0"/>
    <w:rsid w:val="00B740B8"/>
    <w:rsid w:val="00B91105"/>
    <w:rsid w:val="00BC025D"/>
    <w:rsid w:val="00BC62BA"/>
    <w:rsid w:val="00C2796E"/>
    <w:rsid w:val="00C32F26"/>
    <w:rsid w:val="00C60A20"/>
    <w:rsid w:val="00C64E2D"/>
    <w:rsid w:val="00C656AF"/>
    <w:rsid w:val="00C7377C"/>
    <w:rsid w:val="00C806D0"/>
    <w:rsid w:val="00CB3C04"/>
    <w:rsid w:val="00D0191A"/>
    <w:rsid w:val="00D065AB"/>
    <w:rsid w:val="00D16468"/>
    <w:rsid w:val="00D27361"/>
    <w:rsid w:val="00D3348E"/>
    <w:rsid w:val="00D6020C"/>
    <w:rsid w:val="00D90EDF"/>
    <w:rsid w:val="00D91881"/>
    <w:rsid w:val="00D919A6"/>
    <w:rsid w:val="00DC6017"/>
    <w:rsid w:val="00DE317B"/>
    <w:rsid w:val="00DF2A93"/>
    <w:rsid w:val="00E17BFB"/>
    <w:rsid w:val="00E2306F"/>
    <w:rsid w:val="00E3009B"/>
    <w:rsid w:val="00E30942"/>
    <w:rsid w:val="00E81782"/>
    <w:rsid w:val="00EA78CB"/>
    <w:rsid w:val="00EC5A6A"/>
    <w:rsid w:val="00ED5060"/>
    <w:rsid w:val="00EF2A07"/>
    <w:rsid w:val="00F005FD"/>
    <w:rsid w:val="00F54CF8"/>
    <w:rsid w:val="00F628DA"/>
    <w:rsid w:val="00F90034"/>
    <w:rsid w:val="00FC7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3188E0"/>
  <w15:docId w15:val="{611569C6-1D3B-4107-A09A-4D6BE680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Title">
    <w:name w:val="Title"/>
    <w:basedOn w:val="Normal"/>
    <w:next w:val="Normal"/>
    <w:link w:val="TitleChar"/>
    <w:uiPriority w:val="10"/>
    <w:qFormat/>
    <w:rsid w:val="00BC62B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62B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C62BA"/>
    <w:rPr>
      <w:rFonts w:ascii="Tahoma" w:hAnsi="Tahoma" w:cs="Tahoma"/>
      <w:sz w:val="16"/>
      <w:szCs w:val="16"/>
    </w:rPr>
  </w:style>
  <w:style w:type="character" w:customStyle="1" w:styleId="BalloonTextChar">
    <w:name w:val="Balloon Text Char"/>
    <w:basedOn w:val="DefaultParagraphFont"/>
    <w:link w:val="BalloonText"/>
    <w:uiPriority w:val="99"/>
    <w:semiHidden/>
    <w:rsid w:val="00BC62BA"/>
    <w:rPr>
      <w:rFonts w:ascii="Tahoma" w:hAnsi="Tahoma" w:cs="Tahoma"/>
      <w:sz w:val="16"/>
      <w:szCs w:val="16"/>
    </w:rPr>
  </w:style>
  <w:style w:type="paragraph" w:styleId="ListParagraph">
    <w:name w:val="List Paragraph"/>
    <w:basedOn w:val="Normal"/>
    <w:uiPriority w:val="34"/>
    <w:qFormat/>
    <w:rsid w:val="004E2A57"/>
    <w:pPr>
      <w:ind w:left="720"/>
      <w:contextualSpacing/>
    </w:pPr>
  </w:style>
  <w:style w:type="character" w:styleId="CommentReference">
    <w:name w:val="annotation reference"/>
    <w:basedOn w:val="DefaultParagraphFont"/>
    <w:uiPriority w:val="99"/>
    <w:semiHidden/>
    <w:unhideWhenUsed/>
    <w:rsid w:val="004E2A57"/>
    <w:rPr>
      <w:sz w:val="16"/>
      <w:szCs w:val="16"/>
    </w:rPr>
  </w:style>
  <w:style w:type="paragraph" w:styleId="CommentText">
    <w:name w:val="annotation text"/>
    <w:basedOn w:val="Normal"/>
    <w:link w:val="CommentTextChar"/>
    <w:uiPriority w:val="99"/>
    <w:semiHidden/>
    <w:unhideWhenUsed/>
    <w:rsid w:val="004E2A57"/>
    <w:rPr>
      <w:sz w:val="20"/>
      <w:szCs w:val="20"/>
    </w:rPr>
  </w:style>
  <w:style w:type="character" w:customStyle="1" w:styleId="CommentTextChar">
    <w:name w:val="Comment Text Char"/>
    <w:basedOn w:val="DefaultParagraphFont"/>
    <w:link w:val="CommentText"/>
    <w:uiPriority w:val="99"/>
    <w:semiHidden/>
    <w:rsid w:val="004E2A57"/>
    <w:rPr>
      <w:sz w:val="20"/>
      <w:szCs w:val="20"/>
    </w:rPr>
  </w:style>
  <w:style w:type="paragraph" w:styleId="CommentSubject">
    <w:name w:val="annotation subject"/>
    <w:basedOn w:val="CommentText"/>
    <w:next w:val="CommentText"/>
    <w:link w:val="CommentSubjectChar"/>
    <w:uiPriority w:val="99"/>
    <w:semiHidden/>
    <w:unhideWhenUsed/>
    <w:rsid w:val="004E2A57"/>
    <w:rPr>
      <w:b/>
      <w:bCs/>
    </w:rPr>
  </w:style>
  <w:style w:type="character" w:customStyle="1" w:styleId="CommentSubjectChar">
    <w:name w:val="Comment Subject Char"/>
    <w:basedOn w:val="CommentTextChar"/>
    <w:link w:val="CommentSubject"/>
    <w:uiPriority w:val="99"/>
    <w:semiHidden/>
    <w:rsid w:val="004E2A57"/>
    <w:rPr>
      <w:b/>
      <w:bCs/>
      <w:sz w:val="20"/>
      <w:szCs w:val="20"/>
    </w:rPr>
  </w:style>
  <w:style w:type="table" w:styleId="TableGrid">
    <w:name w:val="Table Grid"/>
    <w:basedOn w:val="TableNormal"/>
    <w:uiPriority w:val="59"/>
    <w:rsid w:val="00AE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894"/>
    <w:rPr>
      <w:color w:val="0000FF" w:themeColor="hyperlink"/>
      <w:u w:val="single"/>
    </w:rPr>
  </w:style>
  <w:style w:type="character" w:customStyle="1" w:styleId="UnresolvedMention1">
    <w:name w:val="Unresolved Mention1"/>
    <w:basedOn w:val="DefaultParagraphFont"/>
    <w:uiPriority w:val="99"/>
    <w:semiHidden/>
    <w:unhideWhenUsed/>
    <w:rsid w:val="001F0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659363">
      <w:bodyDiv w:val="1"/>
      <w:marLeft w:val="0"/>
      <w:marRight w:val="0"/>
      <w:marTop w:val="0"/>
      <w:marBottom w:val="0"/>
      <w:divBdr>
        <w:top w:val="none" w:sz="0" w:space="0" w:color="auto"/>
        <w:left w:val="none" w:sz="0" w:space="0" w:color="auto"/>
        <w:bottom w:val="none" w:sz="0" w:space="0" w:color="auto"/>
        <w:right w:val="none" w:sz="0" w:space="0" w:color="auto"/>
      </w:divBdr>
    </w:div>
    <w:div w:id="139542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info-details/reopening-massachusetts" TargetMode="External"/><Relationship Id="rId18" Type="http://schemas.openxmlformats.org/officeDocument/2006/relationships/hyperlink" Target="https://www.mass.gov/doc/dph-phase-1-reopening-guidance-acute-care-hospitals-may-18/download"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mass.gov/doc/dph-phase-1-reopening-guidance-acute-care-hospitals-may-18/download"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mass.gov/doc/dph-phase-1-reopening-guidance-acute-care-hospitals-may-18/downloa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doc/dph-phase-1-reopening-guidance-acute-care-hospitals-may-18/download" TargetMode="External"/><Relationship Id="rId20" Type="http://schemas.openxmlformats.org/officeDocument/2006/relationships/hyperlink" Target="https://www.mass.gov/doc/dph-phase-1-reopening-guidance-acute-care-hospitals-may-18/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ss.gov/doc/dph-phase-1-reopening-guidance-acute-care-hospitals-may-18/download" TargetMode="External"/><Relationship Id="rId23" Type="http://schemas.openxmlformats.org/officeDocument/2006/relationships/hyperlink" Target="https://www.mass.gov/doc/dph-phase-1-reopening-guidance-acute-care-hospitals-may-18/download" TargetMode="External"/><Relationship Id="rId10" Type="http://schemas.microsoft.com/office/2011/relationships/commentsExtended" Target="commentsExtended.xml"/><Relationship Id="rId19" Type="http://schemas.openxmlformats.org/officeDocument/2006/relationships/hyperlink" Target="https://www.mass.gov/doc/dph-phase-1-reopening-guidance-acute-care-hospitals-may-18/download"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mass.gov/doc/dph-phase-1-reopening-guidance-acute-care-hospitals-may-18/download" TargetMode="External"/><Relationship Id="rId22" Type="http://schemas.openxmlformats.org/officeDocument/2006/relationships/hyperlink" Target="https://www.mass.gov/doc/dph-phase-1-reopening-guidance-acute-care-hospitals-may-18/downloa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6BD74-0936-4A54-9D2F-AB73F75B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Commonwealth</dc:creator>
  <cp:lastModifiedBy>Seltz, David (HPC)</cp:lastModifiedBy>
  <cp:revision>4</cp:revision>
  <dcterms:created xsi:type="dcterms:W3CDTF">2020-05-25T01:22:00Z</dcterms:created>
  <dcterms:modified xsi:type="dcterms:W3CDTF">2020-05-25T01:57:00Z</dcterms:modified>
</cp:coreProperties>
</file>