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6.xml" ContentType="application/vnd.openxmlformats-officedocument.drawingml.chartshapes+xml"/>
  <Override PartName="/word/charts/chart14.xml" ContentType="application/vnd.openxmlformats-officedocument.drawingml.chart+xml"/>
  <Override PartName="/word/drawings/drawing7.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Caption w:val="Header - Data Brief: Childhood Lead Exposure in Massachusetts June 2016"/>
      </w:tblPr>
      <w:tblGrid>
        <w:gridCol w:w="10800"/>
      </w:tblGrid>
      <w:tr w:rsidR="00924DFF" w14:paraId="79810163" w14:textId="77777777" w:rsidTr="00742086">
        <w:trPr>
          <w:trHeight w:val="2121"/>
        </w:trPr>
        <w:tc>
          <w:tcPr>
            <w:tcW w:w="10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1F497D" w:themeFill="text2"/>
          </w:tcPr>
          <w:p w14:paraId="0AA866EB" w14:textId="54B878D1" w:rsidR="00924DFF" w:rsidRDefault="003E62AD" w:rsidP="00AF5AA7">
            <w:pPr>
              <w:pStyle w:val="Heading1"/>
              <w:spacing w:line="276" w:lineRule="auto"/>
              <w:outlineLvl w:val="0"/>
            </w:pPr>
            <w:r w:rsidRPr="00653761">
              <w:rPr>
                <w:rFonts w:cs="Arial"/>
                <w:noProof/>
                <w:sz w:val="20"/>
              </w:rPr>
              <mc:AlternateContent>
                <mc:Choice Requires="wps">
                  <w:drawing>
                    <wp:anchor distT="0" distB="0" distL="114300" distR="114300" simplePos="0" relativeHeight="251664384" behindDoc="0" locked="0" layoutInCell="1" allowOverlap="1" wp14:anchorId="20973367" wp14:editId="011C6E6A">
                      <wp:simplePos x="0" y="0"/>
                      <wp:positionH relativeFrom="column">
                        <wp:posOffset>1150620</wp:posOffset>
                      </wp:positionH>
                      <wp:positionV relativeFrom="paragraph">
                        <wp:posOffset>28575</wp:posOffset>
                      </wp:positionV>
                      <wp:extent cx="5676900" cy="1327785"/>
                      <wp:effectExtent l="0" t="0" r="0" b="571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1327785"/>
                              </a:xfrm>
                              <a:prstGeom prst="rect">
                                <a:avLst/>
                              </a:prstGeom>
                              <a:noFill/>
                              <a:ln>
                                <a:noFill/>
                              </a:ln>
                              <a:effectLst/>
                            </wps:spPr>
                            <wps:txbx>
                              <w:txbxContent>
                                <w:p w14:paraId="681E491A" w14:textId="0FDF00F4" w:rsidR="00C04FE4" w:rsidRPr="00B81BE5" w:rsidRDefault="00C04FE4" w:rsidP="00924DFF">
                                  <w:pPr>
                                    <w:rPr>
                                      <w:rFonts w:cs="Arial"/>
                                      <w:b/>
                                      <w:color w:val="FFFFFF" w:themeColor="background1"/>
                                      <w:sz w:val="32"/>
                                      <w:szCs w:val="32"/>
                                    </w:rPr>
                                  </w:pPr>
                                  <w:r>
                                    <w:rPr>
                                      <w:rFonts w:cs="Arial"/>
                                      <w:b/>
                                      <w:color w:val="FFCC66"/>
                                      <w:sz w:val="56"/>
                                      <w:szCs w:val="52"/>
                                    </w:rPr>
                                    <w:t>Data Brief</w:t>
                                  </w:r>
                                  <w:r>
                                    <w:rPr>
                                      <w:rFonts w:cs="Arial"/>
                                      <w:b/>
                                      <w:color w:val="FFFFFF" w:themeColor="background1"/>
                                      <w:sz w:val="56"/>
                                      <w:szCs w:val="52"/>
                                    </w:rPr>
                                    <w:t xml:space="preserve"> </w:t>
                                  </w:r>
                                  <w:r>
                                    <w:rPr>
                                      <w:rFonts w:cs="Arial"/>
                                      <w:b/>
                                      <w:color w:val="FFFFFF" w:themeColor="background1"/>
                                      <w:sz w:val="36"/>
                                      <w:szCs w:val="36"/>
                                    </w:rPr>
                                    <w:br/>
                                  </w:r>
                                  <w:r w:rsidRPr="00B81BE5">
                                    <w:rPr>
                                      <w:rFonts w:cs="Arial"/>
                                      <w:b/>
                                      <w:color w:val="FFFFFF" w:themeColor="background1"/>
                                      <w:sz w:val="32"/>
                                      <w:szCs w:val="32"/>
                                    </w:rPr>
                                    <w:t>Stimulants, health disparities, and the impact of the opioid epidemic on maternal health and high risk populations</w:t>
                                  </w:r>
                                </w:p>
                                <w:p w14:paraId="6CE7506C" w14:textId="77777777" w:rsidR="00C04FE4" w:rsidRPr="00491E09" w:rsidRDefault="00C04FE4" w:rsidP="00924DFF">
                                  <w:pPr>
                                    <w:rPr>
                                      <w:rFonts w:cs="Arial"/>
                                      <w:b/>
                                      <w:i/>
                                      <w:color w:val="FFFFFF" w:themeColor="background1"/>
                                      <w:sz w:val="36"/>
                                      <w:szCs w:val="3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973367" id="_x0000_t202" coordsize="21600,21600" o:spt="202" path="m,l,21600r21600,l21600,xe">
                      <v:stroke joinstyle="miter"/>
                      <v:path gradientshapeok="t" o:connecttype="rect"/>
                    </v:shapetype>
                    <v:shape id="Text Box 1" o:spid="_x0000_s1026" type="#_x0000_t202" style="position:absolute;margin-left:90.6pt;margin-top:2.25pt;width:447pt;height:10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" filled="f" stroked="f">
                      <v:textbox>
                        <w:txbxContent>
                          <w:p w14:paraId="681E491A" w14:textId="0FDF00F4" w:rsidR="00C04FE4" w:rsidRPr="00B81BE5" w:rsidRDefault="00C04FE4" w:rsidP="00924DFF">
                            <w:pPr>
                              <w:rPr>
                                <w:rFonts w:cs="Arial"/>
                                <w:b/>
                                <w:color w:val="FFFFFF" w:themeColor="background1"/>
                                <w:sz w:val="32"/>
                                <w:szCs w:val="32"/>
                              </w:rPr>
                            </w:pPr>
                            <w:r>
                              <w:rPr>
                                <w:rFonts w:cs="Arial"/>
                                <w:b/>
                                <w:color w:val="FFCC66"/>
                                <w:sz w:val="56"/>
                                <w:szCs w:val="52"/>
                              </w:rPr>
                              <w:t>Data Brief</w:t>
                            </w:r>
                            <w:r>
                              <w:rPr>
                                <w:rFonts w:cs="Arial"/>
                                <w:b/>
                                <w:color w:val="FFFFFF" w:themeColor="background1"/>
                                <w:sz w:val="56"/>
                                <w:szCs w:val="52"/>
                              </w:rPr>
                              <w:t xml:space="preserve"> </w:t>
                            </w:r>
                            <w:r>
                              <w:rPr>
                                <w:rFonts w:cs="Arial"/>
                                <w:b/>
                                <w:color w:val="FFFFFF" w:themeColor="background1"/>
                                <w:sz w:val="36"/>
                                <w:szCs w:val="36"/>
                              </w:rPr>
                              <w:br/>
                            </w:r>
                            <w:r w:rsidRPr="00B81BE5">
                              <w:rPr>
                                <w:rFonts w:cs="Arial"/>
                                <w:b/>
                                <w:color w:val="FFFFFF" w:themeColor="background1"/>
                                <w:sz w:val="32"/>
                                <w:szCs w:val="32"/>
                              </w:rPr>
                              <w:t>Stimulants, health disparities, and the impact of the opioid epidemic on maternal health and high risk populations</w:t>
                            </w:r>
                          </w:p>
                          <w:p w14:paraId="6CE7506C" w14:textId="77777777" w:rsidR="00C04FE4" w:rsidRPr="00491E09" w:rsidRDefault="00C04FE4" w:rsidP="00924DFF">
                            <w:pPr>
                              <w:rPr>
                                <w:rFonts w:cs="Arial"/>
                                <w:b/>
                                <w:i/>
                                <w:color w:val="FFFFFF" w:themeColor="background1"/>
                                <w:sz w:val="36"/>
                                <w:szCs w:val="34"/>
                              </w:rPr>
                            </w:pPr>
                          </w:p>
                        </w:txbxContent>
                      </v:textbox>
                    </v:shape>
                  </w:pict>
                </mc:Fallback>
              </mc:AlternateContent>
            </w:r>
            <w:r w:rsidR="00924DFF">
              <w:rPr>
                <w:noProof/>
              </w:rPr>
              <w:drawing>
                <wp:anchor distT="0" distB="0" distL="114300" distR="114300" simplePos="0" relativeHeight="251665408" behindDoc="0" locked="0" layoutInCell="1" allowOverlap="1" wp14:anchorId="704B144E" wp14:editId="43FFBDD8">
                  <wp:simplePos x="0" y="0"/>
                  <wp:positionH relativeFrom="column">
                    <wp:posOffset>45720</wp:posOffset>
                  </wp:positionH>
                  <wp:positionV relativeFrom="paragraph">
                    <wp:posOffset>152400</wp:posOffset>
                  </wp:positionV>
                  <wp:extent cx="1012190" cy="10121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12190" cy="1012190"/>
                          </a:xfrm>
                          <a:prstGeom prst="rect">
                            <a:avLst/>
                          </a:prstGeom>
                          <a:noFill/>
                        </pic:spPr>
                      </pic:pic>
                    </a:graphicData>
                  </a:graphic>
                  <wp14:sizeRelH relativeFrom="page">
                    <wp14:pctWidth>0</wp14:pctWidth>
                  </wp14:sizeRelH>
                  <wp14:sizeRelV relativeFrom="page">
                    <wp14:pctHeight>0</wp14:pctHeight>
                  </wp14:sizeRelV>
                </wp:anchor>
              </w:drawing>
            </w:r>
          </w:p>
        </w:tc>
      </w:tr>
      <w:tr w:rsidR="00924DFF" w:rsidRPr="00491E09" w14:paraId="76124BC9" w14:textId="77777777" w:rsidTr="00742086">
        <w:trPr>
          <w:trHeight w:val="375"/>
        </w:trPr>
        <w:tc>
          <w:tcPr>
            <w:tcW w:w="108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1F497D" w:themeFill="text2"/>
            <w:vAlign w:val="center"/>
          </w:tcPr>
          <w:p w14:paraId="651F1FC2" w14:textId="6A557F2F" w:rsidR="00924DFF" w:rsidRPr="00924DFF" w:rsidRDefault="00924DFF" w:rsidP="00AF5AA7">
            <w:pPr>
              <w:pStyle w:val="Heading1"/>
              <w:spacing w:before="0" w:line="276" w:lineRule="auto"/>
              <w:jc w:val="center"/>
              <w:outlineLvl w:val="0"/>
              <w:rPr>
                <w:rStyle w:val="SubtleEmphasis"/>
                <w:rFonts w:asciiTheme="minorHAnsi" w:hAnsiTheme="minorHAnsi"/>
                <w:color w:val="FFFFFF" w:themeColor="background1"/>
                <w:sz w:val="22"/>
                <w:szCs w:val="22"/>
              </w:rPr>
            </w:pPr>
            <w:r w:rsidRPr="00924DFF">
              <w:rPr>
                <w:rStyle w:val="SubtleEmphasis"/>
                <w:rFonts w:asciiTheme="minorHAnsi" w:hAnsiTheme="minorHAnsi"/>
                <w:color w:val="FFFFFF" w:themeColor="background1"/>
                <w:sz w:val="22"/>
                <w:szCs w:val="22"/>
              </w:rPr>
              <w:t xml:space="preserve">Massachusetts Department of Public Health                                                                             </w:t>
            </w:r>
            <w:r>
              <w:rPr>
                <w:rStyle w:val="SubtleEmphasis"/>
                <w:rFonts w:asciiTheme="minorHAnsi" w:hAnsiTheme="minorHAnsi"/>
                <w:color w:val="FFFFFF" w:themeColor="background1"/>
                <w:sz w:val="22"/>
                <w:szCs w:val="22"/>
              </w:rPr>
              <w:t xml:space="preserve">           </w:t>
            </w:r>
            <w:r w:rsidRPr="00924DFF">
              <w:rPr>
                <w:rStyle w:val="SubtleEmphasis"/>
                <w:rFonts w:asciiTheme="minorHAnsi" w:hAnsiTheme="minorHAnsi"/>
                <w:color w:val="FFFFFF" w:themeColor="background1"/>
                <w:sz w:val="22"/>
                <w:szCs w:val="22"/>
              </w:rPr>
              <w:t xml:space="preserve">RELEASED: </w:t>
            </w:r>
            <w:r w:rsidR="001C02E3">
              <w:rPr>
                <w:rStyle w:val="SubtleEmphasis"/>
                <w:rFonts w:asciiTheme="minorHAnsi" w:hAnsiTheme="minorHAnsi"/>
                <w:color w:val="FFFFFF" w:themeColor="background1"/>
                <w:sz w:val="22"/>
                <w:szCs w:val="22"/>
              </w:rPr>
              <w:t>March</w:t>
            </w:r>
            <w:r>
              <w:rPr>
                <w:rStyle w:val="SubtleEmphasis"/>
                <w:rFonts w:asciiTheme="minorHAnsi" w:hAnsiTheme="minorHAnsi"/>
                <w:color w:val="FFFFFF" w:themeColor="background1"/>
                <w:sz w:val="22"/>
                <w:szCs w:val="22"/>
              </w:rPr>
              <w:t xml:space="preserve"> 2019</w:t>
            </w:r>
          </w:p>
        </w:tc>
      </w:tr>
    </w:tbl>
    <w:p w14:paraId="5B786719" w14:textId="77777777" w:rsidR="003A393C" w:rsidRDefault="003A393C" w:rsidP="00AF5AA7">
      <w:pPr>
        <w:pStyle w:val="Heading2"/>
      </w:pPr>
    </w:p>
    <w:p w14:paraId="36F256F4" w14:textId="4A709106" w:rsidR="00924DFF" w:rsidRDefault="00924DFF" w:rsidP="00AF5AA7">
      <w:pPr>
        <w:pStyle w:val="Heading2"/>
      </w:pPr>
      <w:r>
        <w:t>Background</w:t>
      </w:r>
    </w:p>
    <w:p w14:paraId="7A9D7E07" w14:textId="6E81E82A" w:rsidR="00CF69BA" w:rsidRPr="00CF69BA" w:rsidRDefault="00CF69BA" w:rsidP="00CF69BA">
      <w:pPr>
        <w:rPr>
          <w:rStyle w:val="Emphasis"/>
          <w:rFonts w:cs="Arial"/>
          <w:i w:val="0"/>
          <w:color w:val="222222"/>
          <w:shd w:val="clear" w:color="auto" w:fill="FFFFFF"/>
        </w:rPr>
      </w:pPr>
      <w:r>
        <w:rPr>
          <w:rStyle w:val="Emphasis"/>
          <w:rFonts w:cs="Arial"/>
          <w:i w:val="0"/>
          <w:color w:val="222222"/>
          <w:shd w:val="clear" w:color="auto" w:fill="FFFFFF"/>
        </w:rPr>
        <w:t xml:space="preserve">In 2015, legislation </w:t>
      </w:r>
      <w:r w:rsidR="00C04FE4">
        <w:rPr>
          <w:rStyle w:val="Emphasis"/>
          <w:rFonts w:cs="Arial"/>
          <w:i w:val="0"/>
          <w:color w:val="222222"/>
          <w:shd w:val="clear" w:color="auto" w:fill="FFFFFF"/>
        </w:rPr>
        <w:t>responding to the opioid epidemic</w:t>
      </w:r>
      <w:r>
        <w:rPr>
          <w:rStyle w:val="Emphasis"/>
          <w:rFonts w:cs="Arial"/>
          <w:i w:val="0"/>
          <w:color w:val="222222"/>
          <w:shd w:val="clear" w:color="auto" w:fill="FFFFFF"/>
        </w:rPr>
        <w:t xml:space="preserve"> was passed and signed into law by Governor Charlie </w:t>
      </w:r>
      <w:r w:rsidR="00C04FE4">
        <w:rPr>
          <w:rStyle w:val="Emphasis"/>
          <w:rFonts w:cs="Arial"/>
          <w:i w:val="0"/>
          <w:color w:val="222222"/>
          <w:shd w:val="clear" w:color="auto" w:fill="FFFFFF"/>
        </w:rPr>
        <w:t>Baker and reauthorized in 2016. This law, referred to as Chapter 55, enabled</w:t>
      </w:r>
      <w:r>
        <w:rPr>
          <w:rStyle w:val="Emphasis"/>
          <w:rFonts w:cs="Arial"/>
          <w:i w:val="0"/>
          <w:color w:val="222222"/>
          <w:shd w:val="clear" w:color="auto" w:fill="FFFFFF"/>
        </w:rPr>
        <w:t xml:space="preserve"> the linkage and analysis of </w:t>
      </w:r>
      <w:r w:rsidR="00A1361B">
        <w:rPr>
          <w:rStyle w:val="Emphasis"/>
          <w:rFonts w:cs="Arial"/>
          <w:i w:val="0"/>
          <w:color w:val="222222"/>
          <w:shd w:val="clear" w:color="auto" w:fill="FFFFFF"/>
        </w:rPr>
        <w:t>various</w:t>
      </w:r>
      <w:r>
        <w:rPr>
          <w:rStyle w:val="Emphasis"/>
          <w:rFonts w:cs="Arial"/>
          <w:i w:val="0"/>
          <w:color w:val="222222"/>
          <w:shd w:val="clear" w:color="auto" w:fill="FFFFFF"/>
        </w:rPr>
        <w:t xml:space="preserve"> data sets from agencies across state government.</w:t>
      </w:r>
      <w:r w:rsidRPr="00CF69BA">
        <w:rPr>
          <w:rStyle w:val="Emphasis"/>
          <w:rFonts w:cs="Arial"/>
          <w:i w:val="0"/>
          <w:color w:val="222222"/>
          <w:shd w:val="clear" w:color="auto" w:fill="FFFFFF"/>
        </w:rPr>
        <w:t xml:space="preserve"> </w:t>
      </w:r>
      <w:r w:rsidR="003E62AD">
        <w:rPr>
          <w:rStyle w:val="Emphasis"/>
          <w:rFonts w:cs="Arial"/>
          <w:i w:val="0"/>
          <w:color w:val="222222"/>
          <w:shd w:val="clear" w:color="auto" w:fill="FFFFFF"/>
        </w:rPr>
        <w:t>Led by the Massachusetts Department of Public Health (</w:t>
      </w:r>
      <w:r>
        <w:rPr>
          <w:rStyle w:val="Emphasis"/>
          <w:rFonts w:cs="Arial"/>
          <w:i w:val="0"/>
          <w:color w:val="222222"/>
          <w:shd w:val="clear" w:color="auto" w:fill="FFFFFF"/>
        </w:rPr>
        <w:t>DPH</w:t>
      </w:r>
      <w:r w:rsidR="003E62AD">
        <w:rPr>
          <w:rStyle w:val="Emphasis"/>
          <w:rFonts w:cs="Arial"/>
          <w:i w:val="0"/>
          <w:color w:val="222222"/>
          <w:shd w:val="clear" w:color="auto" w:fill="FFFFFF"/>
        </w:rPr>
        <w:t>)</w:t>
      </w:r>
      <w:r>
        <w:rPr>
          <w:rStyle w:val="Emphasis"/>
          <w:rFonts w:cs="Arial"/>
          <w:i w:val="0"/>
          <w:color w:val="222222"/>
          <w:shd w:val="clear" w:color="auto" w:fill="FFFFFF"/>
        </w:rPr>
        <w:t xml:space="preserve">, </w:t>
      </w:r>
      <w:r w:rsidRPr="00CF69BA">
        <w:rPr>
          <w:rStyle w:val="Emphasis"/>
          <w:rFonts w:cs="Arial"/>
          <w:i w:val="0"/>
          <w:color w:val="222222"/>
          <w:shd w:val="clear" w:color="auto" w:fill="FFFFFF"/>
        </w:rPr>
        <w:t>29 groups from government, higher education, and the private sector pro</w:t>
      </w:r>
      <w:r>
        <w:rPr>
          <w:rStyle w:val="Emphasis"/>
          <w:rFonts w:cs="Arial"/>
          <w:i w:val="0"/>
          <w:color w:val="222222"/>
          <w:shd w:val="clear" w:color="auto" w:fill="FFFFFF"/>
        </w:rPr>
        <w:t>vided information and expertise</w:t>
      </w:r>
      <w:r w:rsidR="009D50A1">
        <w:rPr>
          <w:rStyle w:val="Emphasis"/>
          <w:rFonts w:cs="Arial"/>
          <w:i w:val="0"/>
          <w:color w:val="222222"/>
          <w:shd w:val="clear" w:color="auto" w:fill="FFFFFF"/>
        </w:rPr>
        <w:t xml:space="preserve"> to advance Chapter 55 goals</w:t>
      </w:r>
      <w:r>
        <w:rPr>
          <w:rStyle w:val="Emphasis"/>
          <w:rFonts w:cs="Arial"/>
          <w:i w:val="0"/>
          <w:color w:val="222222"/>
          <w:shd w:val="clear" w:color="auto" w:fill="FFFFFF"/>
        </w:rPr>
        <w:t xml:space="preserve">, </w:t>
      </w:r>
      <w:r w:rsidR="008920AD">
        <w:rPr>
          <w:rStyle w:val="Emphasis"/>
          <w:rFonts w:cs="Arial"/>
          <w:i w:val="0"/>
          <w:color w:val="222222"/>
          <w:shd w:val="clear" w:color="auto" w:fill="FFFFFF"/>
        </w:rPr>
        <w:t xml:space="preserve">establishing </w:t>
      </w:r>
      <w:r>
        <w:rPr>
          <w:rStyle w:val="Emphasis"/>
          <w:rFonts w:cs="Arial"/>
          <w:i w:val="0"/>
          <w:color w:val="222222"/>
          <w:shd w:val="clear" w:color="auto" w:fill="FFFFFF"/>
        </w:rPr>
        <w:t>a</w:t>
      </w:r>
      <w:r w:rsidR="003A393C">
        <w:rPr>
          <w:rStyle w:val="Emphasis"/>
          <w:rFonts w:cs="Arial"/>
          <w:i w:val="0"/>
          <w:color w:val="222222"/>
          <w:shd w:val="clear" w:color="auto" w:fill="FFFFFF"/>
        </w:rPr>
        <w:t>n unprecedented</w:t>
      </w:r>
      <w:r>
        <w:rPr>
          <w:rStyle w:val="Emphasis"/>
          <w:rFonts w:cs="Arial"/>
          <w:i w:val="0"/>
          <w:color w:val="222222"/>
          <w:shd w:val="clear" w:color="auto" w:fill="FFFFFF"/>
        </w:rPr>
        <w:t xml:space="preserve"> </w:t>
      </w:r>
      <w:r w:rsidR="008920AD">
        <w:rPr>
          <w:rStyle w:val="Emphasis"/>
          <w:rFonts w:cs="Arial"/>
          <w:i w:val="0"/>
          <w:color w:val="222222"/>
          <w:shd w:val="clear" w:color="auto" w:fill="FFFFFF"/>
        </w:rPr>
        <w:t xml:space="preserve">public-private </w:t>
      </w:r>
      <w:r w:rsidRPr="00CF69BA">
        <w:rPr>
          <w:rStyle w:val="Emphasis"/>
          <w:rFonts w:cs="Arial"/>
          <w:i w:val="0"/>
          <w:color w:val="222222"/>
          <w:shd w:val="clear" w:color="auto" w:fill="FFFFFF"/>
        </w:rPr>
        <w:t>partnership</w:t>
      </w:r>
      <w:r w:rsidR="003A393C">
        <w:rPr>
          <w:rStyle w:val="Emphasis"/>
          <w:rFonts w:cs="Arial"/>
          <w:i w:val="0"/>
          <w:color w:val="222222"/>
          <w:shd w:val="clear" w:color="auto" w:fill="FFFFFF"/>
        </w:rPr>
        <w:t xml:space="preserve"> </w:t>
      </w:r>
      <w:r w:rsidR="009D50A1">
        <w:rPr>
          <w:rStyle w:val="Emphasis"/>
          <w:rFonts w:cs="Arial"/>
          <w:i w:val="0"/>
          <w:color w:val="222222"/>
          <w:shd w:val="clear" w:color="auto" w:fill="FFFFFF"/>
        </w:rPr>
        <w:t>to maximize the use of administrative data</w:t>
      </w:r>
      <w:r w:rsidR="00C04FE4">
        <w:rPr>
          <w:rStyle w:val="Emphasis"/>
          <w:rFonts w:cs="Arial"/>
          <w:i w:val="0"/>
          <w:color w:val="222222"/>
          <w:shd w:val="clear" w:color="auto" w:fill="FFFFFF"/>
        </w:rPr>
        <w:t xml:space="preserve"> to study a major public health crisis</w:t>
      </w:r>
      <w:r w:rsidR="009D50A1">
        <w:rPr>
          <w:rStyle w:val="Emphasis"/>
          <w:rFonts w:cs="Arial"/>
          <w:i w:val="0"/>
          <w:color w:val="222222"/>
          <w:shd w:val="clear" w:color="auto" w:fill="FFFFFF"/>
        </w:rPr>
        <w:t>.</w:t>
      </w:r>
    </w:p>
    <w:p w14:paraId="1609974B" w14:textId="1B6BC4C3" w:rsidR="006C4ACC" w:rsidRDefault="00C04FE4" w:rsidP="00CF69BA">
      <w:pPr>
        <w:rPr>
          <w:rFonts w:cs="Helvetica"/>
          <w:color w:val="141414"/>
        </w:rPr>
      </w:pPr>
      <w:r>
        <w:rPr>
          <w:rStyle w:val="Emphasis"/>
          <w:rFonts w:cs="Arial"/>
          <w:i w:val="0"/>
          <w:color w:val="222222"/>
          <w:shd w:val="clear" w:color="auto" w:fill="FFFFFF"/>
        </w:rPr>
        <w:t>In 2017, a</w:t>
      </w:r>
      <w:r w:rsidR="009D50A1">
        <w:t xml:space="preserve"> new statute </w:t>
      </w:r>
      <w:hyperlink r:id="rId10" w:history="1">
        <w:r w:rsidR="009D50A1" w:rsidRPr="00FB56AF">
          <w:rPr>
            <w:rStyle w:val="Hyperlink"/>
            <w:szCs w:val="24"/>
            <w:shd w:val="clear" w:color="auto" w:fill="FFFFFF"/>
          </w:rPr>
          <w:t>M.G.L c. 111 s. 237</w:t>
        </w:r>
      </w:hyperlink>
      <w:r w:rsidR="009D50A1" w:rsidRPr="00FB56AF">
        <w:rPr>
          <w:color w:val="333333"/>
          <w:szCs w:val="24"/>
          <w:shd w:val="clear" w:color="auto" w:fill="FFFFFF"/>
        </w:rPr>
        <w:t xml:space="preserve"> </w:t>
      </w:r>
      <w:r w:rsidR="009D50A1">
        <w:t xml:space="preserve">was promulgated to establish the </w:t>
      </w:r>
      <w:r w:rsidR="009D50A1" w:rsidRPr="0024373C">
        <w:rPr>
          <w:rFonts w:cs="Helvetica"/>
          <w:b/>
          <w:color w:val="141414"/>
        </w:rPr>
        <w:t>Public Health Data Warehouse</w:t>
      </w:r>
      <w:r w:rsidR="009D50A1">
        <w:t xml:space="preserve"> which authorizes</w:t>
      </w:r>
      <w:r w:rsidR="006C4ACC">
        <w:t xml:space="preserve"> </w:t>
      </w:r>
      <w:r w:rsidR="006C4ACC">
        <w:rPr>
          <w:rFonts w:cs="Helvetica"/>
          <w:color w:val="141414"/>
        </w:rPr>
        <w:t>the</w:t>
      </w:r>
      <w:r w:rsidR="00924DFF" w:rsidRPr="00296A48">
        <w:rPr>
          <w:rFonts w:cs="Helvetica"/>
          <w:color w:val="141414"/>
        </w:rPr>
        <w:t xml:space="preserve"> </w:t>
      </w:r>
      <w:r w:rsidR="00CF69BA">
        <w:rPr>
          <w:rFonts w:cs="Helvetica"/>
          <w:color w:val="141414"/>
        </w:rPr>
        <w:t xml:space="preserve">DPH </w:t>
      </w:r>
      <w:r w:rsidR="00924DFF" w:rsidRPr="00296A48">
        <w:rPr>
          <w:rFonts w:cs="Helvetica"/>
          <w:color w:val="141414"/>
        </w:rPr>
        <w:t xml:space="preserve">Commissioner </w:t>
      </w:r>
      <w:r w:rsidR="006C4ACC">
        <w:rPr>
          <w:rFonts w:cs="Helvetica"/>
          <w:color w:val="141414"/>
        </w:rPr>
        <w:t>to continue t</w:t>
      </w:r>
      <w:r w:rsidR="009D50A1">
        <w:rPr>
          <w:rFonts w:cs="Helvetica"/>
          <w:color w:val="141414"/>
        </w:rPr>
        <w:t xml:space="preserve">he work of </w:t>
      </w:r>
      <w:r w:rsidR="006C4ACC">
        <w:rPr>
          <w:rFonts w:cs="Helvetica"/>
          <w:color w:val="141414"/>
        </w:rPr>
        <w:t>examin</w:t>
      </w:r>
      <w:r w:rsidR="009D50A1">
        <w:rPr>
          <w:rFonts w:cs="Helvetica"/>
          <w:color w:val="141414"/>
        </w:rPr>
        <w:t>ing</w:t>
      </w:r>
      <w:r w:rsidR="00924DFF" w:rsidRPr="00296A48">
        <w:rPr>
          <w:rFonts w:cs="Helvetica"/>
          <w:color w:val="141414"/>
        </w:rPr>
        <w:t xml:space="preserve"> data and </w:t>
      </w:r>
      <w:r w:rsidR="006C4ACC">
        <w:rPr>
          <w:rFonts w:cs="Helvetica"/>
          <w:color w:val="141414"/>
        </w:rPr>
        <w:t xml:space="preserve">trends </w:t>
      </w:r>
      <w:r w:rsidR="009D50A1">
        <w:rPr>
          <w:rFonts w:cs="Helvetica"/>
          <w:color w:val="141414"/>
        </w:rPr>
        <w:t xml:space="preserve">in fatal and nonfatal opioid overdoses </w:t>
      </w:r>
      <w:r>
        <w:rPr>
          <w:rFonts w:cs="Helvetica"/>
          <w:color w:val="141414"/>
        </w:rPr>
        <w:t>and to add</w:t>
      </w:r>
      <w:r w:rsidR="000338BF">
        <w:rPr>
          <w:rFonts w:cs="Helvetica"/>
          <w:color w:val="141414"/>
        </w:rPr>
        <w:t>ress</w:t>
      </w:r>
      <w:r>
        <w:rPr>
          <w:rFonts w:cs="Helvetica"/>
          <w:color w:val="141414"/>
        </w:rPr>
        <w:t xml:space="preserve"> </w:t>
      </w:r>
      <w:r w:rsidR="009D50A1">
        <w:rPr>
          <w:rFonts w:cs="Helvetica"/>
          <w:color w:val="141414"/>
        </w:rPr>
        <w:t xml:space="preserve">new public health </w:t>
      </w:r>
      <w:r>
        <w:rPr>
          <w:rFonts w:cs="Helvetica"/>
          <w:color w:val="141414"/>
        </w:rPr>
        <w:t xml:space="preserve">topics </w:t>
      </w:r>
      <w:r w:rsidR="000338BF">
        <w:rPr>
          <w:rFonts w:cs="Helvetica"/>
          <w:color w:val="141414"/>
        </w:rPr>
        <w:t>over time.</w:t>
      </w:r>
    </w:p>
    <w:p w14:paraId="13532540" w14:textId="59EEEB5F" w:rsidR="003E62AD" w:rsidRDefault="00B37A3C" w:rsidP="00CF69BA">
      <w:r w:rsidRPr="00296A48">
        <w:t xml:space="preserve">This data brief </w:t>
      </w:r>
      <w:r w:rsidR="006C4ACC">
        <w:t xml:space="preserve">contains </w:t>
      </w:r>
      <w:r w:rsidRPr="00296A48">
        <w:t xml:space="preserve">highlights from the first set of analyses conducted under the </w:t>
      </w:r>
      <w:r w:rsidR="006C4ACC">
        <w:t xml:space="preserve">Commissioner’s 2017 </w:t>
      </w:r>
      <w:r w:rsidRPr="00296A48">
        <w:t>authority</w:t>
      </w:r>
      <w:r w:rsidR="00A1361B">
        <w:t xml:space="preserve"> as well as a special section on emerging trends related to stimulant overdoses</w:t>
      </w:r>
      <w:r w:rsidR="006C4ACC">
        <w:t xml:space="preserve">. It focuses on </w:t>
      </w:r>
      <w:r w:rsidR="004A4C63" w:rsidRPr="00296A48">
        <w:t>health disparities and the impact of the opioid epidemic on maternal health and high risk population</w:t>
      </w:r>
      <w:r w:rsidR="00390277" w:rsidRPr="00296A48">
        <w:t>s</w:t>
      </w:r>
      <w:r w:rsidR="00D97914" w:rsidRPr="00296A48">
        <w:t xml:space="preserve">. These </w:t>
      </w:r>
      <w:r w:rsidR="006C4ACC">
        <w:t xml:space="preserve">analyses </w:t>
      </w:r>
      <w:r w:rsidR="00D97914" w:rsidRPr="00296A48">
        <w:t xml:space="preserve">were </w:t>
      </w:r>
      <w:r w:rsidR="006C4ACC">
        <w:t>conducted</w:t>
      </w:r>
      <w:r w:rsidR="00D97914" w:rsidRPr="00296A48">
        <w:t xml:space="preserve"> by academic researchers and public policy analysts </w:t>
      </w:r>
      <w:r w:rsidR="006C4ACC">
        <w:t xml:space="preserve">in </w:t>
      </w:r>
      <w:r w:rsidR="00D97914" w:rsidRPr="00296A48">
        <w:t xml:space="preserve">collaboration with </w:t>
      </w:r>
      <w:r w:rsidR="006C4ACC">
        <w:t>DPH. I</w:t>
      </w:r>
      <w:r w:rsidR="00D97914" w:rsidRPr="00296A48">
        <w:t xml:space="preserve">nformation </w:t>
      </w:r>
      <w:r w:rsidR="006C4ACC">
        <w:t>about this</w:t>
      </w:r>
      <w:r w:rsidR="00D97914" w:rsidRPr="00296A48">
        <w:t xml:space="preserve"> public-private partnership </w:t>
      </w:r>
      <w:r w:rsidR="003E62AD">
        <w:t xml:space="preserve">can be found </w:t>
      </w:r>
      <w:hyperlink r:id="rId11" w:history="1">
        <w:r w:rsidR="003E62AD" w:rsidRPr="003E62AD">
          <w:rPr>
            <w:rStyle w:val="Hyperlink"/>
          </w:rPr>
          <w:t>here</w:t>
        </w:r>
      </w:hyperlink>
      <w:r w:rsidR="003E62AD">
        <w:t>.</w:t>
      </w:r>
    </w:p>
    <w:p w14:paraId="79277AD0" w14:textId="77777777" w:rsidR="00B564A7" w:rsidRDefault="00B564A7">
      <w:pPr>
        <w:rPr>
          <w:rFonts w:asciiTheme="majorHAnsi" w:eastAsiaTheme="majorEastAsia" w:hAnsiTheme="majorHAnsi" w:cstheme="majorBidi"/>
          <w:b/>
          <w:bCs/>
          <w:color w:val="4F81BD" w:themeColor="accent1"/>
          <w:sz w:val="26"/>
          <w:szCs w:val="26"/>
        </w:rPr>
      </w:pPr>
      <w:r>
        <w:br w:type="page"/>
      </w:r>
    </w:p>
    <w:p w14:paraId="3D08F7F6" w14:textId="46DBFEF4" w:rsidR="00B564A7" w:rsidRDefault="00A1361B" w:rsidP="00B564A7">
      <w:pPr>
        <w:pStyle w:val="Heading2"/>
        <w:numPr>
          <w:ilvl w:val="0"/>
          <w:numId w:val="12"/>
        </w:numPr>
      </w:pPr>
      <w:r w:rsidRPr="00AA7CF8">
        <w:lastRenderedPageBreak/>
        <w:t>Stimulant-Related Overdose Deaths</w:t>
      </w:r>
    </w:p>
    <w:p w14:paraId="00D09F7A" w14:textId="77777777" w:rsidR="00B564A7" w:rsidRPr="00B564A7" w:rsidRDefault="00B564A7" w:rsidP="006805EE"/>
    <w:p w14:paraId="1235D912" w14:textId="7674C207" w:rsidR="00A1361B" w:rsidRPr="006805EE" w:rsidRDefault="00A1361B">
      <w:pPr>
        <w:rPr>
          <w:i/>
        </w:rPr>
      </w:pPr>
      <w:r w:rsidRPr="006805EE">
        <w:rPr>
          <w:b/>
          <w:i/>
        </w:rPr>
        <w:t xml:space="preserve">Key Finding #1: </w:t>
      </w:r>
      <w:r w:rsidR="00B81BE5" w:rsidRPr="006805EE">
        <w:rPr>
          <w:i/>
        </w:rPr>
        <w:t xml:space="preserve">Counts of deaths involving stimulants have increased 25% per year since 2010 and the majority of deaths involving stimulants also involve opioids. The count of deaths involving stimulants without opioids has declined by almost 7% per year since 2000. </w:t>
      </w:r>
    </w:p>
    <w:p w14:paraId="5590ECA1" w14:textId="33D2C996" w:rsidR="00A1361B" w:rsidRDefault="00A1361B" w:rsidP="00B81BE5">
      <w:pPr>
        <w:jc w:val="center"/>
        <w:rPr>
          <w:b/>
        </w:rPr>
      </w:pPr>
      <w:r>
        <w:rPr>
          <w:noProof/>
        </w:rPr>
        <w:drawing>
          <wp:inline distT="0" distB="0" distL="0" distR="0" wp14:anchorId="388C44F4" wp14:editId="58487C49">
            <wp:extent cx="5286375" cy="291465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24D603" w14:textId="76A31B41" w:rsidR="00A1361B" w:rsidRDefault="00A1361B" w:rsidP="006805EE">
      <w:pPr>
        <w:ind w:left="720" w:right="720"/>
      </w:pPr>
      <w:r w:rsidRPr="006805EE">
        <w:rPr>
          <w:b/>
        </w:rPr>
        <w:t>Why is this important?</w:t>
      </w:r>
      <w:r w:rsidR="00A67EF9" w:rsidRPr="006805EE">
        <w:rPr>
          <w:b/>
        </w:rPr>
        <w:t xml:space="preserve"> </w:t>
      </w:r>
      <w:r w:rsidR="00A12A9F" w:rsidRPr="006805EE">
        <w:t>While stimulant related deaths have been increasing since 2010, this increase is closely linked to the opioid overdose epidemic. These data suggest that interventions that address stimulant use alone will not be sufficient to reduce stimulant related deaths.</w:t>
      </w:r>
      <w:r w:rsidR="00A12A9F">
        <w:t xml:space="preserve"> </w:t>
      </w:r>
    </w:p>
    <w:p w14:paraId="6A597A4E" w14:textId="77777777" w:rsidR="001304FF" w:rsidRPr="00A12A9F" w:rsidRDefault="001304FF"/>
    <w:p w14:paraId="41D270D3" w14:textId="5214A155" w:rsidR="00A1361B" w:rsidRPr="006805EE" w:rsidRDefault="00A1361B" w:rsidP="00A1361B">
      <w:pPr>
        <w:rPr>
          <w:i/>
          <w:sz w:val="16"/>
          <w:szCs w:val="16"/>
        </w:rPr>
      </w:pPr>
      <w:r w:rsidRPr="006805EE">
        <w:rPr>
          <w:b/>
          <w:i/>
        </w:rPr>
        <w:t>Key Finding #2:</w:t>
      </w:r>
      <w:r w:rsidRPr="006805EE">
        <w:rPr>
          <w:i/>
        </w:rPr>
        <w:t xml:space="preserve"> The rate of overdose deaths involving stimulants and opioids is higher among males than females. </w:t>
      </w:r>
      <w:r w:rsidR="00A67EF9" w:rsidRPr="006805EE">
        <w:rPr>
          <w:i/>
        </w:rPr>
        <w:t>T</w:t>
      </w:r>
      <w:r w:rsidRPr="006805EE">
        <w:rPr>
          <w:i/>
        </w:rPr>
        <w:t>he rate rose by 38% per year for males from 2011 to 2016 and by 30% per year from 2010-2016 for females.</w:t>
      </w:r>
    </w:p>
    <w:p w14:paraId="007D0BCE" w14:textId="41272968" w:rsidR="00A1361B" w:rsidRDefault="00A1361B" w:rsidP="00B81BE5">
      <w:pPr>
        <w:jc w:val="center"/>
        <w:rPr>
          <w:b/>
        </w:rPr>
      </w:pPr>
      <w:r>
        <w:rPr>
          <w:noProof/>
        </w:rPr>
        <w:lastRenderedPageBreak/>
        <w:drawing>
          <wp:inline distT="0" distB="0" distL="0" distR="0" wp14:anchorId="61EB85B3" wp14:editId="23750716">
            <wp:extent cx="5943600" cy="324231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305686" w14:textId="345C5C48" w:rsidR="00A1361B" w:rsidRPr="006805EE" w:rsidRDefault="00A1361B" w:rsidP="00A1361B">
      <w:pPr>
        <w:rPr>
          <w:i/>
        </w:rPr>
      </w:pPr>
      <w:r w:rsidRPr="006805EE">
        <w:rPr>
          <w:b/>
          <w:i/>
        </w:rPr>
        <w:t xml:space="preserve">Key Finding #3: </w:t>
      </w:r>
      <w:r w:rsidRPr="006805EE">
        <w:rPr>
          <w:i/>
        </w:rPr>
        <w:t>The rate of overdose deaths involving stimulants and opioids is currently highest among Hispanic residents</w:t>
      </w:r>
      <w:r w:rsidR="000338BF">
        <w:rPr>
          <w:i/>
        </w:rPr>
        <w:t xml:space="preserve"> </w:t>
      </w:r>
      <w:r w:rsidR="000338BF" w:rsidRPr="00A14793">
        <w:rPr>
          <w:i/>
        </w:rPr>
        <w:t>(10.2 per 100,000)</w:t>
      </w:r>
      <w:r w:rsidRPr="006805EE">
        <w:rPr>
          <w:i/>
        </w:rPr>
        <w:t xml:space="preserve">. </w:t>
      </w:r>
      <w:proofErr w:type="gramStart"/>
      <w:r w:rsidRPr="006805EE">
        <w:rPr>
          <w:i/>
        </w:rPr>
        <w:t xml:space="preserve">The rate among Hispanics increased </w:t>
      </w:r>
      <w:r w:rsidR="001304FF">
        <w:rPr>
          <w:i/>
        </w:rPr>
        <w:t>by nearly 50%</w:t>
      </w:r>
      <w:r w:rsidRPr="006805EE">
        <w:rPr>
          <w:i/>
        </w:rPr>
        <w:t xml:space="preserve"> per year from 2012 to 2016.</w:t>
      </w:r>
      <w:proofErr w:type="gramEnd"/>
      <w:r w:rsidRPr="006805EE">
        <w:rPr>
          <w:i/>
        </w:rPr>
        <w:t xml:space="preserve"> The rate among non-Hispanic whites increased </w:t>
      </w:r>
      <w:r w:rsidR="001304FF">
        <w:rPr>
          <w:i/>
        </w:rPr>
        <w:t>a little over 30</w:t>
      </w:r>
      <w:r w:rsidRPr="006805EE">
        <w:rPr>
          <w:i/>
        </w:rPr>
        <w:t xml:space="preserve">% per year from 2010-2015. While the </w:t>
      </w:r>
      <w:r w:rsidR="001304FF">
        <w:rPr>
          <w:i/>
        </w:rPr>
        <w:t xml:space="preserve">annual </w:t>
      </w:r>
      <w:r w:rsidRPr="006805EE">
        <w:rPr>
          <w:i/>
        </w:rPr>
        <w:t>rate</w:t>
      </w:r>
      <w:r w:rsidR="001304FF">
        <w:rPr>
          <w:i/>
        </w:rPr>
        <w:t>s</w:t>
      </w:r>
      <w:r w:rsidRPr="006805EE">
        <w:rPr>
          <w:i/>
        </w:rPr>
        <w:t xml:space="preserve"> w</w:t>
      </w:r>
      <w:r w:rsidR="001304FF">
        <w:rPr>
          <w:i/>
        </w:rPr>
        <w:t>ere</w:t>
      </w:r>
      <w:r w:rsidRPr="006805EE">
        <w:rPr>
          <w:i/>
        </w:rPr>
        <w:t xml:space="preserve"> the lowest among non-Hispanic blacks, they also saw increased rates of </w:t>
      </w:r>
      <w:r w:rsidR="001304FF">
        <w:rPr>
          <w:i/>
        </w:rPr>
        <w:t>nearly 40%</w:t>
      </w:r>
      <w:r w:rsidRPr="006805EE">
        <w:rPr>
          <w:i/>
        </w:rPr>
        <w:t xml:space="preserve"> per year from 2012-2016.  </w:t>
      </w:r>
    </w:p>
    <w:p w14:paraId="27577677" w14:textId="61687850" w:rsidR="00A1361B" w:rsidRDefault="00A1361B" w:rsidP="00B81BE5">
      <w:pPr>
        <w:jc w:val="center"/>
        <w:rPr>
          <w:b/>
        </w:rPr>
      </w:pPr>
      <w:r>
        <w:rPr>
          <w:noProof/>
        </w:rPr>
        <w:drawing>
          <wp:inline distT="0" distB="0" distL="0" distR="0" wp14:anchorId="7FDC8108" wp14:editId="494F064B">
            <wp:extent cx="5695950" cy="300037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4B5527" w14:textId="66209329" w:rsidR="00A1361B" w:rsidRDefault="00A1361B" w:rsidP="006805EE">
      <w:pPr>
        <w:ind w:left="720" w:right="720"/>
      </w:pPr>
      <w:r w:rsidRPr="006805EE">
        <w:rPr>
          <w:b/>
        </w:rPr>
        <w:t>Why is this Important?</w:t>
      </w:r>
      <w:r w:rsidR="00A12A9F" w:rsidRPr="006805EE">
        <w:rPr>
          <w:b/>
        </w:rPr>
        <w:t xml:space="preserve"> </w:t>
      </w:r>
      <w:r w:rsidR="00A12A9F" w:rsidRPr="006805EE">
        <w:t xml:space="preserve">Understanding who is at greatest risk </w:t>
      </w:r>
      <w:r w:rsidR="00B564A7">
        <w:t xml:space="preserve">by gender and race/ethnicity </w:t>
      </w:r>
      <w:r w:rsidR="001304FF" w:rsidRPr="006805EE">
        <w:t>over time</w:t>
      </w:r>
      <w:r w:rsidR="00B564A7">
        <w:t xml:space="preserve"> </w:t>
      </w:r>
      <w:r w:rsidR="00A12A9F" w:rsidRPr="006805EE">
        <w:t xml:space="preserve">allows us to best </w:t>
      </w:r>
      <w:r w:rsidR="008920AD" w:rsidRPr="006805EE">
        <w:t xml:space="preserve">focus </w:t>
      </w:r>
      <w:r w:rsidR="00A12A9F" w:rsidRPr="006805EE">
        <w:t xml:space="preserve">prevention </w:t>
      </w:r>
      <w:r w:rsidR="008920AD" w:rsidRPr="006805EE">
        <w:t xml:space="preserve">programs </w:t>
      </w:r>
      <w:r w:rsidR="00A12A9F" w:rsidRPr="006805EE">
        <w:t>and treatment resources</w:t>
      </w:r>
      <w:r w:rsidR="008920AD" w:rsidRPr="006805EE">
        <w:t xml:space="preserve"> to </w:t>
      </w:r>
      <w:r w:rsidR="00F4400D" w:rsidRPr="006805EE">
        <w:t xml:space="preserve">address </w:t>
      </w:r>
      <w:r w:rsidR="008920AD" w:rsidRPr="006805EE">
        <w:t>population-specific needs</w:t>
      </w:r>
      <w:r w:rsidR="00A12A9F" w:rsidRPr="006805EE">
        <w:t>.</w:t>
      </w:r>
      <w:r w:rsidR="00A12A9F">
        <w:t xml:space="preserve"> </w:t>
      </w:r>
    </w:p>
    <w:p w14:paraId="19F21860" w14:textId="14FCF758" w:rsidR="00B564A7" w:rsidRPr="00A12A9F" w:rsidRDefault="00B564A7"/>
    <w:p w14:paraId="76C405F0" w14:textId="77777777" w:rsidR="00A67EF9" w:rsidRPr="00B13DFE" w:rsidRDefault="00A67EF9" w:rsidP="00B81BE5">
      <w:pPr>
        <w:pStyle w:val="Heading2"/>
        <w:numPr>
          <w:ilvl w:val="0"/>
          <w:numId w:val="12"/>
        </w:numPr>
      </w:pPr>
      <w:r>
        <w:rPr>
          <w:rFonts w:eastAsia="Times New Roman"/>
        </w:rPr>
        <w:lastRenderedPageBreak/>
        <w:t xml:space="preserve">Polysubstance Opioid Overdoses </w:t>
      </w:r>
    </w:p>
    <w:p w14:paraId="205B7C18" w14:textId="77777777" w:rsidR="00B564A7" w:rsidRDefault="00B564A7" w:rsidP="00A67EF9">
      <w:pPr>
        <w:rPr>
          <w:b/>
        </w:rPr>
      </w:pPr>
    </w:p>
    <w:p w14:paraId="5924C804" w14:textId="50852EA6" w:rsidR="00A67EF9" w:rsidRPr="006805EE" w:rsidRDefault="00A67EF9" w:rsidP="00A67EF9">
      <w:pPr>
        <w:rPr>
          <w:rFonts w:ascii="Calibri" w:hAnsi="Calibri" w:cs="Calibri"/>
          <w:i/>
        </w:rPr>
      </w:pPr>
      <w:r w:rsidRPr="006805EE">
        <w:rPr>
          <w:b/>
          <w:i/>
        </w:rPr>
        <w:t xml:space="preserve">Key Finding #1: </w:t>
      </w:r>
      <w:r w:rsidRPr="006805EE">
        <w:rPr>
          <w:i/>
        </w:rPr>
        <w:t xml:space="preserve">Among opioid-related overdose deaths with toxicology results, </w:t>
      </w:r>
      <w:r w:rsidR="00FF40A9" w:rsidRPr="006805EE">
        <w:rPr>
          <w:rFonts w:ascii="Calibri" w:hAnsi="Calibri"/>
          <w:i/>
        </w:rPr>
        <w:t>389 (17%) had only opioids i</w:t>
      </w:r>
      <w:r w:rsidRPr="006805EE">
        <w:rPr>
          <w:rFonts w:ascii="Calibri" w:hAnsi="Calibri"/>
          <w:i/>
        </w:rPr>
        <w:t xml:space="preserve">n toxicology. Eight hundred and eight (36%) opioid-related deaths also had stimulants in toxicology and 1,047 (47%) had opioids and another substance that was </w:t>
      </w:r>
      <w:r w:rsidR="00FF40A9" w:rsidRPr="006805EE">
        <w:rPr>
          <w:rFonts w:ascii="Calibri" w:hAnsi="Calibri"/>
          <w:i/>
        </w:rPr>
        <w:t>not a stimulant</w:t>
      </w:r>
      <w:r w:rsidRPr="006805EE">
        <w:rPr>
          <w:rFonts w:ascii="Calibri" w:hAnsi="Calibri" w:cs="Calibri"/>
          <w:i/>
        </w:rPr>
        <w:t xml:space="preserve">. Among those with opioids and stimulants, the vast majority had only cocaine present in addition to the opioid. Among those with opioids and another substance other than </w:t>
      </w:r>
      <w:r w:rsidR="00FF40A9" w:rsidRPr="006805EE">
        <w:rPr>
          <w:rFonts w:ascii="Calibri" w:hAnsi="Calibri" w:cs="Calibri"/>
          <w:i/>
        </w:rPr>
        <w:t>a stimulant</w:t>
      </w:r>
      <w:r w:rsidRPr="006805EE">
        <w:rPr>
          <w:rFonts w:ascii="Calibri" w:hAnsi="Calibri" w:cs="Calibri"/>
          <w:i/>
        </w:rPr>
        <w:t>, 42% had multiple substances present in addition to the opioid.</w:t>
      </w:r>
    </w:p>
    <w:p w14:paraId="1A61B48B" w14:textId="16510F01" w:rsidR="00A67EF9" w:rsidRPr="00D233D1" w:rsidRDefault="00A67EF9">
      <w:pPr>
        <w:jc w:val="center"/>
      </w:pPr>
      <w:r>
        <w:rPr>
          <w:noProof/>
        </w:rPr>
        <w:drawing>
          <wp:inline distT="0" distB="0" distL="0" distR="0" wp14:anchorId="0A4FAAD3" wp14:editId="7F911E74">
            <wp:extent cx="5943600" cy="2931795"/>
            <wp:effectExtent l="0" t="0" r="0" b="190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57EF7F" w14:textId="77777777" w:rsidR="00A67EF9" w:rsidRDefault="00A67EF9" w:rsidP="00A67EF9">
      <w:pPr>
        <w:rPr>
          <w:b/>
        </w:rPr>
      </w:pPr>
      <w:r>
        <w:rPr>
          <w:b/>
          <w:noProof/>
        </w:rPr>
        <mc:AlternateContent>
          <mc:Choice Requires="wps">
            <w:drawing>
              <wp:anchor distT="0" distB="0" distL="114300" distR="114300" simplePos="0" relativeHeight="251669504" behindDoc="0" locked="0" layoutInCell="1" allowOverlap="1" wp14:anchorId="4F0F7485" wp14:editId="1EF5EF9B">
                <wp:simplePos x="0" y="0"/>
                <wp:positionH relativeFrom="column">
                  <wp:posOffset>76200</wp:posOffset>
                </wp:positionH>
                <wp:positionV relativeFrom="paragraph">
                  <wp:posOffset>24130</wp:posOffset>
                </wp:positionV>
                <wp:extent cx="6638925" cy="295275"/>
                <wp:effectExtent l="0" t="0" r="9525" b="9525"/>
                <wp:wrapNone/>
                <wp:docPr id="24" name="Text Box 24"/>
                <wp:cNvGraphicFramePr/>
                <a:graphic xmlns:a="http://schemas.openxmlformats.org/drawingml/2006/main">
                  <a:graphicData uri="http://schemas.microsoft.com/office/word/2010/wordprocessingShape">
                    <wps:wsp>
                      <wps:cNvSpPr txBox="1"/>
                      <wps:spPr>
                        <a:xfrm>
                          <a:off x="0" y="0"/>
                          <a:ext cx="663892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4387F7" w14:textId="7934483C" w:rsidR="00C04FE4" w:rsidRPr="002D6F12" w:rsidRDefault="00C04FE4" w:rsidP="00A67EF9">
                            <w:pPr>
                              <w:jc w:val="center"/>
                              <w:rPr>
                                <w:b/>
                                <w:sz w:val="24"/>
                                <w:szCs w:val="24"/>
                              </w:rPr>
                            </w:pPr>
                            <w:r>
                              <w:rPr>
                                <w:b/>
                                <w:sz w:val="24"/>
                                <w:szCs w:val="24"/>
                              </w:rPr>
                              <w:t>Figure 4b: Other Substance Found in Opioid-Related Overdose Deaths: 2014-2015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0F7485" id="Text Box 24" o:spid="_x0000_s1027" type="#_x0000_t202" style="position:absolute;margin-left:6pt;margin-top:1.9pt;width:522.75pt;height:23.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" fillcolor="white [3201]" stroked="f" strokeweight=".5pt">
                <v:textbox>
                  <w:txbxContent>
                    <w:p w14:paraId="614387F7" w14:textId="7934483C" w:rsidR="00C04FE4" w:rsidRPr="002D6F12" w:rsidRDefault="00C04FE4" w:rsidP="00A67EF9">
                      <w:pPr>
                        <w:jc w:val="center"/>
                        <w:rPr>
                          <w:b/>
                          <w:sz w:val="24"/>
                          <w:szCs w:val="24"/>
                        </w:rPr>
                      </w:pPr>
                      <w:r>
                        <w:rPr>
                          <w:b/>
                          <w:sz w:val="24"/>
                          <w:szCs w:val="24"/>
                        </w:rPr>
                        <w:t>Figure 4b: Other Substance Found in Opioid-Related Overdose Deaths: 2014-2015</w:t>
                      </w:r>
                    </w:p>
                  </w:txbxContent>
                </v:textbox>
              </v:shape>
            </w:pict>
          </mc:Fallback>
        </mc:AlternateContent>
      </w:r>
      <w:r>
        <w:rPr>
          <w:b/>
        </w:rPr>
        <w:t xml:space="preserve">      </w:t>
      </w:r>
    </w:p>
    <w:p w14:paraId="158B9B0E" w14:textId="77777777" w:rsidR="00A67EF9" w:rsidRDefault="00A67EF9" w:rsidP="00A67EF9">
      <w:pPr>
        <w:jc w:val="center"/>
        <w:rPr>
          <w:noProof/>
        </w:rPr>
      </w:pPr>
      <w:r w:rsidRPr="00AA783A">
        <w:rPr>
          <w:noProof/>
        </w:rPr>
        <w:t xml:space="preserve"> </w:t>
      </w:r>
      <w:r>
        <w:rPr>
          <w:noProof/>
        </w:rPr>
        <w:drawing>
          <wp:inline distT="0" distB="0" distL="0" distR="0" wp14:anchorId="5BF5C641" wp14:editId="7EC3873F">
            <wp:extent cx="6980555" cy="2280285"/>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80555" cy="2280285"/>
                    </a:xfrm>
                    <a:prstGeom prst="rect">
                      <a:avLst/>
                    </a:prstGeom>
                    <a:noFill/>
                  </pic:spPr>
                </pic:pic>
              </a:graphicData>
            </a:graphic>
          </wp:inline>
        </w:drawing>
      </w:r>
    </w:p>
    <w:p w14:paraId="27C8193E" w14:textId="77777777" w:rsidR="00A67EF9" w:rsidRDefault="00A67EF9" w:rsidP="006805EE">
      <w:pPr>
        <w:ind w:left="720" w:right="720"/>
        <w:rPr>
          <w:b/>
          <w:noProof/>
        </w:rPr>
      </w:pPr>
      <w:r>
        <w:rPr>
          <w:b/>
          <w:noProof/>
        </w:rPr>
        <w:t xml:space="preserve">Why is this Important? </w:t>
      </w:r>
      <w:r>
        <w:rPr>
          <w:rFonts w:cs="Arial"/>
          <w:bCs/>
          <w:kern w:val="32"/>
        </w:rPr>
        <w:t>Overdose prevention efforts should consider prevalent polysubstance use, including stimulants</w:t>
      </w:r>
      <w:r w:rsidRPr="00A50832">
        <w:t>.</w:t>
      </w:r>
    </w:p>
    <w:p w14:paraId="3EB95AED" w14:textId="77777777" w:rsidR="00A67EF9" w:rsidRDefault="00A67EF9" w:rsidP="00A67EF9">
      <w:pPr>
        <w:rPr>
          <w:b/>
          <w:noProof/>
        </w:rPr>
      </w:pPr>
    </w:p>
    <w:p w14:paraId="427D18FE" w14:textId="77777777" w:rsidR="00A67EF9" w:rsidRPr="006805EE" w:rsidRDefault="00A67EF9" w:rsidP="00A67EF9">
      <w:pPr>
        <w:rPr>
          <w:bCs/>
          <w:i/>
          <w:kern w:val="32"/>
        </w:rPr>
      </w:pPr>
      <w:r w:rsidRPr="006805EE">
        <w:rPr>
          <w:b/>
          <w:i/>
          <w:noProof/>
        </w:rPr>
        <w:lastRenderedPageBreak/>
        <w:t>Key Finding #2:</w:t>
      </w:r>
      <w:r w:rsidRPr="006805EE">
        <w:rPr>
          <w:i/>
          <w:noProof/>
        </w:rPr>
        <w:t xml:space="preserve"> </w:t>
      </w:r>
      <w:r w:rsidRPr="006805EE">
        <w:rPr>
          <w:bCs/>
          <w:i/>
          <w:kern w:val="32"/>
        </w:rPr>
        <w:t>Older adults, persons in rural areas, and those with comorbid mental illness along with non-Hispanic black residents, and persons who experienced recent homelessness were more likely to have died with stimulants and opioids than opioids alone.</w:t>
      </w:r>
    </w:p>
    <w:p w14:paraId="5434AE53" w14:textId="77777777" w:rsidR="00A67EF9" w:rsidRDefault="00A67EF9" w:rsidP="00A67EF9">
      <w:pPr>
        <w:jc w:val="center"/>
        <w:rPr>
          <w:rFonts w:cs="Arial"/>
          <w:b/>
          <w:bCs/>
          <w:kern w:val="32"/>
        </w:rPr>
      </w:pPr>
      <w:r>
        <w:rPr>
          <w:noProof/>
        </w:rPr>
        <w:drawing>
          <wp:inline distT="0" distB="0" distL="0" distR="0" wp14:anchorId="2E2881B6" wp14:editId="6F35E5D7">
            <wp:extent cx="6219825" cy="3838575"/>
            <wp:effectExtent l="0" t="0" r="9525"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027D68" w14:textId="2BEFB60F" w:rsidR="00A1361B" w:rsidRDefault="00A67EF9" w:rsidP="006805EE">
      <w:pPr>
        <w:pStyle w:val="PlainText"/>
        <w:spacing w:line="276" w:lineRule="auto"/>
        <w:ind w:left="720" w:right="720"/>
        <w:rPr>
          <w:szCs w:val="22"/>
        </w:rPr>
      </w:pPr>
      <w:r>
        <w:rPr>
          <w:rFonts w:cs="Arial"/>
          <w:b/>
          <w:bCs/>
          <w:kern w:val="32"/>
        </w:rPr>
        <w:t xml:space="preserve">Why is this Important? </w:t>
      </w:r>
      <w:r>
        <w:rPr>
          <w:rFonts w:cs="Arial"/>
          <w:bCs/>
          <w:kern w:val="32"/>
          <w:szCs w:val="22"/>
        </w:rPr>
        <w:t>Overdose prevention efforts should consider prevalent polysubstance use, including stimulants</w:t>
      </w:r>
      <w:r w:rsidRPr="00A50832">
        <w:rPr>
          <w:szCs w:val="22"/>
        </w:rPr>
        <w:t xml:space="preserve">. Novel treatment and prevention programs that are tailored to these high-risk populations should </w:t>
      </w:r>
      <w:r>
        <w:rPr>
          <w:szCs w:val="22"/>
        </w:rPr>
        <w:t xml:space="preserve">be </w:t>
      </w:r>
      <w:r w:rsidRPr="00A50832">
        <w:rPr>
          <w:szCs w:val="22"/>
        </w:rPr>
        <w:t>developed.</w:t>
      </w:r>
    </w:p>
    <w:p w14:paraId="2628381D" w14:textId="77777777" w:rsidR="00B564A7" w:rsidRPr="00EB258E" w:rsidRDefault="00B564A7" w:rsidP="006805EE">
      <w:pPr>
        <w:pStyle w:val="PlainText"/>
        <w:spacing w:line="276" w:lineRule="auto"/>
        <w:ind w:left="720" w:right="720"/>
      </w:pPr>
    </w:p>
    <w:p w14:paraId="0A8F3CFA" w14:textId="3847D0AD" w:rsidR="00427173" w:rsidRDefault="00C13F2A" w:rsidP="00B81BE5">
      <w:pPr>
        <w:pStyle w:val="Heading2"/>
        <w:numPr>
          <w:ilvl w:val="0"/>
          <w:numId w:val="12"/>
        </w:numPr>
      </w:pPr>
      <w:r>
        <w:t>Postpartum Opioid Overdoses</w:t>
      </w:r>
    </w:p>
    <w:p w14:paraId="3F632FD9" w14:textId="080AFBDF" w:rsidR="00AB774D" w:rsidRPr="006805EE" w:rsidRDefault="00427173" w:rsidP="00AF5AA7">
      <w:pPr>
        <w:rPr>
          <w:i/>
        </w:rPr>
      </w:pPr>
      <w:r w:rsidRPr="006805EE">
        <w:rPr>
          <w:rFonts w:cs="Times New Roman"/>
          <w:b/>
          <w:i/>
        </w:rPr>
        <w:t>Key Finding</w:t>
      </w:r>
      <w:r w:rsidR="00296A48" w:rsidRPr="006805EE">
        <w:rPr>
          <w:rFonts w:cs="Times New Roman"/>
          <w:b/>
          <w:i/>
        </w:rPr>
        <w:t xml:space="preserve"> #1</w:t>
      </w:r>
      <w:r w:rsidRPr="006805EE">
        <w:rPr>
          <w:rFonts w:cs="Times New Roman"/>
          <w:b/>
          <w:i/>
        </w:rPr>
        <w:t xml:space="preserve">: </w:t>
      </w:r>
      <w:r w:rsidR="004872B9" w:rsidRPr="006805EE">
        <w:rPr>
          <w:i/>
        </w:rPr>
        <w:t xml:space="preserve">Women who </w:t>
      </w:r>
      <w:r w:rsidR="00FF40A9" w:rsidRPr="006805EE">
        <w:rPr>
          <w:i/>
        </w:rPr>
        <w:t xml:space="preserve">had an </w:t>
      </w:r>
      <w:r w:rsidR="00D16956" w:rsidRPr="006805EE">
        <w:rPr>
          <w:i/>
        </w:rPr>
        <w:t xml:space="preserve">opioid </w:t>
      </w:r>
      <w:r w:rsidR="004872B9" w:rsidRPr="006805EE">
        <w:rPr>
          <w:i/>
        </w:rPr>
        <w:t xml:space="preserve">overdose </w:t>
      </w:r>
      <w:r w:rsidR="00390277" w:rsidRPr="006805EE">
        <w:rPr>
          <w:i/>
        </w:rPr>
        <w:t xml:space="preserve">within </w:t>
      </w:r>
      <w:r w:rsidR="00705A00">
        <w:rPr>
          <w:i/>
        </w:rPr>
        <w:t>one year</w:t>
      </w:r>
      <w:bookmarkStart w:id="0" w:name="_GoBack"/>
      <w:bookmarkEnd w:id="0"/>
      <w:r w:rsidR="00FF40A9" w:rsidRPr="006805EE">
        <w:rPr>
          <w:i/>
        </w:rPr>
        <w:t xml:space="preserve"> of delivering a bab</w:t>
      </w:r>
      <w:r w:rsidR="00390277" w:rsidRPr="006805EE">
        <w:rPr>
          <w:i/>
        </w:rPr>
        <w:t xml:space="preserve">y </w:t>
      </w:r>
      <w:r w:rsidR="004872B9" w:rsidRPr="006805EE">
        <w:rPr>
          <w:i/>
        </w:rPr>
        <w:t>also experience an increased number of risk factors during pregnancy and at delivery, and are more likely to be enrolled in MassHealth</w:t>
      </w:r>
    </w:p>
    <w:p w14:paraId="5B2F6096" w14:textId="4AA2B83A" w:rsidR="00AB774D" w:rsidRPr="00053986" w:rsidRDefault="00EB258E" w:rsidP="00AF5AA7">
      <w:pPr>
        <w:spacing w:after="0"/>
        <w:jc w:val="center"/>
        <w:rPr>
          <w:bCs/>
        </w:rPr>
      </w:pPr>
      <w:r w:rsidRPr="00EB258E">
        <w:rPr>
          <w:noProof/>
        </w:rPr>
        <w:lastRenderedPageBreak/>
        <w:t xml:space="preserve"> </w:t>
      </w:r>
      <w:r w:rsidR="00BD2DBC">
        <w:rPr>
          <w:noProof/>
        </w:rPr>
        <w:drawing>
          <wp:inline distT="0" distB="0" distL="0" distR="0" wp14:anchorId="5F827138" wp14:editId="2A3E5D9E">
            <wp:extent cx="6296025" cy="376065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l="7703" t="3413" r="2973" b="2008"/>
                    <a:stretch/>
                  </pic:blipFill>
                  <pic:spPr bwMode="auto">
                    <a:xfrm>
                      <a:off x="0" y="0"/>
                      <a:ext cx="6293199" cy="3758969"/>
                    </a:xfrm>
                    <a:prstGeom prst="rect">
                      <a:avLst/>
                    </a:prstGeom>
                    <a:noFill/>
                    <a:ln>
                      <a:noFill/>
                    </a:ln>
                    <a:extLst>
                      <a:ext uri="{53640926-AAD7-44D8-BBD7-CCE9431645EC}">
                        <a14:shadowObscured xmlns:a14="http://schemas.microsoft.com/office/drawing/2010/main"/>
                      </a:ext>
                    </a:extLst>
                  </pic:spPr>
                </pic:pic>
              </a:graphicData>
            </a:graphic>
          </wp:inline>
        </w:drawing>
      </w:r>
    </w:p>
    <w:p w14:paraId="1396EAA6" w14:textId="2AB9B794" w:rsidR="006563C2" w:rsidRPr="00C127BF" w:rsidRDefault="00C127BF" w:rsidP="006805EE">
      <w:pPr>
        <w:ind w:left="720" w:right="720"/>
      </w:pPr>
      <w:r w:rsidRPr="00390277">
        <w:rPr>
          <w:b/>
        </w:rPr>
        <w:t xml:space="preserve">Why </w:t>
      </w:r>
      <w:r w:rsidR="009D0B3D">
        <w:rPr>
          <w:b/>
        </w:rPr>
        <w:t>is this Important</w:t>
      </w:r>
      <w:r w:rsidRPr="00390277">
        <w:rPr>
          <w:b/>
        </w:rPr>
        <w:t xml:space="preserve">? </w:t>
      </w:r>
      <w:r w:rsidRPr="00390277">
        <w:t xml:space="preserve">Evidenced-based interventions to support women and families in the postpartum period are needed </w:t>
      </w:r>
      <w:r>
        <w:t>and these findings about risk factors can be used to tailor prevention programs.</w:t>
      </w:r>
    </w:p>
    <w:p w14:paraId="666C71C8" w14:textId="4054A81A" w:rsidR="00C13F2A" w:rsidRPr="006805EE" w:rsidRDefault="00C13F2A" w:rsidP="00AF5AA7">
      <w:pPr>
        <w:rPr>
          <w:i/>
        </w:rPr>
      </w:pPr>
      <w:r w:rsidRPr="006805EE">
        <w:rPr>
          <w:b/>
          <w:i/>
        </w:rPr>
        <w:t>Key Finding</w:t>
      </w:r>
      <w:r w:rsidR="00DB63DE" w:rsidRPr="006805EE">
        <w:rPr>
          <w:b/>
          <w:i/>
        </w:rPr>
        <w:t xml:space="preserve"> #2</w:t>
      </w:r>
      <w:r w:rsidRPr="006805EE">
        <w:rPr>
          <w:b/>
          <w:i/>
        </w:rPr>
        <w:t xml:space="preserve">: </w:t>
      </w:r>
      <w:r w:rsidRPr="006805EE">
        <w:rPr>
          <w:i/>
        </w:rPr>
        <w:t xml:space="preserve">The Southeast region had the highest rate of overall and postpartum overdoses. The overall </w:t>
      </w:r>
      <w:r w:rsidR="00D16956" w:rsidRPr="006805EE">
        <w:rPr>
          <w:i/>
        </w:rPr>
        <w:t xml:space="preserve">opioid </w:t>
      </w:r>
      <w:r w:rsidRPr="006805EE">
        <w:rPr>
          <w:i/>
        </w:rPr>
        <w:t xml:space="preserve">overdose rates were higher than postpartum </w:t>
      </w:r>
      <w:r w:rsidR="00D16956" w:rsidRPr="006805EE">
        <w:rPr>
          <w:i/>
        </w:rPr>
        <w:t xml:space="preserve">opioid </w:t>
      </w:r>
      <w:r w:rsidRPr="006805EE">
        <w:rPr>
          <w:i/>
        </w:rPr>
        <w:t xml:space="preserve">overdose rates for all regions, </w:t>
      </w:r>
      <w:r w:rsidR="006D5A3E" w:rsidRPr="006805EE">
        <w:rPr>
          <w:i/>
        </w:rPr>
        <w:t>as would be expected. T</w:t>
      </w:r>
      <w:r w:rsidRPr="006805EE">
        <w:rPr>
          <w:i/>
        </w:rPr>
        <w:t xml:space="preserve">he difference </w:t>
      </w:r>
      <w:r w:rsidR="006D5A3E" w:rsidRPr="006805EE">
        <w:rPr>
          <w:i/>
        </w:rPr>
        <w:t>between the</w:t>
      </w:r>
      <w:r w:rsidR="00742086" w:rsidRPr="006805EE">
        <w:rPr>
          <w:i/>
        </w:rPr>
        <w:t xml:space="preserve"> postpartum</w:t>
      </w:r>
      <w:r w:rsidR="006D5A3E" w:rsidRPr="006805EE">
        <w:rPr>
          <w:i/>
        </w:rPr>
        <w:t xml:space="preserve"> and overall overdose rates </w:t>
      </w:r>
      <w:r w:rsidRPr="006805EE">
        <w:rPr>
          <w:i/>
        </w:rPr>
        <w:t xml:space="preserve">was the most pronounced for the Boston region, which had </w:t>
      </w:r>
      <w:r w:rsidR="006D5A3E" w:rsidRPr="006805EE">
        <w:rPr>
          <w:i/>
        </w:rPr>
        <w:t>a post</w:t>
      </w:r>
      <w:r w:rsidR="00742086" w:rsidRPr="006805EE">
        <w:rPr>
          <w:i/>
        </w:rPr>
        <w:t xml:space="preserve">partum overdose rate that was </w:t>
      </w:r>
      <w:r w:rsidR="006D5A3E" w:rsidRPr="006805EE">
        <w:rPr>
          <w:rFonts w:ascii="Arial" w:eastAsia="Times New Roman" w:hAnsi="Arial" w:cs="Arial"/>
          <w:i/>
          <w:sz w:val="20"/>
          <w:szCs w:val="20"/>
        </w:rPr>
        <w:t xml:space="preserve">about </w:t>
      </w:r>
      <w:r w:rsidR="00742086" w:rsidRPr="006805EE">
        <w:rPr>
          <w:rFonts w:ascii="Arial" w:eastAsia="Times New Roman" w:hAnsi="Arial" w:cs="Arial"/>
          <w:i/>
          <w:sz w:val="20"/>
          <w:szCs w:val="20"/>
        </w:rPr>
        <w:t>one</w:t>
      </w:r>
      <w:r w:rsidR="00742086" w:rsidRPr="006805EE">
        <w:rPr>
          <w:i/>
        </w:rPr>
        <w:t xml:space="preserve"> </w:t>
      </w:r>
      <w:r w:rsidR="00742086" w:rsidRPr="006805EE">
        <w:rPr>
          <w:rFonts w:ascii="Arial" w:eastAsia="Times New Roman" w:hAnsi="Arial" w:cs="Arial"/>
          <w:i/>
          <w:sz w:val="20"/>
          <w:szCs w:val="20"/>
        </w:rPr>
        <w:t>tenth</w:t>
      </w:r>
      <w:r w:rsidR="00742086" w:rsidRPr="006805EE">
        <w:rPr>
          <w:i/>
        </w:rPr>
        <w:t xml:space="preserve"> the rate of opioid overdoses overall</w:t>
      </w:r>
      <w:r w:rsidR="006D5A3E" w:rsidRPr="006805EE">
        <w:rPr>
          <w:i/>
        </w:rPr>
        <w:t>.</w:t>
      </w:r>
    </w:p>
    <w:p w14:paraId="695600E9" w14:textId="77777777" w:rsidR="00C13F2A" w:rsidRDefault="00AB774D" w:rsidP="00AF5AA7">
      <w:pPr>
        <w:jc w:val="center"/>
        <w:rPr>
          <w:b/>
          <w:sz w:val="18"/>
          <w:szCs w:val="18"/>
          <w:vertAlign w:val="superscript"/>
        </w:rPr>
      </w:pPr>
      <w:r>
        <w:rPr>
          <w:noProof/>
        </w:rPr>
        <w:drawing>
          <wp:inline distT="0" distB="0" distL="0" distR="0" wp14:anchorId="4588B8CF" wp14:editId="095BB377">
            <wp:extent cx="5857875" cy="275272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F27F20" w14:textId="1A90818A" w:rsidR="00D50EEF" w:rsidRDefault="009D0B3D" w:rsidP="006805EE">
      <w:pPr>
        <w:ind w:left="720" w:right="720"/>
      </w:pPr>
      <w:r>
        <w:rPr>
          <w:b/>
        </w:rPr>
        <w:t>Why is this Important?</w:t>
      </w:r>
      <w:r w:rsidR="008819B8" w:rsidRPr="00390277">
        <w:rPr>
          <w:b/>
        </w:rPr>
        <w:t xml:space="preserve"> </w:t>
      </w:r>
      <w:r w:rsidR="006D5A3E">
        <w:t>By reporting data at the regional or community level, communities can focus their interventions and direct resources to the areas of greatest need.</w:t>
      </w:r>
      <w:r w:rsidR="00390277" w:rsidRPr="00390277">
        <w:t xml:space="preserve"> </w:t>
      </w:r>
    </w:p>
    <w:p w14:paraId="6C757BD4" w14:textId="3E671542" w:rsidR="009D0B3D" w:rsidRPr="009D0B3D" w:rsidRDefault="00EA4DA8" w:rsidP="00B81BE5">
      <w:pPr>
        <w:pStyle w:val="Heading2"/>
        <w:numPr>
          <w:ilvl w:val="0"/>
          <w:numId w:val="12"/>
        </w:numPr>
      </w:pPr>
      <w:r w:rsidRPr="009D0B3D">
        <w:lastRenderedPageBreak/>
        <w:t xml:space="preserve">Populations at Risk: Homeless Individuals  </w:t>
      </w:r>
    </w:p>
    <w:p w14:paraId="386B6773" w14:textId="580CA2C8" w:rsidR="00BD6F05" w:rsidRPr="006805EE" w:rsidRDefault="00EA4DA8" w:rsidP="00B81BE5">
      <w:pPr>
        <w:rPr>
          <w:b/>
          <w:i/>
          <w:highlight w:val="yellow"/>
        </w:rPr>
      </w:pPr>
      <w:r w:rsidRPr="006805EE">
        <w:rPr>
          <w:b/>
          <w:i/>
        </w:rPr>
        <w:t>Key Finding</w:t>
      </w:r>
      <w:r w:rsidR="009D0B3D" w:rsidRPr="006805EE">
        <w:rPr>
          <w:b/>
          <w:i/>
        </w:rPr>
        <w:t xml:space="preserve"> # 1</w:t>
      </w:r>
      <w:r w:rsidRPr="006805EE">
        <w:rPr>
          <w:b/>
          <w:i/>
        </w:rPr>
        <w:t>:</w:t>
      </w:r>
      <w:r w:rsidRPr="006805EE">
        <w:rPr>
          <w:i/>
        </w:rPr>
        <w:t xml:space="preserve"> Among individuals with a high-likelihood of homelessness, long-term residential treatment was associated with a 48% reduction in mortality, however</w:t>
      </w:r>
      <w:r w:rsidRPr="006805EE">
        <w:rPr>
          <w:b/>
          <w:i/>
        </w:rPr>
        <w:t xml:space="preserve"> </w:t>
      </w:r>
      <w:r w:rsidRPr="006805EE">
        <w:rPr>
          <w:i/>
        </w:rPr>
        <w:t>only 25% of these individuals were served in a long-term residential facility.</w:t>
      </w:r>
    </w:p>
    <w:p w14:paraId="591C86C6" w14:textId="27568D18" w:rsidR="00EA4DA8" w:rsidRDefault="000D45E5" w:rsidP="00B81BE5">
      <w:pPr>
        <w:jc w:val="center"/>
        <w:rPr>
          <w:b/>
        </w:rPr>
      </w:pPr>
      <w:r>
        <w:rPr>
          <w:noProof/>
        </w:rPr>
        <mc:AlternateContent>
          <mc:Choice Requires="wpg">
            <w:drawing>
              <wp:anchor distT="0" distB="0" distL="114300" distR="114300" simplePos="0" relativeHeight="251671552" behindDoc="0" locked="0" layoutInCell="1" allowOverlap="1" wp14:anchorId="71082CC7" wp14:editId="71360C30">
                <wp:simplePos x="0" y="0"/>
                <wp:positionH relativeFrom="margin">
                  <wp:align>left</wp:align>
                </wp:positionH>
                <wp:positionV relativeFrom="paragraph">
                  <wp:posOffset>-4445</wp:posOffset>
                </wp:positionV>
                <wp:extent cx="6877050" cy="2495550"/>
                <wp:effectExtent l="0" t="0" r="0" b="0"/>
                <wp:wrapNone/>
                <wp:docPr id="18" name="Group 3"/>
                <wp:cNvGraphicFramePr/>
                <a:graphic xmlns:a="http://schemas.openxmlformats.org/drawingml/2006/main">
                  <a:graphicData uri="http://schemas.microsoft.com/office/word/2010/wordprocessingGroup">
                    <wpg:wgp>
                      <wpg:cNvGrpSpPr/>
                      <wpg:grpSpPr>
                        <a:xfrm>
                          <a:off x="0" y="0"/>
                          <a:ext cx="6877050" cy="2495550"/>
                          <a:chOff x="-2630970" y="-4765"/>
                          <a:chExt cx="8905875" cy="2747964"/>
                        </a:xfrm>
                      </wpg:grpSpPr>
                      <wpg:graphicFrame>
                        <wpg:cNvPr id="20" name="Chart 20"/>
                        <wpg:cNvFrPr/>
                        <wpg:xfrm>
                          <a:off x="-2630970" y="0"/>
                          <a:ext cx="4571999" cy="2743199"/>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21" name="Chart 21"/>
                        <wpg:cNvFrPr/>
                        <wpg:xfrm>
                          <a:off x="1941029" y="-4765"/>
                          <a:ext cx="4333876" cy="2747963"/>
                        </wpg:xfrm>
                        <a:graphic>
                          <a:graphicData uri="http://schemas.openxmlformats.org/drawingml/2006/chart">
                            <c:chart xmlns:c="http://schemas.openxmlformats.org/drawingml/2006/chart" xmlns:r="http://schemas.openxmlformats.org/officeDocument/2006/relationships" r:id="rId21"/>
                          </a:graphicData>
                        </a:graphic>
                      </wpg:graphicFrame>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0;margin-top:-.35pt;width:541.5pt;height:196.5pt;z-index:251671552;mso-position-horizontal:left;mso-position-horizontal-relative:margin;mso-width-relative:margin;mso-height-relative:margin" coordorigin="-26309,-47" coordsize="89058,27479"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0" o:spid="_x0000_s1027" type="#_x0000_t75" style="position:absolute;left:-26309;top:19;width:45707;height:2738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">
                  <v:imagedata r:id="rId22" o:title=""/>
                  <o:lock v:ext="edit" aspectratio="f"/>
                </v:shape>
                <v:shape id="Chart 21" o:spid="_x0000_s1028" type="#_x0000_t75" style="position:absolute;left:19398;top:-47;width:43341;height:2745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">
                  <v:imagedata r:id="rId23" o:title=""/>
                  <o:lock v:ext="edit" aspectratio="f"/>
                </v:shape>
                <w10:wrap anchorx="margin"/>
              </v:group>
            </w:pict>
          </mc:Fallback>
        </mc:AlternateContent>
      </w:r>
      <w:r w:rsidDel="00FF40A9">
        <w:rPr>
          <w:b/>
          <w:highlight w:val="yellow"/>
        </w:rPr>
        <w:t xml:space="preserve"> </w:t>
      </w:r>
    </w:p>
    <w:p w14:paraId="366B327F" w14:textId="77777777" w:rsidR="00EA4DA8" w:rsidRDefault="00EA4DA8" w:rsidP="00AF5AA7">
      <w:pPr>
        <w:rPr>
          <w:b/>
        </w:rPr>
      </w:pPr>
    </w:p>
    <w:p w14:paraId="7C7FC6B0" w14:textId="77777777" w:rsidR="000D45E5" w:rsidRDefault="000D45E5" w:rsidP="00AF5AA7">
      <w:pPr>
        <w:rPr>
          <w:b/>
        </w:rPr>
      </w:pPr>
    </w:p>
    <w:p w14:paraId="4CF65123" w14:textId="77777777" w:rsidR="000D45E5" w:rsidRDefault="000D45E5" w:rsidP="00AF5AA7">
      <w:pPr>
        <w:rPr>
          <w:b/>
        </w:rPr>
      </w:pPr>
    </w:p>
    <w:p w14:paraId="209387A7" w14:textId="77777777" w:rsidR="000D45E5" w:rsidRDefault="000D45E5" w:rsidP="00AF5AA7">
      <w:pPr>
        <w:rPr>
          <w:b/>
        </w:rPr>
      </w:pPr>
    </w:p>
    <w:p w14:paraId="56C7E6A3" w14:textId="77777777" w:rsidR="000D45E5" w:rsidRDefault="000D45E5" w:rsidP="00AF5AA7">
      <w:pPr>
        <w:rPr>
          <w:b/>
        </w:rPr>
      </w:pPr>
    </w:p>
    <w:p w14:paraId="4DE7D44E" w14:textId="77777777" w:rsidR="000D45E5" w:rsidRDefault="000D45E5" w:rsidP="00AF5AA7">
      <w:pPr>
        <w:rPr>
          <w:b/>
        </w:rPr>
      </w:pPr>
    </w:p>
    <w:p w14:paraId="51C88D0D" w14:textId="77777777" w:rsidR="000D45E5" w:rsidRDefault="000D45E5" w:rsidP="00AF5AA7">
      <w:pPr>
        <w:rPr>
          <w:b/>
        </w:rPr>
      </w:pPr>
    </w:p>
    <w:p w14:paraId="15D807F6" w14:textId="77777777" w:rsidR="000D45E5" w:rsidRDefault="000D45E5" w:rsidP="00AF5AA7">
      <w:pPr>
        <w:rPr>
          <w:b/>
        </w:rPr>
      </w:pPr>
    </w:p>
    <w:p w14:paraId="411DC77E" w14:textId="0B70C892" w:rsidR="00D50EEF" w:rsidRDefault="009D0B3D" w:rsidP="006805EE">
      <w:pPr>
        <w:ind w:left="720" w:right="720"/>
      </w:pPr>
      <w:r>
        <w:rPr>
          <w:b/>
        </w:rPr>
        <w:t>Why is this Important?</w:t>
      </w:r>
      <w:r w:rsidR="00390277">
        <w:rPr>
          <w:b/>
        </w:rPr>
        <w:t xml:space="preserve"> </w:t>
      </w:r>
      <w:r w:rsidR="00390277" w:rsidRPr="008E672A">
        <w:t>These data suggest that increasing access to long-term residential services may be particularly effective for individuals experiencing homelessness</w:t>
      </w:r>
      <w:r w:rsidR="00B564A7">
        <w:t>.</w:t>
      </w:r>
    </w:p>
    <w:p w14:paraId="00CB3F24" w14:textId="77777777" w:rsidR="00B564A7" w:rsidRPr="00D50EEF" w:rsidRDefault="00B564A7" w:rsidP="006805EE">
      <w:pPr>
        <w:ind w:left="720" w:right="720"/>
      </w:pPr>
    </w:p>
    <w:p w14:paraId="5EBB1CF9" w14:textId="471F4B79" w:rsidR="00FF79CE" w:rsidRPr="00FF79CE" w:rsidRDefault="00FF79CE" w:rsidP="00B81BE5">
      <w:pPr>
        <w:pStyle w:val="Heading2"/>
        <w:numPr>
          <w:ilvl w:val="0"/>
          <w:numId w:val="12"/>
        </w:numPr>
      </w:pPr>
      <w:r>
        <w:t xml:space="preserve">Populations at Risk: Homeless and Criminal Justice Involved MassHealth Members </w:t>
      </w:r>
    </w:p>
    <w:p w14:paraId="4B5363DC" w14:textId="513D4C65" w:rsidR="00EA4DA8" w:rsidRPr="006805EE" w:rsidRDefault="00EA4DA8" w:rsidP="00AF5AA7">
      <w:pPr>
        <w:rPr>
          <w:i/>
        </w:rPr>
      </w:pPr>
      <w:r w:rsidRPr="006805EE">
        <w:rPr>
          <w:b/>
          <w:i/>
        </w:rPr>
        <w:t>Key Finding</w:t>
      </w:r>
      <w:r w:rsidR="009D0B3D" w:rsidRPr="006805EE">
        <w:rPr>
          <w:b/>
          <w:i/>
        </w:rPr>
        <w:t xml:space="preserve"> #1</w:t>
      </w:r>
      <w:r w:rsidRPr="006805EE">
        <w:rPr>
          <w:b/>
          <w:i/>
        </w:rPr>
        <w:t xml:space="preserve">: </w:t>
      </w:r>
      <w:r w:rsidRPr="006805EE">
        <w:rPr>
          <w:i/>
        </w:rPr>
        <w:t xml:space="preserve">MassHealth members experiencing homelessness have significantly more non-fatal opioid overdoses than the general MassHealth population. </w:t>
      </w:r>
      <w:r w:rsidR="007144BF" w:rsidRPr="006805EE">
        <w:rPr>
          <w:i/>
        </w:rPr>
        <w:t xml:space="preserve">For individuals who also </w:t>
      </w:r>
      <w:r w:rsidRPr="006805EE">
        <w:rPr>
          <w:i/>
        </w:rPr>
        <w:t xml:space="preserve">have had prior engagement with the criminal justice system, the percent </w:t>
      </w:r>
      <w:r w:rsidR="008819B8" w:rsidRPr="006805EE">
        <w:rPr>
          <w:i/>
        </w:rPr>
        <w:t>with</w:t>
      </w:r>
      <w:r w:rsidRPr="006805EE">
        <w:rPr>
          <w:i/>
        </w:rPr>
        <w:t xml:space="preserve"> non-fatal overdoses more than doubles.</w:t>
      </w:r>
    </w:p>
    <w:p w14:paraId="592ABBDF" w14:textId="77777777" w:rsidR="00EA4DA8" w:rsidRDefault="00EA4DA8" w:rsidP="00AF5AA7">
      <w:pPr>
        <w:jc w:val="center"/>
        <w:rPr>
          <w:b/>
        </w:rPr>
      </w:pPr>
      <w:r w:rsidRPr="003A09E5">
        <w:rPr>
          <w:noProof/>
        </w:rPr>
        <w:drawing>
          <wp:inline distT="0" distB="0" distL="0" distR="0" wp14:anchorId="5606A948" wp14:editId="61FB477F">
            <wp:extent cx="6010275" cy="306705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77648C1" w14:textId="69A99726" w:rsidR="008819B8" w:rsidRDefault="009D0B3D" w:rsidP="006805EE">
      <w:pPr>
        <w:ind w:left="720" w:right="720"/>
        <w:rPr>
          <w:rFonts w:cs="Times New Roman"/>
        </w:rPr>
      </w:pPr>
      <w:r>
        <w:rPr>
          <w:b/>
        </w:rPr>
        <w:lastRenderedPageBreak/>
        <w:t>Why is this Important?</w:t>
      </w:r>
      <w:r w:rsidR="006B2B66">
        <w:rPr>
          <w:b/>
        </w:rPr>
        <w:t xml:space="preserve"> </w:t>
      </w:r>
      <w:r w:rsidR="006B2B66" w:rsidRPr="008873D8">
        <w:rPr>
          <w:rFonts w:cs="Times New Roman"/>
        </w:rPr>
        <w:t xml:space="preserve">These findings can inform </w:t>
      </w:r>
      <w:r w:rsidR="007144BF">
        <w:rPr>
          <w:rFonts w:cs="Times New Roman"/>
        </w:rPr>
        <w:t>screening practices around housing stability and incarceration history to inform services and service referrals.</w:t>
      </w:r>
    </w:p>
    <w:p w14:paraId="2A187508" w14:textId="77777777" w:rsidR="001F00C4" w:rsidRDefault="001F00C4" w:rsidP="006805EE">
      <w:pPr>
        <w:ind w:left="720" w:right="720"/>
        <w:rPr>
          <w:b/>
        </w:rPr>
      </w:pPr>
    </w:p>
    <w:p w14:paraId="6FD1FFC8" w14:textId="4847092A" w:rsidR="00EA4DA8" w:rsidRPr="006805EE" w:rsidRDefault="00EA4DA8" w:rsidP="00AF5AA7">
      <w:pPr>
        <w:rPr>
          <w:i/>
        </w:rPr>
      </w:pPr>
      <w:r w:rsidRPr="006805EE">
        <w:rPr>
          <w:b/>
          <w:i/>
        </w:rPr>
        <w:t>Key Finding</w:t>
      </w:r>
      <w:r w:rsidR="009D0B3D" w:rsidRPr="006805EE">
        <w:rPr>
          <w:b/>
          <w:i/>
        </w:rPr>
        <w:t xml:space="preserve"> #2</w:t>
      </w:r>
      <w:r w:rsidRPr="006805EE">
        <w:rPr>
          <w:b/>
          <w:i/>
        </w:rPr>
        <w:t xml:space="preserve">: </w:t>
      </w:r>
      <w:r w:rsidR="00B564A7" w:rsidRPr="00681616">
        <w:rPr>
          <w:i/>
        </w:rPr>
        <w:t xml:space="preserve">The </w:t>
      </w:r>
      <w:r w:rsidRPr="006805EE">
        <w:rPr>
          <w:i/>
        </w:rPr>
        <w:t>5-year average MassHealth payments were substantially higher among those who had an opioid overdos</w:t>
      </w:r>
      <w:r w:rsidR="008819B8" w:rsidRPr="006805EE">
        <w:rPr>
          <w:i/>
        </w:rPr>
        <w:t>e compared with</w:t>
      </w:r>
      <w:r w:rsidRPr="006805EE">
        <w:rPr>
          <w:i/>
        </w:rPr>
        <w:t xml:space="preserve"> those who did not</w:t>
      </w:r>
      <w:r w:rsidR="00C450FF" w:rsidRPr="006805EE">
        <w:rPr>
          <w:i/>
        </w:rPr>
        <w:t>. P</w:t>
      </w:r>
      <w:r w:rsidRPr="006805EE">
        <w:rPr>
          <w:i/>
        </w:rPr>
        <w:t xml:space="preserve">ayments were the highest for those experiencing an opioid overdose </w:t>
      </w:r>
      <w:proofErr w:type="gramStart"/>
      <w:r w:rsidRPr="006805EE">
        <w:rPr>
          <w:i/>
        </w:rPr>
        <w:t>who</w:t>
      </w:r>
      <w:proofErr w:type="gramEnd"/>
      <w:r w:rsidRPr="006805EE">
        <w:rPr>
          <w:i/>
        </w:rPr>
        <w:t xml:space="preserve"> </w:t>
      </w:r>
      <w:r w:rsidR="00C450FF" w:rsidRPr="006805EE">
        <w:rPr>
          <w:i/>
        </w:rPr>
        <w:t xml:space="preserve">also </w:t>
      </w:r>
      <w:r w:rsidRPr="006805EE">
        <w:rPr>
          <w:i/>
        </w:rPr>
        <w:t xml:space="preserve">experienced unstable housing </w:t>
      </w:r>
      <w:r w:rsidR="00C450FF" w:rsidRPr="006805EE">
        <w:rPr>
          <w:i/>
        </w:rPr>
        <w:t>or</w:t>
      </w:r>
      <w:r w:rsidRPr="006805EE">
        <w:rPr>
          <w:i/>
        </w:rPr>
        <w:t xml:space="preserve"> were criminal justice involved. </w:t>
      </w:r>
    </w:p>
    <w:p w14:paraId="664E9C88" w14:textId="5EF661F2" w:rsidR="00EA4DA8" w:rsidRDefault="00895504" w:rsidP="00AF5AA7">
      <w:pPr>
        <w:jc w:val="center"/>
      </w:pPr>
      <w:r>
        <w:rPr>
          <w:noProof/>
        </w:rPr>
        <mc:AlternateContent>
          <mc:Choice Requires="wps">
            <w:drawing>
              <wp:anchor distT="0" distB="0" distL="114300" distR="114300" simplePos="0" relativeHeight="251667456" behindDoc="0" locked="0" layoutInCell="1" allowOverlap="1" wp14:anchorId="2D1858BB" wp14:editId="2F963BBF">
                <wp:simplePos x="0" y="0"/>
                <wp:positionH relativeFrom="column">
                  <wp:posOffset>619125</wp:posOffset>
                </wp:positionH>
                <wp:positionV relativeFrom="paragraph">
                  <wp:posOffset>2370455</wp:posOffset>
                </wp:positionV>
                <wp:extent cx="1476375" cy="5334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147637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C1AC14" w14:textId="466C7079" w:rsidR="00C04FE4" w:rsidRPr="00895504" w:rsidRDefault="00C04FE4">
                            <w:pPr>
                              <w:rPr>
                                <w:sz w:val="16"/>
                                <w:szCs w:val="16"/>
                              </w:rPr>
                            </w:pPr>
                            <w:r w:rsidRPr="00895504">
                              <w:rPr>
                                <w:sz w:val="16"/>
                                <w:szCs w:val="16"/>
                              </w:rPr>
                              <w:t>UH = Unstable housing</w:t>
                            </w:r>
                            <w:r w:rsidRPr="00895504">
                              <w:rPr>
                                <w:sz w:val="16"/>
                                <w:szCs w:val="16"/>
                              </w:rPr>
                              <w:br/>
                              <w:t>CJ = Criminal justice involved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1858BB" id="Text Box 14" o:spid="_x0000_s1028" type="#_x0000_t202" style="position:absolute;left:0;text-align:left;margin-left:48.75pt;margin-top:186.65pt;width:116.25pt;height:4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" fillcolor="white [3201]" stroked="f" strokeweight=".5pt">
                <v:textbox>
                  <w:txbxContent>
                    <w:p w14:paraId="50C1AC14" w14:textId="466C7079" w:rsidR="00C04FE4" w:rsidRPr="00895504" w:rsidRDefault="00C04FE4">
                      <w:pPr>
                        <w:rPr>
                          <w:sz w:val="16"/>
                          <w:szCs w:val="16"/>
                        </w:rPr>
                      </w:pPr>
                      <w:r w:rsidRPr="00895504">
                        <w:rPr>
                          <w:sz w:val="16"/>
                          <w:szCs w:val="16"/>
                        </w:rPr>
                        <w:t>UH = Unstable housing</w:t>
                      </w:r>
                      <w:r w:rsidRPr="00895504">
                        <w:rPr>
                          <w:sz w:val="16"/>
                          <w:szCs w:val="16"/>
                        </w:rPr>
                        <w:br/>
                        <w:t>CJ = Criminal justice involved</w:t>
                      </w:r>
                    </w:p>
                  </w:txbxContent>
                </v:textbox>
              </v:shape>
            </w:pict>
          </mc:Fallback>
        </mc:AlternateContent>
      </w:r>
      <w:r w:rsidR="00EA4DA8">
        <w:rPr>
          <w:noProof/>
        </w:rPr>
        <w:drawing>
          <wp:inline distT="0" distB="0" distL="0" distR="0" wp14:anchorId="05846793" wp14:editId="01A02042">
            <wp:extent cx="5629275" cy="27336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E4890BA" w14:textId="7F58DFED" w:rsidR="00D50EEF" w:rsidRDefault="009D0B3D" w:rsidP="006805EE">
      <w:pPr>
        <w:pStyle w:val="PlainText"/>
        <w:spacing w:line="276" w:lineRule="auto"/>
        <w:ind w:left="720" w:right="-720"/>
        <w:rPr>
          <w:rStyle w:val="s4"/>
          <w:rFonts w:asciiTheme="minorHAnsi" w:eastAsiaTheme="minorHAnsi" w:hAnsiTheme="minorHAnsi" w:cs="Arial"/>
          <w:szCs w:val="22"/>
          <w:lang w:eastAsia="ja-JP"/>
        </w:rPr>
      </w:pPr>
      <w:r>
        <w:rPr>
          <w:b/>
        </w:rPr>
        <w:t>Why is this Important?</w:t>
      </w:r>
      <w:r w:rsidR="006B2B66">
        <w:rPr>
          <w:b/>
        </w:rPr>
        <w:t xml:space="preserve"> </w:t>
      </w:r>
      <w:r w:rsidR="006B2B66" w:rsidRPr="008873D8">
        <w:rPr>
          <w:rStyle w:val="s4"/>
          <w:rFonts w:asciiTheme="minorHAnsi" w:eastAsiaTheme="minorHAnsi" w:hAnsiTheme="minorHAnsi" w:cs="Arial"/>
          <w:szCs w:val="22"/>
          <w:lang w:eastAsia="ja-JP"/>
        </w:rPr>
        <w:t xml:space="preserve">Assessing service utilization before and after a non-fatal overdose may help to identify possible service opportunities to reduce opioid overdoses and improve outcomes among those members with an overdose by recognizing where </w:t>
      </w:r>
      <w:r w:rsidR="006B2B66">
        <w:rPr>
          <w:rStyle w:val="s4"/>
          <w:rFonts w:asciiTheme="minorHAnsi" w:eastAsiaTheme="minorHAnsi" w:hAnsiTheme="minorHAnsi" w:cs="Arial"/>
          <w:szCs w:val="22"/>
          <w:lang w:eastAsia="ja-JP"/>
        </w:rPr>
        <w:t xml:space="preserve">these </w:t>
      </w:r>
      <w:r w:rsidR="006B2B66" w:rsidRPr="008873D8">
        <w:rPr>
          <w:rStyle w:val="s4"/>
          <w:rFonts w:asciiTheme="minorHAnsi" w:eastAsiaTheme="minorHAnsi" w:hAnsiTheme="minorHAnsi" w:cs="Arial"/>
          <w:szCs w:val="22"/>
          <w:lang w:eastAsia="ja-JP"/>
        </w:rPr>
        <w:t>service opportunities might exist in the future.</w:t>
      </w:r>
    </w:p>
    <w:p w14:paraId="0F9379E4" w14:textId="77777777" w:rsidR="00B564A7" w:rsidRPr="008873D8" w:rsidRDefault="00B564A7" w:rsidP="006805EE">
      <w:pPr>
        <w:pStyle w:val="PlainText"/>
        <w:spacing w:line="276" w:lineRule="auto"/>
        <w:ind w:left="720" w:right="-720"/>
        <w:rPr>
          <w:rStyle w:val="s4"/>
          <w:rFonts w:asciiTheme="minorHAnsi" w:eastAsiaTheme="minorHAnsi" w:hAnsiTheme="minorHAnsi" w:cs="Arial"/>
          <w:szCs w:val="22"/>
          <w:lang w:eastAsia="ja-JP"/>
        </w:rPr>
      </w:pPr>
    </w:p>
    <w:p w14:paraId="283C11A0" w14:textId="72AC15CA" w:rsidR="00FF79CE" w:rsidRDefault="00FF79CE" w:rsidP="00B81BE5">
      <w:pPr>
        <w:pStyle w:val="Heading2"/>
        <w:numPr>
          <w:ilvl w:val="0"/>
          <w:numId w:val="12"/>
        </w:numPr>
      </w:pPr>
      <w:r>
        <w:t>Populations at Risk: Veterans with a History of Homelessness or Incarceration</w:t>
      </w:r>
    </w:p>
    <w:p w14:paraId="4ECCDA12" w14:textId="77777777" w:rsidR="00B564A7" w:rsidRPr="00B564A7" w:rsidRDefault="00B564A7" w:rsidP="006805EE"/>
    <w:p w14:paraId="237CF8E0" w14:textId="521037E1" w:rsidR="00A40FF8" w:rsidRPr="006805EE" w:rsidRDefault="00EA4DA8" w:rsidP="00AF5AA7">
      <w:pPr>
        <w:rPr>
          <w:i/>
          <w:color w:val="000000"/>
          <w:shd w:val="clear" w:color="auto" w:fill="FFFFFF"/>
        </w:rPr>
      </w:pPr>
      <w:r w:rsidRPr="006805EE">
        <w:rPr>
          <w:b/>
          <w:i/>
        </w:rPr>
        <w:t>Key Finding</w:t>
      </w:r>
      <w:r w:rsidR="009D0B3D" w:rsidRPr="006805EE">
        <w:rPr>
          <w:b/>
          <w:i/>
        </w:rPr>
        <w:t xml:space="preserve"> #1</w:t>
      </w:r>
      <w:r w:rsidRPr="006805EE">
        <w:rPr>
          <w:b/>
          <w:i/>
        </w:rPr>
        <w:t xml:space="preserve">: </w:t>
      </w:r>
      <w:r w:rsidRPr="006805EE">
        <w:rPr>
          <w:i/>
          <w:color w:val="000000"/>
          <w:shd w:val="clear" w:color="auto" w:fill="FFFFFF"/>
        </w:rPr>
        <w:t>Veterans experiencing homelessness or incarceration had more access to prescribed opioids, simultaneous benzodiazepines and opioid</w:t>
      </w:r>
      <w:r w:rsidR="00425BCF" w:rsidRPr="006805EE">
        <w:rPr>
          <w:i/>
          <w:color w:val="000000"/>
          <w:shd w:val="clear" w:color="auto" w:fill="FFFFFF"/>
        </w:rPr>
        <w:t>s prescriptions, and access to</w:t>
      </w:r>
      <w:r w:rsidRPr="006805EE">
        <w:rPr>
          <w:i/>
          <w:color w:val="000000"/>
          <w:shd w:val="clear" w:color="auto" w:fill="FFFFFF"/>
        </w:rPr>
        <w:t xml:space="preserve"> high dosage </w:t>
      </w:r>
      <w:r w:rsidR="008819B8" w:rsidRPr="006805EE">
        <w:rPr>
          <w:i/>
          <w:color w:val="000000"/>
          <w:shd w:val="clear" w:color="auto" w:fill="FFFFFF"/>
        </w:rPr>
        <w:t>opioid prescriptions</w:t>
      </w:r>
      <w:r w:rsidRPr="006805EE">
        <w:rPr>
          <w:i/>
          <w:color w:val="000000"/>
          <w:shd w:val="clear" w:color="auto" w:fill="FFFFFF"/>
        </w:rPr>
        <w:t xml:space="preserve"> for an extended period than non-veterans</w:t>
      </w:r>
      <w:r w:rsidR="007144BF" w:rsidRPr="006805EE">
        <w:rPr>
          <w:i/>
          <w:color w:val="000000"/>
          <w:shd w:val="clear" w:color="auto" w:fill="FFFFFF"/>
        </w:rPr>
        <w:t xml:space="preserve"> who were homeless </w:t>
      </w:r>
      <w:r w:rsidR="00895504" w:rsidRPr="006805EE">
        <w:rPr>
          <w:i/>
          <w:color w:val="000000"/>
          <w:shd w:val="clear" w:color="auto" w:fill="FFFFFF"/>
        </w:rPr>
        <w:t>or</w:t>
      </w:r>
      <w:r w:rsidR="007144BF" w:rsidRPr="006805EE">
        <w:rPr>
          <w:i/>
          <w:color w:val="000000"/>
          <w:shd w:val="clear" w:color="auto" w:fill="FFFFFF"/>
        </w:rPr>
        <w:t xml:space="preserve"> incarcerated</w:t>
      </w:r>
      <w:r w:rsidRPr="006805EE">
        <w:rPr>
          <w:i/>
          <w:color w:val="000000"/>
          <w:shd w:val="clear" w:color="auto" w:fill="FFFFFF"/>
        </w:rPr>
        <w:t>.</w:t>
      </w:r>
    </w:p>
    <w:p w14:paraId="0C64635F" w14:textId="45F06BA5" w:rsidR="002D6F12" w:rsidRPr="00384B38" w:rsidRDefault="008B01BB" w:rsidP="00AF5AA7">
      <w:pPr>
        <w:jc w:val="center"/>
      </w:pPr>
      <w:r>
        <w:rPr>
          <w:noProof/>
        </w:rPr>
        <w:lastRenderedPageBreak/>
        <w:drawing>
          <wp:inline distT="0" distB="0" distL="0" distR="0" wp14:anchorId="335E6080" wp14:editId="0D7D3AC1">
            <wp:extent cx="5943600" cy="2869565"/>
            <wp:effectExtent l="0" t="0" r="0" b="698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244FD9F" w14:textId="7F06A14C" w:rsidR="008819B8" w:rsidRDefault="009D0B3D" w:rsidP="006805EE">
      <w:pPr>
        <w:ind w:left="720" w:right="720"/>
        <w:rPr>
          <w:rFonts w:cs="Arial"/>
          <w:color w:val="000000"/>
          <w:shd w:val="clear" w:color="auto" w:fill="FFFFFF"/>
        </w:rPr>
      </w:pPr>
      <w:r>
        <w:rPr>
          <w:b/>
        </w:rPr>
        <w:t>Why is this Important?</w:t>
      </w:r>
      <w:r w:rsidR="00CA2793">
        <w:rPr>
          <w:b/>
        </w:rPr>
        <w:t xml:space="preserve"> </w:t>
      </w:r>
      <w:r w:rsidR="00BD6F05" w:rsidRPr="00BD6F05">
        <w:t>These</w:t>
      </w:r>
      <w:r w:rsidR="00BD6F05">
        <w:rPr>
          <w:b/>
        </w:rPr>
        <w:t xml:space="preserve"> </w:t>
      </w:r>
      <w:r w:rsidR="00BD6F05">
        <w:rPr>
          <w:rFonts w:cs="Arial"/>
          <w:color w:val="000000"/>
          <w:shd w:val="clear" w:color="auto" w:fill="FFFFFF"/>
        </w:rPr>
        <w:t>f</w:t>
      </w:r>
      <w:r w:rsidR="00BD6F05" w:rsidRPr="00BD6F05">
        <w:rPr>
          <w:rFonts w:cs="Arial"/>
          <w:color w:val="000000"/>
          <w:shd w:val="clear" w:color="auto" w:fill="FFFFFF"/>
        </w:rPr>
        <w:t xml:space="preserve">indings suggest </w:t>
      </w:r>
      <w:r w:rsidR="00BD6F05">
        <w:rPr>
          <w:rFonts w:cs="Arial"/>
          <w:color w:val="000000"/>
          <w:shd w:val="clear" w:color="auto" w:fill="FFFFFF"/>
        </w:rPr>
        <w:t xml:space="preserve">that the </w:t>
      </w:r>
      <w:r w:rsidR="00BD6F05" w:rsidRPr="00BD6F05">
        <w:rPr>
          <w:rFonts w:cs="Arial"/>
          <w:color w:val="000000"/>
          <w:shd w:val="clear" w:color="auto" w:fill="FFFFFF"/>
        </w:rPr>
        <w:t>integration of initiative</w:t>
      </w:r>
      <w:r w:rsidR="00BD6F05">
        <w:rPr>
          <w:rFonts w:cs="Arial"/>
          <w:color w:val="000000"/>
          <w:shd w:val="clear" w:color="auto" w:fill="FFFFFF"/>
        </w:rPr>
        <w:t>s</w:t>
      </w:r>
      <w:r w:rsidR="00BD6F05" w:rsidRPr="00BD6F05">
        <w:rPr>
          <w:rFonts w:cs="Arial"/>
          <w:color w:val="000000"/>
          <w:shd w:val="clear" w:color="auto" w:fill="FFFFFF"/>
        </w:rPr>
        <w:t xml:space="preserve"> focused on improving opioid prescribing in Veterans experiencing homelessness and incarceration to improve patient safety in these populations</w:t>
      </w:r>
      <w:r w:rsidR="00BD6F05">
        <w:rPr>
          <w:rFonts w:cs="Arial"/>
          <w:color w:val="000000"/>
          <w:shd w:val="clear" w:color="auto" w:fill="FFFFFF"/>
        </w:rPr>
        <w:t xml:space="preserve"> is warranted. </w:t>
      </w:r>
    </w:p>
    <w:p w14:paraId="3C66CA1C" w14:textId="77777777" w:rsidR="001F00C4" w:rsidRDefault="001F00C4" w:rsidP="006805EE">
      <w:pPr>
        <w:ind w:left="720" w:right="720"/>
        <w:rPr>
          <w:b/>
        </w:rPr>
      </w:pPr>
    </w:p>
    <w:p w14:paraId="2BC26287" w14:textId="2D22805B" w:rsidR="00EA4DA8" w:rsidRPr="006805EE" w:rsidRDefault="00EA4DA8" w:rsidP="00AF5AA7">
      <w:pPr>
        <w:rPr>
          <w:i/>
          <w:shd w:val="clear" w:color="auto" w:fill="FFFFFF"/>
        </w:rPr>
      </w:pPr>
      <w:r w:rsidRPr="006805EE">
        <w:rPr>
          <w:b/>
          <w:i/>
        </w:rPr>
        <w:t>Key Finding</w:t>
      </w:r>
      <w:r w:rsidR="009D0B3D" w:rsidRPr="006805EE">
        <w:rPr>
          <w:b/>
          <w:i/>
        </w:rPr>
        <w:t xml:space="preserve"> #2</w:t>
      </w:r>
      <w:r w:rsidRPr="006805EE">
        <w:rPr>
          <w:b/>
          <w:i/>
        </w:rPr>
        <w:t xml:space="preserve">: </w:t>
      </w:r>
      <w:r w:rsidRPr="006805EE">
        <w:rPr>
          <w:rStyle w:val="Strong"/>
          <w:b w:val="0"/>
          <w:i/>
          <w:bdr w:val="none" w:sz="0" w:space="0" w:color="auto" w:frame="1"/>
        </w:rPr>
        <w:t>Among those with a history of homelessness and/or incarceration in Massachusetts,</w:t>
      </w:r>
      <w:r w:rsidRPr="006805EE">
        <w:rPr>
          <w:rStyle w:val="Strong"/>
          <w:i/>
          <w:bdr w:val="none" w:sz="0" w:space="0" w:color="auto" w:frame="1"/>
        </w:rPr>
        <w:t xml:space="preserve"> </w:t>
      </w:r>
      <w:r w:rsidR="00BD6F05" w:rsidRPr="006805EE">
        <w:rPr>
          <w:i/>
          <w:shd w:val="clear" w:color="auto" w:fill="FFFFFF"/>
        </w:rPr>
        <w:t xml:space="preserve">Veterans </w:t>
      </w:r>
      <w:r w:rsidR="00BB3074" w:rsidRPr="006805EE">
        <w:rPr>
          <w:i/>
          <w:shd w:val="clear" w:color="auto" w:fill="FFFFFF"/>
        </w:rPr>
        <w:t>had a</w:t>
      </w:r>
      <w:r w:rsidR="00BD6F05" w:rsidRPr="006805EE">
        <w:rPr>
          <w:i/>
          <w:shd w:val="clear" w:color="auto" w:fill="FFFFFF"/>
        </w:rPr>
        <w:t xml:space="preserve"> 50% increased risk of nonfatal opioid overdose and 60% increased risk of fatal opioid overdose</w:t>
      </w:r>
      <w:r w:rsidRPr="006805EE">
        <w:rPr>
          <w:i/>
          <w:shd w:val="clear" w:color="auto" w:fill="FFFFFF"/>
        </w:rPr>
        <w:t>.</w:t>
      </w:r>
    </w:p>
    <w:p w14:paraId="5B4A9D80" w14:textId="77777777" w:rsidR="00C450FF" w:rsidRDefault="00BD6F05" w:rsidP="00AF5AA7">
      <w:pPr>
        <w:ind w:left="1440" w:firstLine="720"/>
        <w:rPr>
          <w:b/>
          <w:sz w:val="18"/>
          <w:szCs w:val="18"/>
          <w:vertAlign w:val="superscript"/>
        </w:rPr>
      </w:pPr>
      <w:r>
        <w:rPr>
          <w:noProof/>
        </w:rPr>
        <w:drawing>
          <wp:inline distT="0" distB="0" distL="0" distR="0" wp14:anchorId="37CAE09C" wp14:editId="1D3A9F49">
            <wp:extent cx="4829175" cy="234315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8891AC7" w14:textId="47C25003" w:rsidR="00C450FF" w:rsidRDefault="009D0B3D" w:rsidP="006805EE">
      <w:pPr>
        <w:ind w:left="720" w:right="720"/>
        <w:rPr>
          <w:rFonts w:cs="Arial"/>
          <w:color w:val="000000"/>
          <w:shd w:val="clear" w:color="auto" w:fill="FFFFFF"/>
        </w:rPr>
      </w:pPr>
      <w:r>
        <w:rPr>
          <w:b/>
        </w:rPr>
        <w:t>Why is this Important?</w:t>
      </w:r>
      <w:r w:rsidR="00BD6F05">
        <w:rPr>
          <w:rFonts w:cs="Arial"/>
          <w:color w:val="000000"/>
          <w:shd w:val="clear" w:color="auto" w:fill="FFFFFF"/>
        </w:rPr>
        <w:t xml:space="preserve"> </w:t>
      </w:r>
      <w:r w:rsidR="004127B9">
        <w:rPr>
          <w:rFonts w:cs="Arial"/>
          <w:color w:val="000000"/>
          <w:shd w:val="clear" w:color="auto" w:fill="FFFFFF"/>
        </w:rPr>
        <w:t>Among already high</w:t>
      </w:r>
      <w:r w:rsidR="000338BF">
        <w:rPr>
          <w:rFonts w:cs="Arial"/>
          <w:color w:val="000000"/>
          <w:shd w:val="clear" w:color="auto" w:fill="FFFFFF"/>
        </w:rPr>
        <w:t>-</w:t>
      </w:r>
      <w:r w:rsidR="004127B9">
        <w:rPr>
          <w:rFonts w:cs="Arial"/>
          <w:color w:val="000000"/>
          <w:shd w:val="clear" w:color="auto" w:fill="FFFFFF"/>
        </w:rPr>
        <w:t>risk population</w:t>
      </w:r>
      <w:r w:rsidR="007144BF">
        <w:rPr>
          <w:rFonts w:cs="Arial"/>
          <w:color w:val="000000"/>
          <w:shd w:val="clear" w:color="auto" w:fill="FFFFFF"/>
        </w:rPr>
        <w:t>s</w:t>
      </w:r>
      <w:r w:rsidR="004127B9">
        <w:rPr>
          <w:rFonts w:cs="Arial"/>
          <w:color w:val="000000"/>
          <w:shd w:val="clear" w:color="auto" w:fill="FFFFFF"/>
        </w:rPr>
        <w:t xml:space="preserve"> (those with a history o</w:t>
      </w:r>
      <w:r w:rsidR="000338BF">
        <w:rPr>
          <w:rFonts w:cs="Arial"/>
          <w:color w:val="000000"/>
          <w:shd w:val="clear" w:color="auto" w:fill="FFFFFF"/>
        </w:rPr>
        <w:t>f</w:t>
      </w:r>
      <w:r w:rsidR="004127B9">
        <w:rPr>
          <w:rFonts w:cs="Arial"/>
          <w:color w:val="000000"/>
          <w:shd w:val="clear" w:color="auto" w:fill="FFFFFF"/>
        </w:rPr>
        <w:t xml:space="preserve"> homelessness or incarceration) veteran’s status </w:t>
      </w:r>
      <w:proofErr w:type="gramStart"/>
      <w:r w:rsidR="004127B9">
        <w:rPr>
          <w:rFonts w:cs="Arial"/>
          <w:color w:val="000000"/>
          <w:shd w:val="clear" w:color="auto" w:fill="FFFFFF"/>
        </w:rPr>
        <w:t>itself</w:t>
      </w:r>
      <w:proofErr w:type="gramEnd"/>
      <w:r w:rsidR="004127B9">
        <w:rPr>
          <w:rFonts w:cs="Arial"/>
          <w:color w:val="000000"/>
          <w:shd w:val="clear" w:color="auto" w:fill="FFFFFF"/>
        </w:rPr>
        <w:t xml:space="preserve"> is associated with increased risk of fatal and nonfatal opioid overd</w:t>
      </w:r>
      <w:r w:rsidR="00C450FF">
        <w:rPr>
          <w:rFonts w:cs="Arial"/>
          <w:color w:val="000000"/>
          <w:shd w:val="clear" w:color="auto" w:fill="FFFFFF"/>
        </w:rPr>
        <w:t>o</w:t>
      </w:r>
      <w:r w:rsidR="004127B9">
        <w:rPr>
          <w:rFonts w:cs="Arial"/>
          <w:color w:val="000000"/>
          <w:shd w:val="clear" w:color="auto" w:fill="FFFFFF"/>
        </w:rPr>
        <w:t xml:space="preserve">se. </w:t>
      </w:r>
    </w:p>
    <w:p w14:paraId="3FBA6D94" w14:textId="24F3F929" w:rsidR="008317C7" w:rsidRDefault="008317C7" w:rsidP="006805EE">
      <w:pPr>
        <w:ind w:left="720" w:right="720"/>
      </w:pPr>
    </w:p>
    <w:p w14:paraId="3EAA57C9" w14:textId="77777777" w:rsidR="008317C7" w:rsidRPr="00C450FF" w:rsidRDefault="008317C7" w:rsidP="006805EE">
      <w:pPr>
        <w:ind w:left="720" w:right="720"/>
      </w:pPr>
    </w:p>
    <w:p w14:paraId="1ED537FC" w14:textId="1EB05C10" w:rsidR="00427173" w:rsidRPr="00C450FF" w:rsidRDefault="00074FE7" w:rsidP="008317C7">
      <w:pPr>
        <w:pStyle w:val="Heading2"/>
        <w:numPr>
          <w:ilvl w:val="0"/>
          <w:numId w:val="12"/>
        </w:numPr>
      </w:pPr>
      <w:r>
        <w:lastRenderedPageBreak/>
        <w:t xml:space="preserve">Racial </w:t>
      </w:r>
      <w:r w:rsidR="002D6F12">
        <w:t xml:space="preserve">and </w:t>
      </w:r>
      <w:r>
        <w:t xml:space="preserve">Geographic </w:t>
      </w:r>
      <w:r w:rsidR="00427173">
        <w:t>Disparities</w:t>
      </w:r>
    </w:p>
    <w:p w14:paraId="778A2D90" w14:textId="77777777" w:rsidR="009D0B3D" w:rsidRPr="006805EE" w:rsidRDefault="00074FE7" w:rsidP="00AF5AA7">
      <w:pPr>
        <w:rPr>
          <w:bCs/>
          <w:i/>
          <w:kern w:val="32"/>
        </w:rPr>
      </w:pPr>
      <w:r w:rsidRPr="006805EE">
        <w:rPr>
          <w:b/>
          <w:i/>
        </w:rPr>
        <w:t>Key Finding</w:t>
      </w:r>
      <w:r w:rsidR="009D0B3D" w:rsidRPr="006805EE">
        <w:rPr>
          <w:b/>
          <w:i/>
        </w:rPr>
        <w:t xml:space="preserve"> #1</w:t>
      </w:r>
      <w:r w:rsidRPr="006805EE">
        <w:rPr>
          <w:b/>
          <w:i/>
        </w:rPr>
        <w:t xml:space="preserve">: </w:t>
      </w:r>
      <w:r w:rsidRPr="006805EE">
        <w:rPr>
          <w:bCs/>
          <w:i/>
          <w:kern w:val="32"/>
        </w:rPr>
        <w:t xml:space="preserve">Black residents in </w:t>
      </w:r>
      <w:proofErr w:type="gramStart"/>
      <w:r w:rsidRPr="006805EE">
        <w:rPr>
          <w:bCs/>
          <w:i/>
          <w:kern w:val="32"/>
        </w:rPr>
        <w:t>Massachusetts,</w:t>
      </w:r>
      <w:proofErr w:type="gramEnd"/>
      <w:r w:rsidRPr="006805EE">
        <w:rPr>
          <w:bCs/>
          <w:i/>
          <w:kern w:val="32"/>
        </w:rPr>
        <w:t xml:space="preserve"> and in Boston specifically, </w:t>
      </w:r>
      <w:r w:rsidR="00515B86" w:rsidRPr="006805EE">
        <w:rPr>
          <w:bCs/>
          <w:i/>
          <w:kern w:val="32"/>
        </w:rPr>
        <w:t xml:space="preserve">were </w:t>
      </w:r>
      <w:r w:rsidRPr="006805EE">
        <w:rPr>
          <w:bCs/>
          <w:i/>
          <w:kern w:val="32"/>
        </w:rPr>
        <w:t>less</w:t>
      </w:r>
      <w:r w:rsidR="008819B8" w:rsidRPr="006805EE">
        <w:rPr>
          <w:bCs/>
          <w:i/>
          <w:kern w:val="32"/>
        </w:rPr>
        <w:t xml:space="preserve"> likely to receive substance </w:t>
      </w:r>
      <w:r w:rsidRPr="006805EE">
        <w:rPr>
          <w:bCs/>
          <w:i/>
          <w:kern w:val="32"/>
        </w:rPr>
        <w:t>use treatment following h</w:t>
      </w:r>
      <w:r w:rsidR="004127B9" w:rsidRPr="006805EE">
        <w:rPr>
          <w:bCs/>
          <w:i/>
          <w:kern w:val="32"/>
        </w:rPr>
        <w:t>ospital-related care for opioid overdose</w:t>
      </w:r>
      <w:r w:rsidR="008819B8" w:rsidRPr="006805EE">
        <w:rPr>
          <w:bCs/>
          <w:i/>
          <w:kern w:val="32"/>
        </w:rPr>
        <w:t xml:space="preserve"> </w:t>
      </w:r>
      <w:r w:rsidRPr="006805EE">
        <w:rPr>
          <w:bCs/>
          <w:i/>
          <w:kern w:val="32"/>
        </w:rPr>
        <w:t>compar</w:t>
      </w:r>
      <w:r w:rsidR="008819B8" w:rsidRPr="006805EE">
        <w:rPr>
          <w:bCs/>
          <w:i/>
          <w:kern w:val="32"/>
        </w:rPr>
        <w:t>ed</w:t>
      </w:r>
      <w:r w:rsidRPr="006805EE">
        <w:rPr>
          <w:bCs/>
          <w:i/>
          <w:kern w:val="32"/>
        </w:rPr>
        <w:t xml:space="preserve"> with White residents.</w:t>
      </w:r>
      <w:r w:rsidR="00C450FF" w:rsidRPr="006805EE">
        <w:rPr>
          <w:bCs/>
          <w:i/>
          <w:kern w:val="32"/>
        </w:rPr>
        <w:t xml:space="preserve"> </w:t>
      </w:r>
    </w:p>
    <w:p w14:paraId="23D3180A" w14:textId="1FEF51AC" w:rsidR="009D0B3D" w:rsidRDefault="00B26188" w:rsidP="00AF5AA7">
      <w:pPr>
        <w:jc w:val="center"/>
        <w:rPr>
          <w:bCs/>
          <w:kern w:val="32"/>
        </w:rPr>
      </w:pPr>
      <w:r>
        <w:rPr>
          <w:noProof/>
        </w:rPr>
        <w:drawing>
          <wp:inline distT="0" distB="0" distL="0" distR="0" wp14:anchorId="3B1D09A7" wp14:editId="4FA5378C">
            <wp:extent cx="5057775" cy="3300413"/>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4AB03DA" w14:textId="0782C07A" w:rsidR="00C450FF" w:rsidRPr="006805EE" w:rsidRDefault="009D0B3D" w:rsidP="00AF5AA7">
      <w:pPr>
        <w:rPr>
          <w:bCs/>
          <w:i/>
          <w:kern w:val="32"/>
        </w:rPr>
      </w:pPr>
      <w:r w:rsidRPr="006805EE">
        <w:rPr>
          <w:b/>
          <w:bCs/>
          <w:i/>
          <w:kern w:val="32"/>
        </w:rPr>
        <w:t xml:space="preserve">Key Finding #2: </w:t>
      </w:r>
      <w:r w:rsidR="00C450FF" w:rsidRPr="006805EE">
        <w:rPr>
          <w:i/>
        </w:rPr>
        <w:t>The odds of receiving subsequent substance use treatment within 30 days following a hospital patient encounter for opioid overdose were 29% lower for Black residents throughout Massachusetts and 58% lower for Black residents of Boston than for White</w:t>
      </w:r>
      <w:r w:rsidR="00515B86" w:rsidRPr="006805EE">
        <w:rPr>
          <w:i/>
        </w:rPr>
        <w:t>s</w:t>
      </w:r>
      <w:r w:rsidR="00C450FF" w:rsidRPr="006805EE">
        <w:rPr>
          <w:i/>
        </w:rPr>
        <w:t>.</w:t>
      </w:r>
    </w:p>
    <w:p w14:paraId="4FBF785E" w14:textId="568AEA7A" w:rsidR="00074FE7" w:rsidRDefault="003A572C" w:rsidP="00AF5AA7">
      <w:pPr>
        <w:pStyle w:val="Heading2"/>
        <w:jc w:val="center"/>
      </w:pPr>
      <w:r>
        <w:rPr>
          <w:noProof/>
        </w:rPr>
        <w:drawing>
          <wp:inline distT="0" distB="0" distL="0" distR="0" wp14:anchorId="2A521CAB" wp14:editId="55B0F9E6">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1C8CD42" w14:textId="2984890F" w:rsidR="00D50EEF" w:rsidRPr="00B13DFE" w:rsidRDefault="009D0B3D" w:rsidP="006805EE">
      <w:pPr>
        <w:pStyle w:val="PlainText"/>
        <w:spacing w:line="276" w:lineRule="auto"/>
        <w:ind w:left="720" w:right="720"/>
        <w:rPr>
          <w:bCs/>
          <w:kern w:val="32"/>
          <w:szCs w:val="22"/>
        </w:rPr>
      </w:pPr>
      <w:r>
        <w:rPr>
          <w:b/>
        </w:rPr>
        <w:t>Why is this Important?</w:t>
      </w:r>
      <w:r w:rsidR="00B13DFE">
        <w:rPr>
          <w:b/>
        </w:rPr>
        <w:t xml:space="preserve"> </w:t>
      </w:r>
      <w:r w:rsidR="00B13DFE">
        <w:rPr>
          <w:rFonts w:asciiTheme="minorHAnsi" w:hAnsiTheme="minorHAnsi"/>
          <w:szCs w:val="22"/>
        </w:rPr>
        <w:t xml:space="preserve">There are likely many known and unknown explanatory factors impacting treatment access rates and observed racial/ethnic and geographic differences, </w:t>
      </w:r>
      <w:r w:rsidR="00515B86">
        <w:rPr>
          <w:rFonts w:asciiTheme="minorHAnsi" w:hAnsiTheme="minorHAnsi"/>
          <w:szCs w:val="22"/>
        </w:rPr>
        <w:t xml:space="preserve">including differences in the social determinants of health, which may </w:t>
      </w:r>
      <w:r w:rsidR="00B13DFE">
        <w:rPr>
          <w:rFonts w:asciiTheme="minorHAnsi" w:hAnsiTheme="minorHAnsi"/>
          <w:szCs w:val="22"/>
        </w:rPr>
        <w:t xml:space="preserve">be independent of the hospital and treatment care systems. </w:t>
      </w:r>
      <w:r w:rsidR="00B13DFE">
        <w:rPr>
          <w:rFonts w:asciiTheme="minorHAnsi" w:hAnsiTheme="minorHAnsi" w:cs="Arial"/>
          <w:bCs/>
          <w:kern w:val="32"/>
          <w:szCs w:val="22"/>
        </w:rPr>
        <w:t xml:space="preserve">Given the substantial racial/ethnic inequities observed in this analysis, </w:t>
      </w:r>
      <w:r w:rsidR="00515B86">
        <w:rPr>
          <w:rFonts w:asciiTheme="minorHAnsi" w:hAnsiTheme="minorHAnsi" w:cs="Arial"/>
          <w:bCs/>
          <w:kern w:val="32"/>
          <w:szCs w:val="22"/>
        </w:rPr>
        <w:t>more conscious efforts need to be made to engage</w:t>
      </w:r>
      <w:r w:rsidR="008317C7">
        <w:rPr>
          <w:rFonts w:asciiTheme="minorHAnsi" w:hAnsiTheme="minorHAnsi" w:cs="Arial"/>
          <w:bCs/>
          <w:kern w:val="32"/>
          <w:szCs w:val="22"/>
        </w:rPr>
        <w:t xml:space="preserve"> and offer treatment to</w:t>
      </w:r>
      <w:r w:rsidR="00515B86">
        <w:rPr>
          <w:rFonts w:asciiTheme="minorHAnsi" w:hAnsiTheme="minorHAnsi" w:cs="Arial"/>
          <w:bCs/>
          <w:kern w:val="32"/>
          <w:szCs w:val="22"/>
        </w:rPr>
        <w:t xml:space="preserve"> individuals who experience treatment gaps.</w:t>
      </w:r>
      <w:r w:rsidR="00B13DFE">
        <w:rPr>
          <w:bCs/>
          <w:kern w:val="32"/>
          <w:szCs w:val="22"/>
        </w:rPr>
        <w:t xml:space="preserve"> </w:t>
      </w:r>
    </w:p>
    <w:p w14:paraId="44E5CBD3" w14:textId="77777777" w:rsidR="00D50EEF" w:rsidRPr="00C450FF" w:rsidRDefault="00D50EEF" w:rsidP="00AF5AA7">
      <w:pPr>
        <w:pStyle w:val="PlainText"/>
        <w:spacing w:line="276" w:lineRule="auto"/>
        <w:rPr>
          <w:szCs w:val="22"/>
        </w:rPr>
      </w:pPr>
    </w:p>
    <w:p w14:paraId="7B1DCDED" w14:textId="682F56E7" w:rsidR="009D0B3D" w:rsidRPr="009D0B3D" w:rsidRDefault="00D16956" w:rsidP="00B81BE5">
      <w:pPr>
        <w:pStyle w:val="ListParagraph"/>
        <w:numPr>
          <w:ilvl w:val="0"/>
          <w:numId w:val="12"/>
        </w:numPr>
        <w:spacing w:line="276" w:lineRule="auto"/>
        <w:rPr>
          <w:rFonts w:asciiTheme="majorHAnsi" w:eastAsiaTheme="majorEastAsia" w:hAnsiTheme="majorHAnsi" w:cstheme="majorBidi"/>
          <w:b/>
          <w:bCs/>
          <w:color w:val="4F81BD" w:themeColor="accent1"/>
          <w:sz w:val="26"/>
          <w:szCs w:val="26"/>
        </w:rPr>
      </w:pPr>
      <w:r w:rsidRPr="009D0B3D">
        <w:rPr>
          <w:rStyle w:val="Heading2Char"/>
        </w:rPr>
        <w:t>The Inpatient Substance Use Disorder Treatment Cascade</w:t>
      </w:r>
      <w:r w:rsidR="000D446E">
        <w:rPr>
          <w:rStyle w:val="FootnoteReference"/>
          <w:rFonts w:asciiTheme="majorHAnsi" w:eastAsiaTheme="majorEastAsia" w:hAnsiTheme="majorHAnsi" w:cstheme="majorBidi"/>
          <w:b/>
          <w:bCs/>
          <w:color w:val="4F81BD" w:themeColor="accent1"/>
          <w:sz w:val="26"/>
          <w:szCs w:val="26"/>
        </w:rPr>
        <w:footnoteReference w:id="1"/>
      </w:r>
    </w:p>
    <w:p w14:paraId="2F62E75A" w14:textId="77777777" w:rsidR="001F00C4" w:rsidRDefault="001F00C4" w:rsidP="00AF5AA7">
      <w:pPr>
        <w:rPr>
          <w:b/>
          <w:i/>
        </w:rPr>
      </w:pPr>
    </w:p>
    <w:p w14:paraId="1BF97F6D" w14:textId="2A8E1350" w:rsidR="009D0B3D" w:rsidRPr="006805EE" w:rsidRDefault="00B06486" w:rsidP="00AF5AA7">
      <w:pPr>
        <w:rPr>
          <w:rFonts w:asciiTheme="majorHAnsi" w:eastAsiaTheme="majorEastAsia" w:hAnsiTheme="majorHAnsi" w:cstheme="majorBidi"/>
          <w:b/>
          <w:bCs/>
          <w:i/>
          <w:color w:val="4F81BD" w:themeColor="accent1"/>
          <w:sz w:val="26"/>
          <w:szCs w:val="26"/>
        </w:rPr>
      </w:pPr>
      <w:r w:rsidRPr="006805EE">
        <w:rPr>
          <w:b/>
          <w:i/>
        </w:rPr>
        <w:t>Key Finding</w:t>
      </w:r>
      <w:r w:rsidR="009D0B3D" w:rsidRPr="006805EE">
        <w:rPr>
          <w:b/>
          <w:i/>
        </w:rPr>
        <w:t># 1</w:t>
      </w:r>
      <w:r w:rsidRPr="006805EE">
        <w:rPr>
          <w:b/>
          <w:i/>
        </w:rPr>
        <w:t>:</w:t>
      </w:r>
      <w:r w:rsidRPr="006805EE">
        <w:rPr>
          <w:i/>
        </w:rPr>
        <w:t xml:space="preserve"> </w:t>
      </w:r>
      <w:r w:rsidR="0068775C" w:rsidRPr="006805EE">
        <w:rPr>
          <w:i/>
        </w:rPr>
        <w:t xml:space="preserve">In the Massachusetts inpatient treatment cascade, 30% of the total person-time was spent in transitions back to inpatient detoxification following any treatment stage, and these periods leading to readmission represent periods of elevated overdose risk. </w:t>
      </w:r>
      <w:r w:rsidR="004F1C41" w:rsidRPr="006805EE">
        <w:rPr>
          <w:i/>
        </w:rPr>
        <w:t>The rate of overdose varies along the inpatient substance use disorder</w:t>
      </w:r>
      <w:r w:rsidR="001C02E3">
        <w:rPr>
          <w:i/>
        </w:rPr>
        <w:t xml:space="preserve"> treatment</w:t>
      </w:r>
      <w:r w:rsidR="004F1C41" w:rsidRPr="006805EE">
        <w:rPr>
          <w:i/>
        </w:rPr>
        <w:t xml:space="preserve"> cascade. </w:t>
      </w:r>
      <w:r w:rsidRPr="006805EE">
        <w:rPr>
          <w:i/>
        </w:rPr>
        <w:t>The highest risk of overdose occurred in the transition period between detox treatment and post-detox, followed by the transition periods returning to detox follo</w:t>
      </w:r>
      <w:r w:rsidR="00384B38" w:rsidRPr="006805EE">
        <w:rPr>
          <w:i/>
        </w:rPr>
        <w:t xml:space="preserve">wing residential or post-detox </w:t>
      </w:r>
      <w:r w:rsidRPr="006805EE">
        <w:rPr>
          <w:i/>
        </w:rPr>
        <w:t xml:space="preserve">treatment. </w:t>
      </w:r>
    </w:p>
    <w:p w14:paraId="73F6688B" w14:textId="3FACD8D2" w:rsidR="00B06486" w:rsidRPr="00422884" w:rsidRDefault="00422884" w:rsidP="00AF5AA7">
      <w:pPr>
        <w:spacing w:after="0"/>
        <w:jc w:val="center"/>
        <w:rPr>
          <w:b/>
          <w:sz w:val="24"/>
          <w:szCs w:val="24"/>
        </w:rPr>
      </w:pPr>
      <w:r w:rsidRPr="00422884">
        <w:rPr>
          <w:b/>
          <w:sz w:val="24"/>
          <w:szCs w:val="24"/>
        </w:rPr>
        <w:t>Figure 1</w:t>
      </w:r>
      <w:r w:rsidR="00013025">
        <w:rPr>
          <w:b/>
          <w:sz w:val="24"/>
          <w:szCs w:val="24"/>
        </w:rPr>
        <w:t>5</w:t>
      </w:r>
      <w:r w:rsidR="00B341D0">
        <w:rPr>
          <w:b/>
          <w:sz w:val="24"/>
          <w:szCs w:val="24"/>
        </w:rPr>
        <w:t>: Overdose Rates Along the C</w:t>
      </w:r>
      <w:r w:rsidRPr="00422884">
        <w:rPr>
          <w:b/>
          <w:sz w:val="24"/>
          <w:szCs w:val="24"/>
        </w:rPr>
        <w:t>ascade</w:t>
      </w:r>
      <w:r w:rsidR="00B341D0">
        <w:rPr>
          <w:b/>
          <w:sz w:val="24"/>
          <w:szCs w:val="24"/>
        </w:rPr>
        <w:t>: 2011-2015</w:t>
      </w:r>
    </w:p>
    <w:p w14:paraId="4F15A145" w14:textId="72812F16" w:rsidR="00B06486" w:rsidRDefault="00AF5AA7" w:rsidP="00AF5AA7">
      <w:pPr>
        <w:pStyle w:val="ListParagraph"/>
        <w:spacing w:line="276" w:lineRule="auto"/>
        <w:jc w:val="center"/>
        <w:rPr>
          <w:rFonts w:asciiTheme="minorHAnsi" w:hAnsiTheme="minorHAnsi"/>
          <w:b/>
        </w:rPr>
      </w:pPr>
      <w:r>
        <w:rPr>
          <w:rFonts w:asciiTheme="minorHAnsi" w:hAnsiTheme="minorHAnsi"/>
          <w:b/>
          <w:noProof/>
        </w:rPr>
        <mc:AlternateContent>
          <mc:Choice Requires="wps">
            <w:drawing>
              <wp:anchor distT="0" distB="0" distL="114300" distR="114300" simplePos="0" relativeHeight="251666432" behindDoc="0" locked="0" layoutInCell="1" allowOverlap="1" wp14:anchorId="60F846D7" wp14:editId="3B600EE3">
                <wp:simplePos x="0" y="0"/>
                <wp:positionH relativeFrom="column">
                  <wp:posOffset>1247775</wp:posOffset>
                </wp:positionH>
                <wp:positionV relativeFrom="paragraph">
                  <wp:posOffset>3306445</wp:posOffset>
                </wp:positionV>
                <wp:extent cx="4829175" cy="51435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482917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08C6AA" w14:textId="2A2B0718" w:rsidR="00C04FE4" w:rsidRPr="00AF5AA7" w:rsidRDefault="00C04FE4">
                            <w:pPr>
                              <w:rPr>
                                <w:sz w:val="16"/>
                              </w:rPr>
                            </w:pPr>
                            <w:r w:rsidRPr="00354D9F">
                              <w:rPr>
                                <w:sz w:val="16"/>
                              </w:rPr>
                              <w:t xml:space="preserve">Legend: overdose rates stratified by the transition period along the </w:t>
                            </w:r>
                            <w:r w:rsidR="007149B5">
                              <w:rPr>
                                <w:sz w:val="16"/>
                              </w:rPr>
                              <w:t xml:space="preserve">treatment </w:t>
                            </w:r>
                            <w:r w:rsidRPr="00354D9F">
                              <w:rPr>
                                <w:sz w:val="16"/>
                              </w:rPr>
                              <w:t>cascade. The black vertical line represents t</w:t>
                            </w:r>
                            <w:r>
                              <w:rPr>
                                <w:sz w:val="16"/>
                              </w:rPr>
                              <w:t xml:space="preserve">he overdose rate in the overall </w:t>
                            </w:r>
                            <w:r w:rsidRPr="00354D9F">
                              <w:rPr>
                                <w:sz w:val="16"/>
                              </w:rPr>
                              <w:t xml:space="preserve">sample. </w:t>
                            </w:r>
                            <w:r>
                              <w:rPr>
                                <w:sz w:val="16"/>
                              </w:rPr>
                              <w:br/>
                            </w:r>
                            <w:r w:rsidRPr="00354D9F">
                              <w:rPr>
                                <w:sz w:val="16"/>
                              </w:rPr>
                              <w:t>NOKA = no other known admissions.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98.25pt;margin-top:260.35pt;width:380.25pt;height:4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" fillcolor="white [3201]" stroked="f" strokeweight=".5pt">
                <v:textbox>
                  <w:txbxContent>
                    <w:p w14:paraId="5808C6AA" w14:textId="2A2B0718" w:rsidR="00C04FE4" w:rsidRPr="00AF5AA7" w:rsidRDefault="00C04FE4">
                      <w:pPr>
                        <w:rPr>
                          <w:sz w:val="16"/>
                        </w:rPr>
                      </w:pPr>
                      <w:r w:rsidRPr="00354D9F">
                        <w:rPr>
                          <w:sz w:val="16"/>
                        </w:rPr>
                        <w:t xml:space="preserve">Legend: overdose rates stratified by the transition period along the </w:t>
                      </w:r>
                      <w:r w:rsidR="007149B5">
                        <w:rPr>
                          <w:sz w:val="16"/>
                        </w:rPr>
                        <w:t xml:space="preserve">treatment </w:t>
                      </w:r>
                      <w:r w:rsidRPr="00354D9F">
                        <w:rPr>
                          <w:sz w:val="16"/>
                        </w:rPr>
                        <w:t>cascade. The black vertical line represents t</w:t>
                      </w:r>
                      <w:r>
                        <w:rPr>
                          <w:sz w:val="16"/>
                        </w:rPr>
                        <w:t xml:space="preserve">he overdose rate in the overall </w:t>
                      </w:r>
                      <w:r w:rsidRPr="00354D9F">
                        <w:rPr>
                          <w:sz w:val="16"/>
                        </w:rPr>
                        <w:t xml:space="preserve">sample. </w:t>
                      </w:r>
                      <w:r>
                        <w:rPr>
                          <w:sz w:val="16"/>
                        </w:rPr>
                        <w:br/>
                      </w:r>
                      <w:r w:rsidRPr="00354D9F">
                        <w:rPr>
                          <w:sz w:val="16"/>
                        </w:rPr>
                        <w:t>NOKA = no other known admissions.</w:t>
                      </w:r>
                    </w:p>
                  </w:txbxContent>
                </v:textbox>
              </v:shape>
            </w:pict>
          </mc:Fallback>
        </mc:AlternateContent>
      </w:r>
      <w:r w:rsidR="003F5E94">
        <w:rPr>
          <w:rFonts w:asciiTheme="minorHAnsi" w:hAnsiTheme="minorHAnsi"/>
          <w:b/>
          <w:noProof/>
        </w:rPr>
        <w:drawing>
          <wp:inline distT="0" distB="0" distL="0" distR="0" wp14:anchorId="0907B106" wp14:editId="147DE426">
            <wp:extent cx="5105400" cy="3181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1389" cy="3191313"/>
                    </a:xfrm>
                    <a:prstGeom prst="rect">
                      <a:avLst/>
                    </a:prstGeom>
                    <a:noFill/>
                  </pic:spPr>
                </pic:pic>
              </a:graphicData>
            </a:graphic>
          </wp:inline>
        </w:drawing>
      </w:r>
    </w:p>
    <w:p w14:paraId="0BD8A8D0" w14:textId="21498078" w:rsidR="008819B8" w:rsidRPr="008819B8" w:rsidRDefault="00AF5AA7" w:rsidP="00AF5AA7">
      <w:pPr>
        <w:ind w:left="720"/>
        <w:rPr>
          <w:sz w:val="16"/>
        </w:rPr>
      </w:pPr>
      <w:r>
        <w:rPr>
          <w:sz w:val="16"/>
        </w:rPr>
        <w:t xml:space="preserve">           </w:t>
      </w:r>
      <w:r w:rsidR="003F5E94">
        <w:rPr>
          <w:sz w:val="16"/>
        </w:rPr>
        <w:t xml:space="preserve">   </w:t>
      </w:r>
      <w:r w:rsidR="00B06486">
        <w:rPr>
          <w:sz w:val="16"/>
        </w:rPr>
        <w:t xml:space="preserve"> </w:t>
      </w:r>
      <w:r>
        <w:rPr>
          <w:sz w:val="16"/>
        </w:rPr>
        <w:t xml:space="preserve">   </w:t>
      </w:r>
    </w:p>
    <w:p w14:paraId="73DE3480" w14:textId="77777777" w:rsidR="000D446E" w:rsidRDefault="000D446E" w:rsidP="00AF5AA7">
      <w:pPr>
        <w:rPr>
          <w:b/>
        </w:rPr>
      </w:pPr>
    </w:p>
    <w:p w14:paraId="2E9102F8" w14:textId="77777777" w:rsidR="000D446E" w:rsidRDefault="000D446E" w:rsidP="00AF5AA7">
      <w:pPr>
        <w:rPr>
          <w:b/>
        </w:rPr>
      </w:pPr>
    </w:p>
    <w:p w14:paraId="2F389358" w14:textId="0C652F09" w:rsidR="008819B8" w:rsidRDefault="009D0B3D" w:rsidP="006805EE">
      <w:pPr>
        <w:ind w:left="720" w:right="720"/>
      </w:pPr>
      <w:r>
        <w:rPr>
          <w:b/>
        </w:rPr>
        <w:t>Why is this Important?</w:t>
      </w:r>
      <w:r w:rsidR="0068775C">
        <w:rPr>
          <w:b/>
        </w:rPr>
        <w:t xml:space="preserve"> </w:t>
      </w:r>
      <w:r w:rsidR="00EB5791">
        <w:t xml:space="preserve">The black vertical line represents the overall overdose rate. This figure highlights the comparatively high rates of overdose at various transition points, most notable in the period between detox and post-detox. </w:t>
      </w:r>
      <w:r w:rsidR="0068775C" w:rsidRPr="00C761B4">
        <w:t>Th</w:t>
      </w:r>
      <w:r w:rsidR="0068775C">
        <w:t>ese results suggest</w:t>
      </w:r>
      <w:r w:rsidR="0068775C" w:rsidRPr="00C761B4">
        <w:t xml:space="preserve"> that interventions to reduce transition times and link individuals to subsequent care quickly may be beneficial, especially among those recently exiting detoxification.</w:t>
      </w:r>
    </w:p>
    <w:p w14:paraId="0C2BB04D" w14:textId="77777777" w:rsidR="000D446E" w:rsidRDefault="000D446E" w:rsidP="00AF5AA7"/>
    <w:p w14:paraId="0317230A" w14:textId="77777777" w:rsidR="000D446E" w:rsidRDefault="000D446E" w:rsidP="00AF5AA7"/>
    <w:p w14:paraId="2726A45E" w14:textId="77777777" w:rsidR="000D446E" w:rsidRPr="008819B8" w:rsidRDefault="000D446E" w:rsidP="00AF5AA7">
      <w:pPr>
        <w:rPr>
          <w:b/>
        </w:rPr>
      </w:pPr>
    </w:p>
    <w:p w14:paraId="28796C04" w14:textId="61D233B1" w:rsidR="00915AF5" w:rsidRDefault="004F1C41" w:rsidP="00B81BE5">
      <w:pPr>
        <w:pStyle w:val="Heading2"/>
        <w:numPr>
          <w:ilvl w:val="0"/>
          <w:numId w:val="12"/>
        </w:numPr>
      </w:pPr>
      <w:r>
        <w:lastRenderedPageBreak/>
        <w:t>Post-Surgical O</w:t>
      </w:r>
      <w:r w:rsidR="009F0E9C">
        <w:t xml:space="preserve">pioid </w:t>
      </w:r>
      <w:r>
        <w:t>P</w:t>
      </w:r>
      <w:r w:rsidR="009F0E9C">
        <w:t xml:space="preserve">rescribing </w:t>
      </w:r>
    </w:p>
    <w:p w14:paraId="58160124" w14:textId="77777777" w:rsidR="001F00C4" w:rsidRPr="001F00C4" w:rsidRDefault="001F00C4" w:rsidP="001F00C4"/>
    <w:p w14:paraId="55318F26" w14:textId="4FE47C13" w:rsidR="009F0E9C" w:rsidRPr="006805EE" w:rsidRDefault="009F0E9C" w:rsidP="008317C7">
      <w:pPr>
        <w:rPr>
          <w:rFonts w:ascii="Calibri" w:hAnsi="Calibri"/>
          <w:i/>
          <w:color w:val="000000" w:themeColor="text1"/>
        </w:rPr>
      </w:pPr>
      <w:r w:rsidRPr="006805EE">
        <w:rPr>
          <w:b/>
          <w:i/>
        </w:rPr>
        <w:t xml:space="preserve">Key Finding: </w:t>
      </w:r>
      <w:r w:rsidR="00231ED2" w:rsidRPr="006805EE">
        <w:rPr>
          <w:rFonts w:ascii="Calibri" w:hAnsi="Calibri"/>
          <w:i/>
          <w:color w:val="000000" w:themeColor="text1"/>
        </w:rPr>
        <w:t>Patients of high supply</w:t>
      </w:r>
      <w:r w:rsidR="008F4E67" w:rsidRPr="006805EE">
        <w:rPr>
          <w:rFonts w:ascii="Calibri" w:hAnsi="Calibri"/>
          <w:i/>
          <w:color w:val="000000" w:themeColor="text1"/>
        </w:rPr>
        <w:t xml:space="preserve"> (those in the top 1/3 of opioid prescribing)</w:t>
      </w:r>
      <w:r w:rsidR="00231ED2" w:rsidRPr="006805EE">
        <w:rPr>
          <w:rFonts w:ascii="Calibri" w:hAnsi="Calibri"/>
          <w:i/>
          <w:color w:val="000000" w:themeColor="text1"/>
        </w:rPr>
        <w:t xml:space="preserve"> and low supply </w:t>
      </w:r>
      <w:r w:rsidR="008F4E67" w:rsidRPr="006805EE">
        <w:rPr>
          <w:rFonts w:ascii="Calibri" w:hAnsi="Calibri"/>
          <w:i/>
          <w:color w:val="000000" w:themeColor="text1"/>
        </w:rPr>
        <w:t xml:space="preserve">(everyone else) </w:t>
      </w:r>
      <w:r w:rsidR="00231ED2" w:rsidRPr="006805EE">
        <w:rPr>
          <w:rFonts w:ascii="Calibri" w:hAnsi="Calibri"/>
          <w:i/>
          <w:color w:val="000000" w:themeColor="text1"/>
        </w:rPr>
        <w:t>medical residents</w:t>
      </w:r>
      <w:r w:rsidR="008F4E67" w:rsidRPr="006805EE">
        <w:rPr>
          <w:rStyle w:val="FootnoteReference"/>
          <w:rFonts w:ascii="Calibri" w:hAnsi="Calibri"/>
          <w:i/>
          <w:color w:val="000000" w:themeColor="text1"/>
        </w:rPr>
        <w:footnoteReference w:id="2"/>
      </w:r>
      <w:r w:rsidR="00231ED2" w:rsidRPr="006805EE">
        <w:rPr>
          <w:rFonts w:ascii="Calibri" w:hAnsi="Calibri"/>
          <w:i/>
          <w:color w:val="000000" w:themeColor="text1"/>
        </w:rPr>
        <w:t xml:space="preserve"> have comparable injuries and demographics, but the patients of “high supply residents” receive about 20 more opioid pills after their surgeries. The patients of high supply residents consequently have different patterns of opioid use in the months after surgery.</w:t>
      </w:r>
      <w:r w:rsidR="008F4E67" w:rsidRPr="006805EE">
        <w:rPr>
          <w:rFonts w:ascii="Calibri" w:hAnsi="Calibri"/>
          <w:i/>
          <w:color w:val="000000" w:themeColor="text1"/>
        </w:rPr>
        <w:t xml:space="preserve"> </w:t>
      </w:r>
    </w:p>
    <w:p w14:paraId="694D7966" w14:textId="6506B43F" w:rsidR="00231ED2" w:rsidRPr="00231ED2" w:rsidRDefault="00231ED2" w:rsidP="00AF5AA7">
      <w:pPr>
        <w:ind w:firstLine="720"/>
        <w:jc w:val="center"/>
        <w:rPr>
          <w:rFonts w:ascii="Calibri" w:eastAsia="Times New Roman" w:hAnsi="Calibri"/>
          <w:b/>
          <w:color w:val="000000" w:themeColor="text1"/>
          <w:sz w:val="24"/>
          <w:szCs w:val="24"/>
        </w:rPr>
      </w:pPr>
      <w:r w:rsidRPr="00231ED2">
        <w:rPr>
          <w:rFonts w:ascii="Calibri" w:eastAsia="Times New Roman" w:hAnsi="Calibri"/>
          <w:b/>
          <w:color w:val="000000" w:themeColor="text1"/>
          <w:sz w:val="24"/>
          <w:szCs w:val="24"/>
        </w:rPr>
        <w:t>Figure 1</w:t>
      </w:r>
      <w:r w:rsidR="00013025">
        <w:rPr>
          <w:rFonts w:ascii="Calibri" w:eastAsia="Times New Roman" w:hAnsi="Calibri"/>
          <w:b/>
          <w:color w:val="000000" w:themeColor="text1"/>
          <w:sz w:val="24"/>
          <w:szCs w:val="24"/>
        </w:rPr>
        <w:t>6</w:t>
      </w:r>
      <w:r w:rsidRPr="00231ED2">
        <w:rPr>
          <w:rFonts w:ascii="Calibri" w:eastAsia="Times New Roman" w:hAnsi="Calibri"/>
          <w:b/>
          <w:color w:val="000000" w:themeColor="text1"/>
          <w:sz w:val="24"/>
          <w:szCs w:val="24"/>
        </w:rPr>
        <w:t>: A</w:t>
      </w:r>
      <w:r w:rsidR="00B341D0">
        <w:rPr>
          <w:rFonts w:ascii="Calibri" w:eastAsia="Times New Roman" w:hAnsi="Calibri"/>
          <w:b/>
          <w:color w:val="000000" w:themeColor="text1"/>
          <w:sz w:val="24"/>
          <w:szCs w:val="24"/>
        </w:rPr>
        <w:t>verage Number of Opioid P</w:t>
      </w:r>
      <w:r w:rsidRPr="00231ED2">
        <w:rPr>
          <w:rFonts w:ascii="Calibri" w:eastAsia="Times New Roman" w:hAnsi="Calibri"/>
          <w:b/>
          <w:color w:val="000000" w:themeColor="text1"/>
          <w:sz w:val="24"/>
          <w:szCs w:val="24"/>
        </w:rPr>
        <w:t xml:space="preserve">ills </w:t>
      </w:r>
      <w:r w:rsidR="00B341D0">
        <w:rPr>
          <w:rFonts w:ascii="Calibri" w:eastAsia="Times New Roman" w:hAnsi="Calibri"/>
          <w:b/>
          <w:color w:val="000000" w:themeColor="text1"/>
          <w:sz w:val="24"/>
          <w:szCs w:val="24"/>
        </w:rPr>
        <w:t>R</w:t>
      </w:r>
      <w:r w:rsidRPr="00231ED2">
        <w:rPr>
          <w:rFonts w:ascii="Calibri" w:eastAsia="Times New Roman" w:hAnsi="Calibri"/>
          <w:b/>
          <w:color w:val="000000" w:themeColor="text1"/>
          <w:sz w:val="24"/>
          <w:szCs w:val="24"/>
        </w:rPr>
        <w:t xml:space="preserve">eceived by </w:t>
      </w:r>
      <w:r w:rsidR="00B341D0">
        <w:rPr>
          <w:rFonts w:ascii="Calibri" w:eastAsia="Times New Roman" w:hAnsi="Calibri"/>
          <w:b/>
          <w:color w:val="000000" w:themeColor="text1"/>
          <w:sz w:val="24"/>
          <w:szCs w:val="24"/>
        </w:rPr>
        <w:t>Patients of High and L</w:t>
      </w:r>
      <w:r w:rsidRPr="00231ED2">
        <w:rPr>
          <w:rFonts w:ascii="Calibri" w:eastAsia="Times New Roman" w:hAnsi="Calibri"/>
          <w:b/>
          <w:color w:val="000000" w:themeColor="text1"/>
          <w:sz w:val="24"/>
          <w:szCs w:val="24"/>
        </w:rPr>
        <w:t xml:space="preserve">ow </w:t>
      </w:r>
      <w:r>
        <w:rPr>
          <w:rFonts w:ascii="Calibri" w:eastAsia="Times New Roman" w:hAnsi="Calibri"/>
          <w:b/>
          <w:color w:val="000000" w:themeColor="text1"/>
          <w:sz w:val="24"/>
          <w:szCs w:val="24"/>
        </w:rPr>
        <w:br/>
      </w:r>
      <w:r w:rsidR="00B341D0">
        <w:rPr>
          <w:rFonts w:ascii="Calibri" w:eastAsia="Times New Roman" w:hAnsi="Calibri"/>
          <w:b/>
          <w:color w:val="000000" w:themeColor="text1"/>
          <w:sz w:val="24"/>
          <w:szCs w:val="24"/>
        </w:rPr>
        <w:t>S</w:t>
      </w:r>
      <w:r w:rsidRPr="00231ED2">
        <w:rPr>
          <w:rFonts w:ascii="Calibri" w:eastAsia="Times New Roman" w:hAnsi="Calibri"/>
          <w:b/>
          <w:color w:val="000000" w:themeColor="text1"/>
          <w:sz w:val="24"/>
          <w:szCs w:val="24"/>
        </w:rPr>
        <w:t xml:space="preserve">upply </w:t>
      </w:r>
      <w:r w:rsidR="00B341D0">
        <w:rPr>
          <w:rFonts w:ascii="Calibri" w:eastAsia="Times New Roman" w:hAnsi="Calibri"/>
          <w:b/>
          <w:color w:val="000000" w:themeColor="text1"/>
          <w:sz w:val="24"/>
          <w:szCs w:val="24"/>
        </w:rPr>
        <w:t>M</w:t>
      </w:r>
      <w:r w:rsidRPr="00231ED2">
        <w:rPr>
          <w:rFonts w:ascii="Calibri" w:eastAsia="Times New Roman" w:hAnsi="Calibri"/>
          <w:b/>
          <w:color w:val="000000" w:themeColor="text1"/>
          <w:sz w:val="24"/>
          <w:szCs w:val="24"/>
        </w:rPr>
        <w:t xml:space="preserve">edical </w:t>
      </w:r>
      <w:r w:rsidR="00B341D0">
        <w:rPr>
          <w:rFonts w:ascii="Calibri" w:eastAsia="Times New Roman" w:hAnsi="Calibri"/>
          <w:b/>
          <w:color w:val="000000" w:themeColor="text1"/>
          <w:sz w:val="24"/>
          <w:szCs w:val="24"/>
        </w:rPr>
        <w:t>R</w:t>
      </w:r>
      <w:r w:rsidRPr="00231ED2">
        <w:rPr>
          <w:rFonts w:ascii="Calibri" w:eastAsia="Times New Roman" w:hAnsi="Calibri"/>
          <w:b/>
          <w:color w:val="000000" w:themeColor="text1"/>
          <w:sz w:val="24"/>
          <w:szCs w:val="24"/>
        </w:rPr>
        <w:t>esidents</w:t>
      </w:r>
      <w:r>
        <w:rPr>
          <w:rFonts w:ascii="Calibri" w:eastAsia="Times New Roman" w:hAnsi="Calibri"/>
          <w:b/>
          <w:color w:val="000000" w:themeColor="text1"/>
          <w:sz w:val="24"/>
          <w:szCs w:val="24"/>
        </w:rPr>
        <w:t>: 2011-2015</w:t>
      </w:r>
    </w:p>
    <w:p w14:paraId="5C371AAA" w14:textId="77777777" w:rsidR="00231ED2" w:rsidRDefault="00231ED2" w:rsidP="00AF5AA7">
      <w:pPr>
        <w:jc w:val="center"/>
        <w:rPr>
          <w:rFonts w:cs="Times New Roman"/>
          <w:color w:val="333333"/>
        </w:rPr>
      </w:pPr>
      <w:r w:rsidRPr="008C4DF9">
        <w:rPr>
          <w:rFonts w:ascii="Calibri" w:hAnsi="Calibri"/>
          <w:noProof/>
          <w:color w:val="000000" w:themeColor="text1"/>
        </w:rPr>
        <w:drawing>
          <wp:inline distT="0" distB="0" distL="0" distR="0" wp14:anchorId="452DA79A" wp14:editId="0383A587">
            <wp:extent cx="6109335" cy="3433237"/>
            <wp:effectExtent l="0" t="0" r="0" b="0"/>
            <wp:docPr id="48" name="Picture 48" descr="2_Basilico_DPH_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_Basilico_DPH_Note.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19162" cy="3438760"/>
                    </a:xfrm>
                    <a:prstGeom prst="rect">
                      <a:avLst/>
                    </a:prstGeom>
                    <a:noFill/>
                    <a:ln>
                      <a:noFill/>
                    </a:ln>
                  </pic:spPr>
                </pic:pic>
              </a:graphicData>
            </a:graphic>
          </wp:inline>
        </w:drawing>
      </w:r>
    </w:p>
    <w:p w14:paraId="26C2AEA2" w14:textId="53F8704A" w:rsidR="008819B8" w:rsidRDefault="009D0B3D" w:rsidP="006805EE">
      <w:pPr>
        <w:ind w:left="720" w:right="720"/>
        <w:rPr>
          <w:rFonts w:ascii="Calibri" w:eastAsia="Times New Roman" w:hAnsi="Calibri" w:cs="Times New Roman"/>
        </w:rPr>
      </w:pPr>
      <w:r>
        <w:rPr>
          <w:b/>
          <w:bCs/>
          <w:sz w:val="23"/>
          <w:szCs w:val="23"/>
        </w:rPr>
        <w:t>Why is this Important?</w:t>
      </w:r>
      <w:r w:rsidR="00231ED2">
        <w:rPr>
          <w:b/>
          <w:bCs/>
          <w:sz w:val="23"/>
          <w:szCs w:val="23"/>
        </w:rPr>
        <w:t xml:space="preserve"> </w:t>
      </w:r>
      <w:r w:rsidR="00231ED2">
        <w:rPr>
          <w:rFonts w:ascii="Calibri" w:eastAsia="Times New Roman" w:hAnsi="Calibri"/>
          <w:color w:val="000000" w:themeColor="text1"/>
        </w:rPr>
        <w:t>T</w:t>
      </w:r>
      <w:r w:rsidR="00231ED2" w:rsidRPr="008C4DF9">
        <w:rPr>
          <w:rFonts w:ascii="Calibri" w:eastAsia="Times New Roman" w:hAnsi="Calibri"/>
          <w:color w:val="000000" w:themeColor="text1"/>
        </w:rPr>
        <w:t xml:space="preserve">he prescription quantity at discharge is crucial in determining the short-term need for re-prescription and the long-term risk of dependence for the patient. </w:t>
      </w:r>
      <w:r w:rsidR="00231ED2" w:rsidRPr="008C4DF9">
        <w:rPr>
          <w:rFonts w:ascii="Calibri" w:eastAsia="Times New Roman" w:hAnsi="Calibri" w:cs="Times New Roman"/>
        </w:rPr>
        <w:t xml:space="preserve">Policies that regulate the volume of opioid </w:t>
      </w:r>
      <w:r w:rsidR="00231ED2">
        <w:rPr>
          <w:rFonts w:ascii="Calibri" w:eastAsia="Times New Roman" w:hAnsi="Calibri" w:cs="Times New Roman"/>
        </w:rPr>
        <w:t>prescribed</w:t>
      </w:r>
      <w:r w:rsidR="00231ED2" w:rsidRPr="008C4DF9">
        <w:rPr>
          <w:rFonts w:ascii="Calibri" w:eastAsia="Times New Roman" w:hAnsi="Calibri" w:cs="Times New Roman"/>
        </w:rPr>
        <w:t xml:space="preserve"> to the newly exposed may consequently be effective at reducing long-term dependence </w:t>
      </w:r>
      <w:r w:rsidR="00231ED2">
        <w:rPr>
          <w:rFonts w:ascii="Calibri" w:eastAsia="Times New Roman" w:hAnsi="Calibri" w:cs="Times New Roman"/>
        </w:rPr>
        <w:t xml:space="preserve">in a vulnerable population. </w:t>
      </w:r>
    </w:p>
    <w:p w14:paraId="7CF899C0" w14:textId="77777777" w:rsidR="007C110A" w:rsidRDefault="007C110A" w:rsidP="00AF5AA7">
      <w:pPr>
        <w:rPr>
          <w:b/>
          <w:bCs/>
          <w:sz w:val="23"/>
          <w:szCs w:val="23"/>
        </w:rPr>
      </w:pPr>
    </w:p>
    <w:p w14:paraId="15B23294" w14:textId="77777777" w:rsidR="008819B8" w:rsidRDefault="008819B8" w:rsidP="00AF5AA7">
      <w:pPr>
        <w:rPr>
          <w:rFonts w:eastAsia="Times New Roman" w:cs="Times New Roman"/>
          <w:b/>
        </w:rPr>
      </w:pPr>
    </w:p>
    <w:p w14:paraId="7B25DB5E" w14:textId="77777777" w:rsidR="007C110A" w:rsidRDefault="007C110A" w:rsidP="00AF5AA7">
      <w:pPr>
        <w:rPr>
          <w:rFonts w:eastAsia="Times New Roman" w:cs="Times New Roman"/>
          <w:b/>
        </w:rPr>
      </w:pPr>
    </w:p>
    <w:p w14:paraId="765DA439" w14:textId="77777777" w:rsidR="007C110A" w:rsidRDefault="007C110A" w:rsidP="00AF5AA7">
      <w:pPr>
        <w:rPr>
          <w:rFonts w:eastAsia="Times New Roman" w:cs="Times New Roman"/>
          <w:b/>
        </w:rPr>
      </w:pPr>
    </w:p>
    <w:p w14:paraId="59571B74" w14:textId="77777777" w:rsidR="009E24FE" w:rsidRDefault="009E24FE" w:rsidP="00AF5AA7">
      <w:pPr>
        <w:rPr>
          <w:rFonts w:eastAsia="Times New Roman" w:cs="Times New Roman"/>
          <w:b/>
        </w:rPr>
      </w:pPr>
    </w:p>
    <w:p w14:paraId="43695A08" w14:textId="037A1E5F" w:rsidR="007C110A" w:rsidRDefault="007C110A" w:rsidP="00B81BE5">
      <w:pPr>
        <w:pStyle w:val="Heading2"/>
        <w:numPr>
          <w:ilvl w:val="0"/>
          <w:numId w:val="12"/>
        </w:numPr>
      </w:pPr>
      <w:r w:rsidRPr="007C110A">
        <w:lastRenderedPageBreak/>
        <w:t>Appendix</w:t>
      </w:r>
    </w:p>
    <w:p w14:paraId="7EEBDF93" w14:textId="77777777" w:rsidR="001F00C4" w:rsidRPr="001F00C4" w:rsidRDefault="001F00C4" w:rsidP="001F00C4"/>
    <w:p w14:paraId="60B56157" w14:textId="37C2C882" w:rsidR="007C110A" w:rsidRPr="00B81BE5" w:rsidRDefault="007C110A" w:rsidP="002221F7">
      <w:pPr>
        <w:rPr>
          <w:rFonts w:cs="Arial"/>
          <w:color w:val="000000"/>
          <w:shd w:val="clear" w:color="auto" w:fill="F0F0F0"/>
        </w:rPr>
      </w:pPr>
      <w:r w:rsidRPr="00B81BE5">
        <w:t xml:space="preserve">The results in this Data Brief </w:t>
      </w:r>
      <w:r w:rsidR="005A54FD" w:rsidRPr="00B81BE5">
        <w:t>were drawn from analy</w:t>
      </w:r>
      <w:r w:rsidR="008317C7">
        <w:t>tic projects</w:t>
      </w:r>
      <w:r w:rsidR="005A54FD" w:rsidRPr="00B81BE5">
        <w:t xml:space="preserve"> completed </w:t>
      </w:r>
      <w:r w:rsidR="008317C7">
        <w:t xml:space="preserve">by partner organizations identified through </w:t>
      </w:r>
      <w:r w:rsidR="000338BF">
        <w:t>DPH</w:t>
      </w:r>
      <w:r w:rsidR="008317C7">
        <w:t>’s</w:t>
      </w:r>
      <w:r w:rsidR="005A54FD" w:rsidRPr="00B81BE5">
        <w:t xml:space="preserve"> Notice of Opportunity</w:t>
      </w:r>
      <w:r w:rsidR="008317C7">
        <w:t xml:space="preserve"> </w:t>
      </w:r>
      <w:r w:rsidR="008317C7" w:rsidRPr="002221F7">
        <w:t>solicitations</w:t>
      </w:r>
      <w:r w:rsidR="005A54FD" w:rsidRPr="002221F7">
        <w:t xml:space="preserve">. </w:t>
      </w:r>
      <w:r w:rsidR="005A54FD" w:rsidRPr="002221F7">
        <w:rPr>
          <w:rFonts w:cs="Arial"/>
          <w:color w:val="000000"/>
          <w:shd w:val="clear" w:color="auto" w:fill="F0F0F0"/>
        </w:rPr>
        <w:t xml:space="preserve"> </w:t>
      </w:r>
      <w:r w:rsidR="008317C7" w:rsidRPr="002221F7">
        <w:rPr>
          <w:rFonts w:cs="Arial"/>
          <w:color w:val="000000"/>
          <w:shd w:val="clear" w:color="auto" w:fill="F0F0F0"/>
        </w:rPr>
        <w:t xml:space="preserve">These </w:t>
      </w:r>
      <w:r w:rsidR="00BB3074" w:rsidRPr="002221F7">
        <w:rPr>
          <w:rFonts w:cs="Arial"/>
          <w:color w:val="000000"/>
          <w:shd w:val="clear" w:color="auto" w:fill="F0F0F0"/>
        </w:rPr>
        <w:t xml:space="preserve">projects </w:t>
      </w:r>
      <w:r w:rsidR="008317C7" w:rsidRPr="002221F7">
        <w:rPr>
          <w:rFonts w:cs="Arial"/>
          <w:color w:val="000000"/>
          <w:shd w:val="clear" w:color="auto" w:fill="F0F0F0"/>
        </w:rPr>
        <w:t xml:space="preserve">were conducted </w:t>
      </w:r>
      <w:r w:rsidR="00BB3074" w:rsidRPr="002221F7">
        <w:rPr>
          <w:rFonts w:cs="Arial"/>
          <w:color w:val="000000"/>
          <w:shd w:val="clear" w:color="auto" w:fill="F0F0F0"/>
        </w:rPr>
        <w:t xml:space="preserve">on behalf of DPH with guidance and technical assistance from DPH staff. </w:t>
      </w:r>
      <w:r w:rsidR="005A54FD" w:rsidRPr="002221F7">
        <w:rPr>
          <w:rFonts w:cs="Arial"/>
          <w:color w:val="000000"/>
          <w:shd w:val="clear" w:color="auto" w:fill="F0F0F0"/>
        </w:rPr>
        <w:t>No funds were awarded by the Department</w:t>
      </w:r>
      <w:r w:rsidR="008317C7" w:rsidRPr="002221F7">
        <w:rPr>
          <w:rFonts w:cs="Arial"/>
          <w:color w:val="000000"/>
          <w:shd w:val="clear" w:color="auto" w:fill="F0F0F0"/>
        </w:rPr>
        <w:t xml:space="preserve"> for these projects</w:t>
      </w:r>
      <w:r w:rsidR="005A54FD" w:rsidRPr="002221F7">
        <w:rPr>
          <w:rFonts w:cs="Arial"/>
          <w:color w:val="000000"/>
          <w:shd w:val="clear" w:color="auto" w:fill="F0F0F0"/>
        </w:rPr>
        <w:t>.</w:t>
      </w:r>
      <w:r w:rsidR="005A54FD" w:rsidRPr="00B81BE5">
        <w:rPr>
          <w:rFonts w:cs="Arial"/>
          <w:color w:val="000000"/>
          <w:shd w:val="clear" w:color="auto" w:fill="F0F0F0"/>
        </w:rPr>
        <w:t xml:space="preserve"> </w:t>
      </w:r>
    </w:p>
    <w:p w14:paraId="0A839673" w14:textId="62C72A5D" w:rsidR="005A54FD" w:rsidRPr="00B81BE5" w:rsidRDefault="005A54FD" w:rsidP="005A54FD">
      <w:pPr>
        <w:rPr>
          <w:b/>
        </w:rPr>
      </w:pPr>
      <w:r w:rsidRPr="00B81BE5">
        <w:rPr>
          <w:b/>
        </w:rPr>
        <w:t>Postpartum Opioid Overdoses</w:t>
      </w:r>
      <w:r w:rsidR="00BB3074" w:rsidRPr="00B81BE5">
        <w:rPr>
          <w:b/>
        </w:rPr>
        <w:br/>
      </w:r>
      <w:r w:rsidR="00BB3074" w:rsidRPr="00B81BE5">
        <w:t>University of Sydney</w:t>
      </w:r>
      <w:r w:rsidR="00937161" w:rsidRPr="00B81BE5">
        <w:t xml:space="preserve">: </w:t>
      </w:r>
      <w:r w:rsidRPr="00B81BE5">
        <w:t>Tim Nielsen</w:t>
      </w:r>
      <w:r w:rsidR="00937161" w:rsidRPr="00B81BE5">
        <w:t xml:space="preserve"> </w:t>
      </w:r>
      <w:r w:rsidR="00937161" w:rsidRPr="00B81BE5">
        <w:br/>
        <w:t>Virginia Commonwealth University: Mishka Terplan</w:t>
      </w:r>
      <w:r w:rsidR="00937161" w:rsidRPr="00B81BE5">
        <w:br/>
        <w:t>Massachusetts General Hospital: Sarah Wakeman, Amy Yule, Elise Tavares, Timothy Wilens, Davida Schiff</w:t>
      </w:r>
      <w:r w:rsidR="00937161" w:rsidRPr="00B81BE5">
        <w:br/>
        <w:t>Louisiana State University Health Sciences Center: Pooja Mehta</w:t>
      </w:r>
      <w:r w:rsidRPr="00B81BE5">
        <w:t xml:space="preserve"> </w:t>
      </w:r>
    </w:p>
    <w:p w14:paraId="6A2DB763" w14:textId="22AF4FDD" w:rsidR="00937161" w:rsidRPr="00B81BE5" w:rsidRDefault="00937161" w:rsidP="005A54FD">
      <w:pPr>
        <w:rPr>
          <w:b/>
        </w:rPr>
      </w:pPr>
      <w:r w:rsidRPr="00B81BE5">
        <w:rPr>
          <w:b/>
        </w:rPr>
        <w:t>Populations</w:t>
      </w:r>
      <w:r w:rsidR="00BB3074" w:rsidRPr="00B81BE5">
        <w:rPr>
          <w:b/>
        </w:rPr>
        <w:t xml:space="preserve"> at Risk: Homeless Individuals </w:t>
      </w:r>
      <w:r w:rsidRPr="00B81BE5">
        <w:br/>
        <w:t>Boston Medical Center: Marc Larochelle, Alex Walley, Ryan Bernstein</w:t>
      </w:r>
      <w:r w:rsidRPr="00B81BE5">
        <w:br/>
        <w:t>Boston University: Tom Byrne</w:t>
      </w:r>
    </w:p>
    <w:p w14:paraId="5150E48E" w14:textId="5E3440DE" w:rsidR="00937161" w:rsidRPr="00B81BE5" w:rsidRDefault="00937161" w:rsidP="00937161">
      <w:pPr>
        <w:rPr>
          <w:b/>
        </w:rPr>
      </w:pPr>
      <w:r w:rsidRPr="00B81BE5">
        <w:rPr>
          <w:b/>
        </w:rPr>
        <w:t xml:space="preserve">Populations at Risk: Homeless and Criminal Justice Involved MassHealth Members </w:t>
      </w:r>
      <w:r w:rsidRPr="00B81BE5">
        <w:br/>
        <w:t>UMASS Medical School: Judy Savageau, Melissa Brindisi, Parag Kunte, Enid Velez, Faye Miller, Laura Sefton</w:t>
      </w:r>
      <w:r w:rsidRPr="00B81BE5">
        <w:br/>
        <w:t xml:space="preserve">MassHealth: Stephanie Brown, Adam Stoler, Peg Harvey </w:t>
      </w:r>
    </w:p>
    <w:p w14:paraId="1778B0D3" w14:textId="2171C6DB" w:rsidR="00A15D90" w:rsidRPr="00B81BE5" w:rsidRDefault="00937161" w:rsidP="00937161">
      <w:pPr>
        <w:rPr>
          <w:b/>
        </w:rPr>
      </w:pPr>
      <w:r w:rsidRPr="00B81BE5">
        <w:rPr>
          <w:b/>
        </w:rPr>
        <w:t>Populations at Risk: Veterans with a History of Homelessness or Incarceration</w:t>
      </w:r>
      <w:r w:rsidRPr="00B81BE5">
        <w:br/>
      </w:r>
      <w:r w:rsidRPr="00B81BE5">
        <w:rPr>
          <w:rFonts w:cs="Arial"/>
          <w:bCs/>
          <w:shd w:val="clear" w:color="auto" w:fill="FFFFFF"/>
        </w:rPr>
        <w:t xml:space="preserve">Edith </w:t>
      </w:r>
      <w:proofErr w:type="spellStart"/>
      <w:r w:rsidRPr="00B81BE5">
        <w:rPr>
          <w:rFonts w:cs="Arial"/>
          <w:bCs/>
          <w:shd w:val="clear" w:color="auto" w:fill="FFFFFF"/>
        </w:rPr>
        <w:t>Nourse</w:t>
      </w:r>
      <w:proofErr w:type="spellEnd"/>
      <w:r w:rsidRPr="00B81BE5">
        <w:rPr>
          <w:rFonts w:cs="Arial"/>
          <w:bCs/>
          <w:shd w:val="clear" w:color="auto" w:fill="FFFFFF"/>
        </w:rPr>
        <w:t xml:space="preserve"> Rogers Memorial Veterans Hospital: Guneet Jasuja, </w:t>
      </w:r>
      <w:r w:rsidR="00A15D90" w:rsidRPr="00B81BE5">
        <w:rPr>
          <w:rFonts w:cs="Arial"/>
          <w:bCs/>
          <w:shd w:val="clear" w:color="auto" w:fill="FFFFFF"/>
        </w:rPr>
        <w:t>David Smelson, Dan Berlowitz, Megan McCullough, Donald Miller</w:t>
      </w:r>
      <w:r w:rsidR="00A15D90" w:rsidRPr="00B81BE5">
        <w:rPr>
          <w:rFonts w:cs="Arial"/>
          <w:bCs/>
          <w:shd w:val="clear" w:color="auto" w:fill="FFFFFF"/>
        </w:rPr>
        <w:br/>
        <w:t>Boston University: Adam Rose, Tom Byrne</w:t>
      </w:r>
    </w:p>
    <w:p w14:paraId="4324403B" w14:textId="4E8A69CB" w:rsidR="00A15D90" w:rsidRPr="00B81BE5" w:rsidRDefault="00A15D90" w:rsidP="00BB3074">
      <w:r w:rsidRPr="00B81BE5">
        <w:rPr>
          <w:b/>
        </w:rPr>
        <w:t>Racial and Geographic Disparities</w:t>
      </w:r>
      <w:r w:rsidRPr="00B81BE5">
        <w:br/>
        <w:t>Boston Public Health Commission: Dan Dooley, Amar Mehta, Johnna Murphy</w:t>
      </w:r>
      <w:r w:rsidR="00275761">
        <w:t xml:space="preserve">, </w:t>
      </w:r>
      <w:proofErr w:type="gramStart"/>
      <w:r w:rsidR="00275761">
        <w:t>Roy Wada</w:t>
      </w:r>
      <w:r w:rsidR="00013025">
        <w:br/>
      </w:r>
      <w:r w:rsidRPr="00B81BE5">
        <w:t>Northeastern</w:t>
      </w:r>
      <w:proofErr w:type="gramEnd"/>
      <w:r w:rsidRPr="00B81BE5">
        <w:t xml:space="preserve"> University: John Griffith</w:t>
      </w:r>
    </w:p>
    <w:p w14:paraId="7627298B" w14:textId="37DE2944" w:rsidR="00A15D90" w:rsidRPr="00B81BE5" w:rsidRDefault="00A15D90" w:rsidP="00A15D90">
      <w:pPr>
        <w:rPr>
          <w:b/>
        </w:rPr>
      </w:pPr>
      <w:r w:rsidRPr="00B81BE5">
        <w:rPr>
          <w:b/>
        </w:rPr>
        <w:t xml:space="preserve">Polysubstance Opioid Overdoses </w:t>
      </w:r>
      <w:r w:rsidRPr="00B81BE5">
        <w:br/>
        <w:t xml:space="preserve">Boston Medical Center: Joshua Barocas, </w:t>
      </w:r>
      <w:r w:rsidRPr="00B81BE5">
        <w:rPr>
          <w:rFonts w:cs="Arial"/>
        </w:rPr>
        <w:t xml:space="preserve">Jianing Wang, Marc Larochelle, Benjamin Linas, </w:t>
      </w:r>
      <w:proofErr w:type="gramStart"/>
      <w:r w:rsidR="00013025" w:rsidRPr="00013025">
        <w:rPr>
          <w:rFonts w:cs="Arial"/>
        </w:rPr>
        <w:t>Alexander</w:t>
      </w:r>
      <w:proofErr w:type="gramEnd"/>
      <w:r w:rsidRPr="00B81BE5">
        <w:rPr>
          <w:rFonts w:cs="Arial"/>
        </w:rPr>
        <w:t xml:space="preserve"> Walley</w:t>
      </w:r>
      <w:r w:rsidRPr="00B81BE5">
        <w:rPr>
          <w:rFonts w:cs="Arial"/>
        </w:rPr>
        <w:br/>
        <w:t xml:space="preserve">Brown University: Brandon Marshall, Curt Beckwith </w:t>
      </w:r>
    </w:p>
    <w:p w14:paraId="34A7B209" w14:textId="7F607B09" w:rsidR="00A15D90" w:rsidRPr="00B81BE5" w:rsidRDefault="00CC5CB4" w:rsidP="00A15D90">
      <w:r w:rsidRPr="00B81BE5">
        <w:rPr>
          <w:rStyle w:val="Heading2Char"/>
          <w:rFonts w:asciiTheme="minorHAnsi" w:hAnsiTheme="minorHAnsi"/>
          <w:color w:val="auto"/>
          <w:sz w:val="22"/>
          <w:szCs w:val="22"/>
        </w:rPr>
        <w:t>The Inpatient Substance Use Disorder Treatment Cascade</w:t>
      </w:r>
      <w:r w:rsidRPr="00B81BE5">
        <w:br/>
        <w:t xml:space="preserve">Boston Medical Center: Jake Morgan, Jianing Wang, Joshua Barocas, Alexander Walley, </w:t>
      </w:r>
      <w:proofErr w:type="gramStart"/>
      <w:r w:rsidR="00013025" w:rsidRPr="00013025">
        <w:t>Benjamin</w:t>
      </w:r>
      <w:proofErr w:type="gramEnd"/>
      <w:r w:rsidRPr="00B81BE5">
        <w:t xml:space="preserve"> Linas</w:t>
      </w:r>
      <w:r w:rsidRPr="00B81BE5">
        <w:br/>
        <w:t>Boston Public Health Commission: Jennifer Jaeger</w:t>
      </w:r>
    </w:p>
    <w:p w14:paraId="5D47FD93" w14:textId="583D6089" w:rsidR="005A54FD" w:rsidRPr="00B81BE5" w:rsidRDefault="008C5299" w:rsidP="00937161">
      <w:pPr>
        <w:rPr>
          <w:b/>
        </w:rPr>
      </w:pPr>
      <w:r w:rsidRPr="00B81BE5">
        <w:rPr>
          <w:b/>
        </w:rPr>
        <w:t xml:space="preserve">Post-Surgical Opioid Prescribing </w:t>
      </w:r>
      <w:r w:rsidRPr="00B81BE5">
        <w:br/>
      </w:r>
      <w:r w:rsidR="005D58A8" w:rsidRPr="00B81BE5">
        <w:t xml:space="preserve">Harvard University: Matthew Basilico, Abhiram Bhashyam, Emma Harrington, </w:t>
      </w:r>
      <w:proofErr w:type="gramStart"/>
      <w:r w:rsidR="005D58A8" w:rsidRPr="00B81BE5">
        <w:t>Michael</w:t>
      </w:r>
      <w:proofErr w:type="gramEnd"/>
      <w:r w:rsidR="005D58A8" w:rsidRPr="00B81BE5">
        <w:t xml:space="preserve"> McWilliams</w:t>
      </w:r>
      <w:r w:rsidR="005D58A8" w:rsidRPr="00B81BE5">
        <w:br/>
        <w:t>Massachusetts General Hospital: Marilyn Heng</w:t>
      </w:r>
    </w:p>
    <w:sectPr w:rsidR="005A54FD" w:rsidRPr="00B81BE5" w:rsidSect="004127B9">
      <w:foot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12505" w14:textId="77777777" w:rsidR="009E1FE5" w:rsidRDefault="009E1FE5" w:rsidP="00B124C8">
      <w:pPr>
        <w:spacing w:after="0" w:line="240" w:lineRule="auto"/>
      </w:pPr>
      <w:r>
        <w:separator/>
      </w:r>
    </w:p>
  </w:endnote>
  <w:endnote w:type="continuationSeparator" w:id="0">
    <w:p w14:paraId="3ED76AAE" w14:textId="77777777" w:rsidR="009E1FE5" w:rsidRDefault="009E1FE5" w:rsidP="00B12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820460"/>
      <w:docPartObj>
        <w:docPartGallery w:val="Page Numbers (Bottom of Page)"/>
        <w:docPartUnique/>
      </w:docPartObj>
    </w:sdtPr>
    <w:sdtEndPr>
      <w:rPr>
        <w:noProof/>
      </w:rPr>
    </w:sdtEndPr>
    <w:sdtContent>
      <w:p w14:paraId="0E48443E" w14:textId="2B8E8FDD" w:rsidR="00C04FE4" w:rsidRDefault="00C04FE4">
        <w:pPr>
          <w:pStyle w:val="Footer"/>
          <w:jc w:val="right"/>
        </w:pPr>
        <w:r>
          <w:fldChar w:fldCharType="begin"/>
        </w:r>
        <w:r>
          <w:instrText xml:space="preserve"> PAGE   \* MERGEFORMAT </w:instrText>
        </w:r>
        <w:r>
          <w:fldChar w:fldCharType="separate"/>
        </w:r>
        <w:r w:rsidR="00705A00">
          <w:rPr>
            <w:noProof/>
          </w:rPr>
          <w:t>7</w:t>
        </w:r>
        <w:r>
          <w:rPr>
            <w:noProof/>
          </w:rPr>
          <w:fldChar w:fldCharType="end"/>
        </w:r>
      </w:p>
    </w:sdtContent>
  </w:sdt>
  <w:p w14:paraId="056EC509" w14:textId="77777777" w:rsidR="00C04FE4" w:rsidRDefault="00C04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6F5D3" w14:textId="77777777" w:rsidR="009E1FE5" w:rsidRDefault="009E1FE5" w:rsidP="00B124C8">
      <w:pPr>
        <w:spacing w:after="0" w:line="240" w:lineRule="auto"/>
      </w:pPr>
      <w:r>
        <w:separator/>
      </w:r>
    </w:p>
  </w:footnote>
  <w:footnote w:type="continuationSeparator" w:id="0">
    <w:p w14:paraId="212E97E5" w14:textId="77777777" w:rsidR="009E1FE5" w:rsidRDefault="009E1FE5" w:rsidP="00B124C8">
      <w:pPr>
        <w:spacing w:after="0" w:line="240" w:lineRule="auto"/>
      </w:pPr>
      <w:r>
        <w:continuationSeparator/>
      </w:r>
    </w:p>
  </w:footnote>
  <w:footnote w:id="1">
    <w:p w14:paraId="0C33487D" w14:textId="79541FCC" w:rsidR="00C04FE4" w:rsidRPr="000D446E" w:rsidRDefault="00C04FE4">
      <w:pPr>
        <w:pStyle w:val="FootnoteText"/>
      </w:pPr>
      <w:r w:rsidRPr="000D446E">
        <w:rPr>
          <w:rStyle w:val="FootnoteReference"/>
        </w:rPr>
        <w:footnoteRef/>
      </w:r>
      <w:r w:rsidRPr="000D446E">
        <w:t xml:space="preserve"> </w:t>
      </w:r>
      <w:r w:rsidRPr="000D446E">
        <w:rPr>
          <w:rFonts w:cs="Times New Roman"/>
        </w:rPr>
        <w:t xml:space="preserve">Inpatient treatment for substance use disorders has been standardized as a succession of steps from acute detoxification to long-term residential or “cascade” </w:t>
      </w:r>
    </w:p>
  </w:footnote>
  <w:footnote w:id="2">
    <w:p w14:paraId="0B78D406" w14:textId="76095570" w:rsidR="00C04FE4" w:rsidRPr="008F4E67" w:rsidRDefault="00C04FE4">
      <w:pPr>
        <w:pStyle w:val="FootnoteText"/>
      </w:pPr>
      <w:r w:rsidRPr="008F4E67">
        <w:rPr>
          <w:rStyle w:val="FootnoteReference"/>
        </w:rPr>
        <w:footnoteRef/>
      </w:r>
      <w:r w:rsidRPr="008F4E67">
        <w:t xml:space="preserve"> Medical residents are </w:t>
      </w:r>
      <w:r w:rsidRPr="008F4E67">
        <w:rPr>
          <w:rFonts w:cs="Arial"/>
          <w:color w:val="222222"/>
          <w:shd w:val="clear" w:color="auto" w:fill="FFFFFF"/>
        </w:rPr>
        <w:t xml:space="preserve">qualified physicians </w:t>
      </w:r>
      <w:r>
        <w:rPr>
          <w:rFonts w:cs="Arial"/>
          <w:color w:val="222222"/>
          <w:shd w:val="clear" w:color="auto" w:fill="FFFFFF"/>
        </w:rPr>
        <w:t xml:space="preserve">who have passed their medical boards and </w:t>
      </w:r>
      <w:r w:rsidRPr="008F4E67">
        <w:rPr>
          <w:rFonts w:cs="Arial"/>
          <w:color w:val="222222"/>
          <w:shd w:val="clear" w:color="auto" w:fill="FFFFFF"/>
        </w:rPr>
        <w:t>who practice medicine under the direct or indirect supervision of a senior clinician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76F9"/>
    <w:multiLevelType w:val="hybridMultilevel"/>
    <w:tmpl w:val="22A6A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C3A02"/>
    <w:multiLevelType w:val="hybridMultilevel"/>
    <w:tmpl w:val="D83E7C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74B89"/>
    <w:multiLevelType w:val="hybridMultilevel"/>
    <w:tmpl w:val="D83E7C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E4AA9"/>
    <w:multiLevelType w:val="hybridMultilevel"/>
    <w:tmpl w:val="EF60DD3A"/>
    <w:lvl w:ilvl="0" w:tplc="325EAC1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B6690"/>
    <w:multiLevelType w:val="hybridMultilevel"/>
    <w:tmpl w:val="0EE253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22235"/>
    <w:multiLevelType w:val="hybridMultilevel"/>
    <w:tmpl w:val="F364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F339B1"/>
    <w:multiLevelType w:val="hybridMultilevel"/>
    <w:tmpl w:val="D83E7C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3F4567"/>
    <w:multiLevelType w:val="hybridMultilevel"/>
    <w:tmpl w:val="D83E7C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E70DA"/>
    <w:multiLevelType w:val="hybridMultilevel"/>
    <w:tmpl w:val="4782B1F0"/>
    <w:lvl w:ilvl="0" w:tplc="76EE09D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8B135D"/>
    <w:multiLevelType w:val="hybridMultilevel"/>
    <w:tmpl w:val="D83E7C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303D84"/>
    <w:multiLevelType w:val="hybridMultilevel"/>
    <w:tmpl w:val="EF6832C8"/>
    <w:lvl w:ilvl="0" w:tplc="2CB80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216241"/>
    <w:multiLevelType w:val="hybridMultilevel"/>
    <w:tmpl w:val="B4C45FBC"/>
    <w:lvl w:ilvl="0" w:tplc="AE2A0706">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043039"/>
    <w:multiLevelType w:val="hybridMultilevel"/>
    <w:tmpl w:val="D83E7C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386862"/>
    <w:multiLevelType w:val="hybridMultilevel"/>
    <w:tmpl w:val="F5EE4D14"/>
    <w:lvl w:ilvl="0" w:tplc="8A1A8E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EA0B2B"/>
    <w:multiLevelType w:val="hybridMultilevel"/>
    <w:tmpl w:val="A40A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83940"/>
    <w:multiLevelType w:val="hybridMultilevel"/>
    <w:tmpl w:val="0D34FF2C"/>
    <w:lvl w:ilvl="0" w:tplc="D848C4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456F32"/>
    <w:multiLevelType w:val="hybridMultilevel"/>
    <w:tmpl w:val="D83E7C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1C7E9E"/>
    <w:multiLevelType w:val="hybridMultilevel"/>
    <w:tmpl w:val="A99EBC0A"/>
    <w:lvl w:ilvl="0" w:tplc="530C66FE">
      <w:start w:val="1"/>
      <w:numFmt w:val="decimal"/>
      <w:lvlText w:val="%1."/>
      <w:lvlJc w:val="left"/>
      <w:pPr>
        <w:ind w:left="720" w:hanging="360"/>
      </w:pPr>
      <w:rPr>
        <w:rFonts w:asciiTheme="minorHAnsi" w:eastAsiaTheme="minorHAnsi" w:hAnsi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F15F81"/>
    <w:multiLevelType w:val="hybridMultilevel"/>
    <w:tmpl w:val="81AE9080"/>
    <w:lvl w:ilvl="0" w:tplc="5614A828">
      <w:start w:val="1"/>
      <w:numFmt w:val="decimal"/>
      <w:lvlText w:val="%1."/>
      <w:lvlJc w:val="left"/>
      <w:pPr>
        <w:ind w:left="720" w:hanging="360"/>
      </w:pPr>
      <w:rPr>
        <w:rFonts w:ascii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E55B72"/>
    <w:multiLevelType w:val="hybridMultilevel"/>
    <w:tmpl w:val="D83E7C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0"/>
  </w:num>
  <w:num w:numId="4">
    <w:abstractNumId w:val="13"/>
  </w:num>
  <w:num w:numId="5">
    <w:abstractNumId w:val="8"/>
  </w:num>
  <w:num w:numId="6">
    <w:abstractNumId w:val="15"/>
  </w:num>
  <w:num w:numId="7">
    <w:abstractNumId w:val="10"/>
  </w:num>
  <w:num w:numId="8">
    <w:abstractNumId w:val="3"/>
  </w:num>
  <w:num w:numId="9">
    <w:abstractNumId w:val="11"/>
  </w:num>
  <w:num w:numId="10">
    <w:abstractNumId w:val="18"/>
  </w:num>
  <w:num w:numId="11">
    <w:abstractNumId w:val="17"/>
  </w:num>
  <w:num w:numId="12">
    <w:abstractNumId w:val="4"/>
  </w:num>
  <w:num w:numId="13">
    <w:abstractNumId w:val="6"/>
  </w:num>
  <w:num w:numId="14">
    <w:abstractNumId w:val="16"/>
  </w:num>
  <w:num w:numId="15">
    <w:abstractNumId w:val="9"/>
  </w:num>
  <w:num w:numId="16">
    <w:abstractNumId w:val="19"/>
  </w:num>
  <w:num w:numId="17">
    <w:abstractNumId w:val="7"/>
  </w:num>
  <w:num w:numId="18">
    <w:abstractNumId w:val="1"/>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ada2d01-eb29-4897-b6de-424442d61ce6"/>
  </w:docVars>
  <w:rsids>
    <w:rsidRoot w:val="00427173"/>
    <w:rsid w:val="000120AE"/>
    <w:rsid w:val="00013025"/>
    <w:rsid w:val="000338BF"/>
    <w:rsid w:val="000361FE"/>
    <w:rsid w:val="00053986"/>
    <w:rsid w:val="00067759"/>
    <w:rsid w:val="00074FE7"/>
    <w:rsid w:val="0008762C"/>
    <w:rsid w:val="0009378F"/>
    <w:rsid w:val="000D197E"/>
    <w:rsid w:val="000D446E"/>
    <w:rsid w:val="000D45E5"/>
    <w:rsid w:val="001201F4"/>
    <w:rsid w:val="001304FF"/>
    <w:rsid w:val="001C02E3"/>
    <w:rsid w:val="001C69EE"/>
    <w:rsid w:val="001C7066"/>
    <w:rsid w:val="001F00C4"/>
    <w:rsid w:val="002221F7"/>
    <w:rsid w:val="00231ED2"/>
    <w:rsid w:val="0024244E"/>
    <w:rsid w:val="00260346"/>
    <w:rsid w:val="00261DE7"/>
    <w:rsid w:val="00275761"/>
    <w:rsid w:val="00296A48"/>
    <w:rsid w:val="002D6F12"/>
    <w:rsid w:val="002F0705"/>
    <w:rsid w:val="00342EA0"/>
    <w:rsid w:val="00375928"/>
    <w:rsid w:val="00384B38"/>
    <w:rsid w:val="00390277"/>
    <w:rsid w:val="003A393C"/>
    <w:rsid w:val="003A572C"/>
    <w:rsid w:val="003A5E32"/>
    <w:rsid w:val="003C01A0"/>
    <w:rsid w:val="003E5920"/>
    <w:rsid w:val="003E62AD"/>
    <w:rsid w:val="003F5E94"/>
    <w:rsid w:val="004127B9"/>
    <w:rsid w:val="00422884"/>
    <w:rsid w:val="00425BCF"/>
    <w:rsid w:val="00427173"/>
    <w:rsid w:val="004872B9"/>
    <w:rsid w:val="004A4C63"/>
    <w:rsid w:val="004F1C41"/>
    <w:rsid w:val="004F2399"/>
    <w:rsid w:val="00515B86"/>
    <w:rsid w:val="00527080"/>
    <w:rsid w:val="00545E98"/>
    <w:rsid w:val="0058031C"/>
    <w:rsid w:val="005966EF"/>
    <w:rsid w:val="005A54FD"/>
    <w:rsid w:val="005A646E"/>
    <w:rsid w:val="005D58A8"/>
    <w:rsid w:val="005F60AD"/>
    <w:rsid w:val="006562DD"/>
    <w:rsid w:val="006563C2"/>
    <w:rsid w:val="00673C2C"/>
    <w:rsid w:val="006805EE"/>
    <w:rsid w:val="00681616"/>
    <w:rsid w:val="0068775C"/>
    <w:rsid w:val="006B2B66"/>
    <w:rsid w:val="006B4931"/>
    <w:rsid w:val="006C4ACC"/>
    <w:rsid w:val="006D5A3E"/>
    <w:rsid w:val="006E5843"/>
    <w:rsid w:val="00705A00"/>
    <w:rsid w:val="00706BE7"/>
    <w:rsid w:val="007144BF"/>
    <w:rsid w:val="007149B5"/>
    <w:rsid w:val="00742086"/>
    <w:rsid w:val="007747AF"/>
    <w:rsid w:val="007C110A"/>
    <w:rsid w:val="007D65B8"/>
    <w:rsid w:val="007D751A"/>
    <w:rsid w:val="00807EBA"/>
    <w:rsid w:val="008317C7"/>
    <w:rsid w:val="008819B8"/>
    <w:rsid w:val="008920AD"/>
    <w:rsid w:val="00895504"/>
    <w:rsid w:val="008A109E"/>
    <w:rsid w:val="008A26B9"/>
    <w:rsid w:val="008B01BB"/>
    <w:rsid w:val="008C5299"/>
    <w:rsid w:val="008F4E67"/>
    <w:rsid w:val="00915AF5"/>
    <w:rsid w:val="00924DFF"/>
    <w:rsid w:val="00937161"/>
    <w:rsid w:val="00983BC2"/>
    <w:rsid w:val="00996DB0"/>
    <w:rsid w:val="009B5BF7"/>
    <w:rsid w:val="009C36BD"/>
    <w:rsid w:val="009D0B3D"/>
    <w:rsid w:val="009D50A1"/>
    <w:rsid w:val="009D7C95"/>
    <w:rsid w:val="009E1FE5"/>
    <w:rsid w:val="009E24FE"/>
    <w:rsid w:val="009F0E9C"/>
    <w:rsid w:val="00A12A9F"/>
    <w:rsid w:val="00A1361B"/>
    <w:rsid w:val="00A15D90"/>
    <w:rsid w:val="00A33EFB"/>
    <w:rsid w:val="00A40FF8"/>
    <w:rsid w:val="00A630A2"/>
    <w:rsid w:val="00A67EF9"/>
    <w:rsid w:val="00AA783A"/>
    <w:rsid w:val="00AB774D"/>
    <w:rsid w:val="00AF5AA7"/>
    <w:rsid w:val="00B06486"/>
    <w:rsid w:val="00B124C8"/>
    <w:rsid w:val="00B135F4"/>
    <w:rsid w:val="00B13DFE"/>
    <w:rsid w:val="00B26188"/>
    <w:rsid w:val="00B341D0"/>
    <w:rsid w:val="00B37A3C"/>
    <w:rsid w:val="00B52B6A"/>
    <w:rsid w:val="00B5435B"/>
    <w:rsid w:val="00B564A7"/>
    <w:rsid w:val="00B81BE5"/>
    <w:rsid w:val="00BA458F"/>
    <w:rsid w:val="00BB3074"/>
    <w:rsid w:val="00BD2DBC"/>
    <w:rsid w:val="00BD6F05"/>
    <w:rsid w:val="00BF5E58"/>
    <w:rsid w:val="00BF7AB6"/>
    <w:rsid w:val="00C04FE4"/>
    <w:rsid w:val="00C127BF"/>
    <w:rsid w:val="00C13F2A"/>
    <w:rsid w:val="00C260E2"/>
    <w:rsid w:val="00C450FF"/>
    <w:rsid w:val="00C60CCF"/>
    <w:rsid w:val="00C6392E"/>
    <w:rsid w:val="00C91349"/>
    <w:rsid w:val="00C9461C"/>
    <w:rsid w:val="00CA2793"/>
    <w:rsid w:val="00CC5CB4"/>
    <w:rsid w:val="00CC62F0"/>
    <w:rsid w:val="00CC7D90"/>
    <w:rsid w:val="00CD563C"/>
    <w:rsid w:val="00CE6444"/>
    <w:rsid w:val="00CF69BA"/>
    <w:rsid w:val="00D16956"/>
    <w:rsid w:val="00D233D1"/>
    <w:rsid w:val="00D4170B"/>
    <w:rsid w:val="00D50EEF"/>
    <w:rsid w:val="00D64204"/>
    <w:rsid w:val="00D72FFB"/>
    <w:rsid w:val="00D80727"/>
    <w:rsid w:val="00D879E4"/>
    <w:rsid w:val="00D97914"/>
    <w:rsid w:val="00DB63DE"/>
    <w:rsid w:val="00DC0EE5"/>
    <w:rsid w:val="00E01EFB"/>
    <w:rsid w:val="00E231F7"/>
    <w:rsid w:val="00E44D97"/>
    <w:rsid w:val="00EA4DA8"/>
    <w:rsid w:val="00EA7CFC"/>
    <w:rsid w:val="00EB258E"/>
    <w:rsid w:val="00EB5791"/>
    <w:rsid w:val="00ED421D"/>
    <w:rsid w:val="00F4400D"/>
    <w:rsid w:val="00F520F0"/>
    <w:rsid w:val="00F97C9E"/>
    <w:rsid w:val="00FA2274"/>
    <w:rsid w:val="00FF40A9"/>
    <w:rsid w:val="00FF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4D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71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71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27173"/>
    <w:pPr>
      <w:spacing w:after="0" w:line="240" w:lineRule="auto"/>
    </w:pPr>
    <w:rPr>
      <w:rFonts w:ascii="Arial" w:eastAsia="Times New Roman" w:hAnsi="Arial" w:cs="Arial"/>
      <w:sz w:val="24"/>
      <w:szCs w:val="24"/>
    </w:rPr>
  </w:style>
  <w:style w:type="character" w:customStyle="1" w:styleId="CommentTextChar">
    <w:name w:val="Comment Text Char"/>
    <w:basedOn w:val="DefaultParagraphFont"/>
    <w:link w:val="CommentText"/>
    <w:uiPriority w:val="99"/>
    <w:rsid w:val="00427173"/>
    <w:rPr>
      <w:rFonts w:ascii="Arial" w:eastAsia="Times New Roman" w:hAnsi="Arial" w:cs="Arial"/>
      <w:sz w:val="24"/>
      <w:szCs w:val="24"/>
    </w:rPr>
  </w:style>
  <w:style w:type="character" w:styleId="CommentReference">
    <w:name w:val="annotation reference"/>
    <w:basedOn w:val="DefaultParagraphFont"/>
    <w:uiPriority w:val="99"/>
    <w:unhideWhenUsed/>
    <w:rsid w:val="00427173"/>
    <w:rPr>
      <w:rFonts w:ascii="Times New Roman" w:hAnsi="Times New Roman" w:cs="Times New Roman" w:hint="default"/>
      <w:sz w:val="18"/>
      <w:szCs w:val="18"/>
    </w:rPr>
  </w:style>
  <w:style w:type="paragraph" w:styleId="BalloonText">
    <w:name w:val="Balloon Text"/>
    <w:basedOn w:val="Normal"/>
    <w:link w:val="BalloonTextChar"/>
    <w:uiPriority w:val="99"/>
    <w:semiHidden/>
    <w:unhideWhenUsed/>
    <w:rsid w:val="00427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173"/>
    <w:rPr>
      <w:rFonts w:ascii="Tahoma" w:hAnsi="Tahoma" w:cs="Tahoma"/>
      <w:sz w:val="16"/>
      <w:szCs w:val="16"/>
    </w:rPr>
  </w:style>
  <w:style w:type="character" w:customStyle="1" w:styleId="Heading2Char">
    <w:name w:val="Heading 2 Char"/>
    <w:basedOn w:val="DefaultParagraphFont"/>
    <w:link w:val="Heading2"/>
    <w:uiPriority w:val="9"/>
    <w:rsid w:val="0042717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27173"/>
    <w:pPr>
      <w:spacing w:after="0" w:line="240" w:lineRule="auto"/>
      <w:ind w:left="720"/>
      <w:contextualSpacing/>
    </w:pPr>
    <w:rPr>
      <w:rFonts w:ascii="Arial" w:eastAsia="Times New Roman" w:hAnsi="Arial" w:cs="Arial"/>
      <w:sz w:val="20"/>
      <w:szCs w:val="20"/>
    </w:rPr>
  </w:style>
  <w:style w:type="character" w:styleId="Strong">
    <w:name w:val="Strong"/>
    <w:basedOn w:val="DefaultParagraphFont"/>
    <w:uiPriority w:val="22"/>
    <w:qFormat/>
    <w:rsid w:val="001C7066"/>
    <w:rPr>
      <w:b/>
      <w:bCs/>
    </w:rPr>
  </w:style>
  <w:style w:type="paragraph" w:styleId="NormalWeb">
    <w:name w:val="Normal (Web)"/>
    <w:basedOn w:val="Normal"/>
    <w:uiPriority w:val="99"/>
    <w:semiHidden/>
    <w:unhideWhenUsed/>
    <w:rsid w:val="00C91349"/>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B12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4C8"/>
  </w:style>
  <w:style w:type="paragraph" w:styleId="Footer">
    <w:name w:val="footer"/>
    <w:basedOn w:val="Normal"/>
    <w:link w:val="FooterChar"/>
    <w:uiPriority w:val="99"/>
    <w:unhideWhenUsed/>
    <w:rsid w:val="00B12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4C8"/>
  </w:style>
  <w:style w:type="character" w:customStyle="1" w:styleId="Heading1Char">
    <w:name w:val="Heading 1 Char"/>
    <w:basedOn w:val="DefaultParagraphFont"/>
    <w:link w:val="Heading1"/>
    <w:uiPriority w:val="9"/>
    <w:rsid w:val="00924DF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2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924DFF"/>
    <w:rPr>
      <w:sz w:val="18"/>
      <w:szCs w:val="18"/>
    </w:rPr>
  </w:style>
  <w:style w:type="character" w:styleId="Emphasis">
    <w:name w:val="Emphasis"/>
    <w:basedOn w:val="DefaultParagraphFont"/>
    <w:uiPriority w:val="20"/>
    <w:qFormat/>
    <w:rsid w:val="00924DFF"/>
    <w:rPr>
      <w:i/>
      <w:iCs/>
    </w:rPr>
  </w:style>
  <w:style w:type="character" w:styleId="Hyperlink">
    <w:name w:val="Hyperlink"/>
    <w:basedOn w:val="DefaultParagraphFont"/>
    <w:unhideWhenUsed/>
    <w:rsid w:val="00924DFF"/>
    <w:rPr>
      <w:color w:val="0000FF"/>
      <w:u w:val="single"/>
    </w:rPr>
  </w:style>
  <w:style w:type="paragraph" w:styleId="PlainText">
    <w:name w:val="Plain Text"/>
    <w:basedOn w:val="Normal"/>
    <w:link w:val="PlainTextChar"/>
    <w:uiPriority w:val="99"/>
    <w:rsid w:val="006B2B66"/>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6B2B66"/>
    <w:rPr>
      <w:rFonts w:ascii="Calibri" w:eastAsia="Times New Roman" w:hAnsi="Calibri" w:cs="Times New Roman"/>
      <w:szCs w:val="21"/>
    </w:rPr>
  </w:style>
  <w:style w:type="character" w:customStyle="1" w:styleId="s4">
    <w:name w:val="s4"/>
    <w:basedOn w:val="DefaultParagraphFont"/>
    <w:rsid w:val="006B2B66"/>
  </w:style>
  <w:style w:type="paragraph" w:styleId="CommentSubject">
    <w:name w:val="annotation subject"/>
    <w:basedOn w:val="CommentText"/>
    <w:next w:val="CommentText"/>
    <w:link w:val="CommentSubjectChar"/>
    <w:uiPriority w:val="99"/>
    <w:semiHidden/>
    <w:unhideWhenUsed/>
    <w:rsid w:val="00D97914"/>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D97914"/>
    <w:rPr>
      <w:rFonts w:ascii="Arial" w:eastAsia="Times New Roman" w:hAnsi="Arial" w:cs="Arial"/>
      <w:b/>
      <w:bCs/>
      <w:sz w:val="20"/>
      <w:szCs w:val="20"/>
    </w:rPr>
  </w:style>
  <w:style w:type="paragraph" w:styleId="FootnoteText">
    <w:name w:val="footnote text"/>
    <w:basedOn w:val="Normal"/>
    <w:link w:val="FootnoteTextChar"/>
    <w:uiPriority w:val="99"/>
    <w:semiHidden/>
    <w:unhideWhenUsed/>
    <w:rsid w:val="008F4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E67"/>
    <w:rPr>
      <w:sz w:val="20"/>
      <w:szCs w:val="20"/>
    </w:rPr>
  </w:style>
  <w:style w:type="character" w:styleId="FootnoteReference">
    <w:name w:val="footnote reference"/>
    <w:basedOn w:val="DefaultParagraphFont"/>
    <w:uiPriority w:val="99"/>
    <w:semiHidden/>
    <w:unhideWhenUsed/>
    <w:rsid w:val="008F4E67"/>
    <w:rPr>
      <w:vertAlign w:val="superscript"/>
    </w:rPr>
  </w:style>
  <w:style w:type="character" w:customStyle="1" w:styleId="Heading3Char">
    <w:name w:val="Heading 3 Char"/>
    <w:basedOn w:val="DefaultParagraphFont"/>
    <w:link w:val="Heading3"/>
    <w:uiPriority w:val="9"/>
    <w:semiHidden/>
    <w:rsid w:val="0093716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4D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71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71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27173"/>
    <w:pPr>
      <w:spacing w:after="0" w:line="240" w:lineRule="auto"/>
    </w:pPr>
    <w:rPr>
      <w:rFonts w:ascii="Arial" w:eastAsia="Times New Roman" w:hAnsi="Arial" w:cs="Arial"/>
      <w:sz w:val="24"/>
      <w:szCs w:val="24"/>
    </w:rPr>
  </w:style>
  <w:style w:type="character" w:customStyle="1" w:styleId="CommentTextChar">
    <w:name w:val="Comment Text Char"/>
    <w:basedOn w:val="DefaultParagraphFont"/>
    <w:link w:val="CommentText"/>
    <w:uiPriority w:val="99"/>
    <w:rsid w:val="00427173"/>
    <w:rPr>
      <w:rFonts w:ascii="Arial" w:eastAsia="Times New Roman" w:hAnsi="Arial" w:cs="Arial"/>
      <w:sz w:val="24"/>
      <w:szCs w:val="24"/>
    </w:rPr>
  </w:style>
  <w:style w:type="character" w:styleId="CommentReference">
    <w:name w:val="annotation reference"/>
    <w:basedOn w:val="DefaultParagraphFont"/>
    <w:uiPriority w:val="99"/>
    <w:unhideWhenUsed/>
    <w:rsid w:val="00427173"/>
    <w:rPr>
      <w:rFonts w:ascii="Times New Roman" w:hAnsi="Times New Roman" w:cs="Times New Roman" w:hint="default"/>
      <w:sz w:val="18"/>
      <w:szCs w:val="18"/>
    </w:rPr>
  </w:style>
  <w:style w:type="paragraph" w:styleId="BalloonText">
    <w:name w:val="Balloon Text"/>
    <w:basedOn w:val="Normal"/>
    <w:link w:val="BalloonTextChar"/>
    <w:uiPriority w:val="99"/>
    <w:semiHidden/>
    <w:unhideWhenUsed/>
    <w:rsid w:val="00427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173"/>
    <w:rPr>
      <w:rFonts w:ascii="Tahoma" w:hAnsi="Tahoma" w:cs="Tahoma"/>
      <w:sz w:val="16"/>
      <w:szCs w:val="16"/>
    </w:rPr>
  </w:style>
  <w:style w:type="character" w:customStyle="1" w:styleId="Heading2Char">
    <w:name w:val="Heading 2 Char"/>
    <w:basedOn w:val="DefaultParagraphFont"/>
    <w:link w:val="Heading2"/>
    <w:uiPriority w:val="9"/>
    <w:rsid w:val="0042717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27173"/>
    <w:pPr>
      <w:spacing w:after="0" w:line="240" w:lineRule="auto"/>
      <w:ind w:left="720"/>
      <w:contextualSpacing/>
    </w:pPr>
    <w:rPr>
      <w:rFonts w:ascii="Arial" w:eastAsia="Times New Roman" w:hAnsi="Arial" w:cs="Arial"/>
      <w:sz w:val="20"/>
      <w:szCs w:val="20"/>
    </w:rPr>
  </w:style>
  <w:style w:type="character" w:styleId="Strong">
    <w:name w:val="Strong"/>
    <w:basedOn w:val="DefaultParagraphFont"/>
    <w:uiPriority w:val="22"/>
    <w:qFormat/>
    <w:rsid w:val="001C7066"/>
    <w:rPr>
      <w:b/>
      <w:bCs/>
    </w:rPr>
  </w:style>
  <w:style w:type="paragraph" w:styleId="NormalWeb">
    <w:name w:val="Normal (Web)"/>
    <w:basedOn w:val="Normal"/>
    <w:uiPriority w:val="99"/>
    <w:semiHidden/>
    <w:unhideWhenUsed/>
    <w:rsid w:val="00C91349"/>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B12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4C8"/>
  </w:style>
  <w:style w:type="paragraph" w:styleId="Footer">
    <w:name w:val="footer"/>
    <w:basedOn w:val="Normal"/>
    <w:link w:val="FooterChar"/>
    <w:uiPriority w:val="99"/>
    <w:unhideWhenUsed/>
    <w:rsid w:val="00B12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4C8"/>
  </w:style>
  <w:style w:type="character" w:customStyle="1" w:styleId="Heading1Char">
    <w:name w:val="Heading 1 Char"/>
    <w:basedOn w:val="DefaultParagraphFont"/>
    <w:link w:val="Heading1"/>
    <w:uiPriority w:val="9"/>
    <w:rsid w:val="00924DF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24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924DFF"/>
    <w:rPr>
      <w:sz w:val="18"/>
      <w:szCs w:val="18"/>
    </w:rPr>
  </w:style>
  <w:style w:type="character" w:styleId="Emphasis">
    <w:name w:val="Emphasis"/>
    <w:basedOn w:val="DefaultParagraphFont"/>
    <w:uiPriority w:val="20"/>
    <w:qFormat/>
    <w:rsid w:val="00924DFF"/>
    <w:rPr>
      <w:i/>
      <w:iCs/>
    </w:rPr>
  </w:style>
  <w:style w:type="character" w:styleId="Hyperlink">
    <w:name w:val="Hyperlink"/>
    <w:basedOn w:val="DefaultParagraphFont"/>
    <w:unhideWhenUsed/>
    <w:rsid w:val="00924DFF"/>
    <w:rPr>
      <w:color w:val="0000FF"/>
      <w:u w:val="single"/>
    </w:rPr>
  </w:style>
  <w:style w:type="paragraph" w:styleId="PlainText">
    <w:name w:val="Plain Text"/>
    <w:basedOn w:val="Normal"/>
    <w:link w:val="PlainTextChar"/>
    <w:uiPriority w:val="99"/>
    <w:rsid w:val="006B2B66"/>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6B2B66"/>
    <w:rPr>
      <w:rFonts w:ascii="Calibri" w:eastAsia="Times New Roman" w:hAnsi="Calibri" w:cs="Times New Roman"/>
      <w:szCs w:val="21"/>
    </w:rPr>
  </w:style>
  <w:style w:type="character" w:customStyle="1" w:styleId="s4">
    <w:name w:val="s4"/>
    <w:basedOn w:val="DefaultParagraphFont"/>
    <w:rsid w:val="006B2B66"/>
  </w:style>
  <w:style w:type="paragraph" w:styleId="CommentSubject">
    <w:name w:val="annotation subject"/>
    <w:basedOn w:val="CommentText"/>
    <w:next w:val="CommentText"/>
    <w:link w:val="CommentSubjectChar"/>
    <w:uiPriority w:val="99"/>
    <w:semiHidden/>
    <w:unhideWhenUsed/>
    <w:rsid w:val="00D97914"/>
    <w:pPr>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D97914"/>
    <w:rPr>
      <w:rFonts w:ascii="Arial" w:eastAsia="Times New Roman" w:hAnsi="Arial" w:cs="Arial"/>
      <w:b/>
      <w:bCs/>
      <w:sz w:val="20"/>
      <w:szCs w:val="20"/>
    </w:rPr>
  </w:style>
  <w:style w:type="paragraph" w:styleId="FootnoteText">
    <w:name w:val="footnote text"/>
    <w:basedOn w:val="Normal"/>
    <w:link w:val="FootnoteTextChar"/>
    <w:uiPriority w:val="99"/>
    <w:semiHidden/>
    <w:unhideWhenUsed/>
    <w:rsid w:val="008F4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E67"/>
    <w:rPr>
      <w:sz w:val="20"/>
      <w:szCs w:val="20"/>
    </w:rPr>
  </w:style>
  <w:style w:type="character" w:styleId="FootnoteReference">
    <w:name w:val="footnote reference"/>
    <w:basedOn w:val="DefaultParagraphFont"/>
    <w:uiPriority w:val="99"/>
    <w:semiHidden/>
    <w:unhideWhenUsed/>
    <w:rsid w:val="008F4E67"/>
    <w:rPr>
      <w:vertAlign w:val="superscript"/>
    </w:rPr>
  </w:style>
  <w:style w:type="character" w:customStyle="1" w:styleId="Heading3Char">
    <w:name w:val="Heading 3 Char"/>
    <w:basedOn w:val="DefaultParagraphFont"/>
    <w:link w:val="Heading3"/>
    <w:uiPriority w:val="9"/>
    <w:semiHidden/>
    <w:rsid w:val="0093716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98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3.png"/><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chart" Target="charts/chart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7.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service-details/chapter-55-overdose-report" TargetMode="External"/><Relationship Id="rId24" Type="http://schemas.openxmlformats.org/officeDocument/2006/relationships/chart" Target="charts/chart9.xm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image" Target="media/image5.png"/><Relationship Id="rId28" Type="http://schemas.openxmlformats.org/officeDocument/2006/relationships/chart" Target="charts/chart13.xml"/><Relationship Id="rId10" Type="http://schemas.openxmlformats.org/officeDocument/2006/relationships/hyperlink" Target="http://budget.digital.mass.gov/bb/gaa/fy2018/os_18/h48.htm" TargetMode="External"/><Relationship Id="rId19" Type="http://schemas.openxmlformats.org/officeDocument/2006/relationships/chart" Target="charts/chart6.xml"/><Relationship Id="rId31"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image" Target="media/image4.png"/><Relationship Id="rId27" Type="http://schemas.openxmlformats.org/officeDocument/2006/relationships/chart" Target="charts/chart12.xml"/><Relationship Id="rId30" Type="http://schemas.openxmlformats.org/officeDocument/2006/relationships/image" Target="media/image6.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H-FP-CO-122\users\dbernson\Stimulants\All%20Figures%20for%20Stimulant%20Repor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umwssnas01.umassmed.edu\CHPR_R&amp;E$\RDM\DPH%20ACO\Results\Graphs\ACO%20Project%20Table%204%20Graphs%20Updated%207_13_17.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PH-FP-CO-121\Shared\Office%20of%20Population%20Health\PHD\NOO_spring_2018\Approved%20Projects\Combined%20Data%20Brief\Figur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PH-FP-CO-121\Shared\Office%20of%20Population%20Health\PHD\NOO_spring_2018\Approved%20Projects\Combined%20Data%20Brief\Figures.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PH-FP-CO-121\Shared\Office%20of%20Population%20Health\PHD\NOO_spring_2018\Approved%20Projects\Combined%20Data%20Brief\Figures.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PH-FP-CO-121\Shared\Office%20of%20Population%20Health\PHD\NOO_spring_2018\Approved%20Projects\Combined%20Data%20Brief\Figure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PH-FP-CO-122\users\dbernson\Stimulants\All%20Figures%20for%20Stimulant%20Report.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PH-FP-CO-122\users\dbernson\Stimulants\All%20Figures%20for%20Stimulant%20Repo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FP-CO-121\Shared\Office%20of%20Population%20Health\PHD\NOO_spring_2018\Approved%20Projects\1_Barocas\Stim_Data_Brief_Baroca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PH-FP-CO-121\Shared\Office%20of%20Population%20Health\PHD\NOO_spring_2018\Approved%20Projects\Combined%20Data%20Brief\Figures.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PH-FP-CO-121\Shared\Office%20of%20Population%20Health\PHD\NOO_spring_2018\Approved%20Projects\Combined%20Data%20Brief\Figur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H-FP-CO-121\Shared\Office%20of%20Population%20Health\PHD\NOO_spring_2018\Approved%20Projects\Combined%20Data%20Brief\Figur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PH-FP-CO-121\Shared\Office%20of%20Population%20Health\PHD\NOO_spring_2018\Approved%20Projects\Combined%20Data%20Brief\Figur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umwssnas01.umassmed.edu\CHPR_R&amp;E$\RDM\DPH%20ACO\Phase%20II\Project%20Reporting\DPHBrief\Charts%20for%20DPH%20Brief%20June%202018%20V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Figure 1: Count of Stimulant-Related Deaths</a:t>
            </a:r>
            <a:br>
              <a:rPr lang="en-US" sz="1200" b="1" i="0" baseline="0">
                <a:effectLst/>
              </a:rPr>
            </a:br>
            <a:r>
              <a:rPr lang="en-US" sz="1200" b="1" i="0" baseline="0">
                <a:effectLst/>
              </a:rPr>
              <a:t>MA Residents: 2000-2016</a:t>
            </a:r>
            <a:endParaRPr lang="en-US" sz="1200">
              <a:effectLst/>
            </a:endParaRPr>
          </a:p>
        </c:rich>
      </c:tx>
      <c:layout/>
      <c:overlay val="0"/>
    </c:title>
    <c:autoTitleDeleted val="0"/>
    <c:plotArea>
      <c:layout>
        <c:manualLayout>
          <c:layoutTarget val="inner"/>
          <c:xMode val="edge"/>
          <c:yMode val="edge"/>
          <c:x val="6.3560670300827779E-2"/>
          <c:y val="0.1758878465897081"/>
          <c:w val="0.91387522713506963"/>
          <c:h val="0.6131428121893483"/>
        </c:manualLayout>
      </c:layout>
      <c:barChart>
        <c:barDir val="col"/>
        <c:grouping val="clustered"/>
        <c:varyColors val="0"/>
        <c:ser>
          <c:idx val="1"/>
          <c:order val="0"/>
          <c:tx>
            <c:strRef>
              <c:f>Figure9!$B$2</c:f>
              <c:strCache>
                <c:ptCount val="1"/>
                <c:pt idx="0">
                  <c:v>Deaths Involving Stimulants</c:v>
                </c:pt>
              </c:strCache>
            </c:strRef>
          </c:tx>
          <c:spPr>
            <a:solidFill>
              <a:schemeClr val="accent1"/>
            </a:solidFill>
          </c:spPr>
          <c:invertIfNegative val="0"/>
          <c:dLbls>
            <c:dLbl>
              <c:idx val="0"/>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26D-4516-A3BA-7855F6D26484}"/>
                </c:ext>
              </c:extLst>
            </c:dLbl>
            <c:dLbl>
              <c:idx val="16"/>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26D-4516-A3BA-7855F6D26484}"/>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Figure9!$A$3:$A$19</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Figure9!$B$3:$B$19</c:f>
              <c:numCache>
                <c:formatCode>General</c:formatCode>
                <c:ptCount val="17"/>
                <c:pt idx="0">
                  <c:v>176</c:v>
                </c:pt>
                <c:pt idx="1">
                  <c:v>212</c:v>
                </c:pt>
                <c:pt idx="2">
                  <c:v>236</c:v>
                </c:pt>
                <c:pt idx="3">
                  <c:v>313</c:v>
                </c:pt>
                <c:pt idx="4">
                  <c:v>239</c:v>
                </c:pt>
                <c:pt idx="5">
                  <c:v>276</c:v>
                </c:pt>
                <c:pt idx="6">
                  <c:v>327</c:v>
                </c:pt>
                <c:pt idx="7">
                  <c:v>281</c:v>
                </c:pt>
                <c:pt idx="8">
                  <c:v>204</c:v>
                </c:pt>
                <c:pt idx="9">
                  <c:v>174</c:v>
                </c:pt>
                <c:pt idx="10">
                  <c:v>173</c:v>
                </c:pt>
                <c:pt idx="11">
                  <c:v>213</c:v>
                </c:pt>
                <c:pt idx="12">
                  <c:v>223</c:v>
                </c:pt>
                <c:pt idx="13">
                  <c:v>287</c:v>
                </c:pt>
                <c:pt idx="14">
                  <c:v>394</c:v>
                </c:pt>
                <c:pt idx="15">
                  <c:v>471</c:v>
                </c:pt>
                <c:pt idx="16">
                  <c:v>632</c:v>
                </c:pt>
              </c:numCache>
            </c:numRef>
          </c:val>
          <c:extLst xmlns:c16r2="http://schemas.microsoft.com/office/drawing/2015/06/chart">
            <c:ext xmlns:c16="http://schemas.microsoft.com/office/drawing/2014/chart" uri="{C3380CC4-5D6E-409C-BE32-E72D297353CC}">
              <c16:uniqueId val="{00000002-F26D-4516-A3BA-7855F6D26484}"/>
            </c:ext>
          </c:extLst>
        </c:ser>
        <c:dLbls>
          <c:showLegendKey val="0"/>
          <c:showVal val="0"/>
          <c:showCatName val="0"/>
          <c:showSerName val="0"/>
          <c:showPercent val="0"/>
          <c:showBubbleSize val="0"/>
        </c:dLbls>
        <c:gapWidth val="150"/>
        <c:axId val="342410752"/>
        <c:axId val="342417408"/>
      </c:barChart>
      <c:lineChart>
        <c:grouping val="standard"/>
        <c:varyColors val="0"/>
        <c:ser>
          <c:idx val="0"/>
          <c:order val="1"/>
          <c:tx>
            <c:strRef>
              <c:f>Figure9!$C$2</c:f>
              <c:strCache>
                <c:ptCount val="1"/>
                <c:pt idx="0">
                  <c:v>Stimulants in Combination with Any Opioid</c:v>
                </c:pt>
              </c:strCache>
            </c:strRef>
          </c:tx>
          <c:spPr>
            <a:ln>
              <a:solidFill>
                <a:schemeClr val="accent2"/>
              </a:solidFill>
            </a:ln>
          </c:spPr>
          <c:marker>
            <c:symbol val="none"/>
          </c:marker>
          <c:cat>
            <c:numRef>
              <c:f>Figure9!$A$3:$A$19</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Figure9!$C$3:$C$19</c:f>
              <c:numCache>
                <c:formatCode>General</c:formatCode>
                <c:ptCount val="17"/>
                <c:pt idx="0">
                  <c:v>92</c:v>
                </c:pt>
                <c:pt idx="1">
                  <c:v>137</c:v>
                </c:pt>
                <c:pt idx="2">
                  <c:v>137</c:v>
                </c:pt>
                <c:pt idx="3">
                  <c:v>194</c:v>
                </c:pt>
                <c:pt idx="4">
                  <c:v>147</c:v>
                </c:pt>
                <c:pt idx="5">
                  <c:v>184</c:v>
                </c:pt>
                <c:pt idx="6">
                  <c:v>190</c:v>
                </c:pt>
                <c:pt idx="7">
                  <c:v>177</c:v>
                </c:pt>
                <c:pt idx="8">
                  <c:v>132</c:v>
                </c:pt>
                <c:pt idx="9">
                  <c:v>113</c:v>
                </c:pt>
                <c:pt idx="10">
                  <c:v>106</c:v>
                </c:pt>
                <c:pt idx="11">
                  <c:v>143</c:v>
                </c:pt>
                <c:pt idx="12">
                  <c:v>171</c:v>
                </c:pt>
                <c:pt idx="13">
                  <c:v>212</c:v>
                </c:pt>
                <c:pt idx="14">
                  <c:v>344</c:v>
                </c:pt>
                <c:pt idx="15">
                  <c:v>422</c:v>
                </c:pt>
                <c:pt idx="16">
                  <c:v>541</c:v>
                </c:pt>
              </c:numCache>
            </c:numRef>
          </c:val>
          <c:smooth val="0"/>
          <c:extLst xmlns:c16r2="http://schemas.microsoft.com/office/drawing/2015/06/chart">
            <c:ext xmlns:c16="http://schemas.microsoft.com/office/drawing/2014/chart" uri="{C3380CC4-5D6E-409C-BE32-E72D297353CC}">
              <c16:uniqueId val="{00000003-F26D-4516-A3BA-7855F6D26484}"/>
            </c:ext>
          </c:extLst>
        </c:ser>
        <c:ser>
          <c:idx val="2"/>
          <c:order val="2"/>
          <c:tx>
            <c:strRef>
              <c:f>Figure9!$D$2</c:f>
              <c:strCache>
                <c:ptCount val="1"/>
                <c:pt idx="0">
                  <c:v>Stimulant Without Opioid</c:v>
                </c:pt>
              </c:strCache>
            </c:strRef>
          </c:tx>
          <c:marker>
            <c:symbol val="none"/>
          </c:marker>
          <c:cat>
            <c:numRef>
              <c:f>Figure9!$A$3:$A$19</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Figure9!$D$3:$D$19</c:f>
              <c:numCache>
                <c:formatCode>General</c:formatCode>
                <c:ptCount val="17"/>
                <c:pt idx="0">
                  <c:v>75</c:v>
                </c:pt>
                <c:pt idx="1">
                  <c:v>68</c:v>
                </c:pt>
                <c:pt idx="2">
                  <c:v>88</c:v>
                </c:pt>
                <c:pt idx="3">
                  <c:v>105</c:v>
                </c:pt>
                <c:pt idx="4">
                  <c:v>77</c:v>
                </c:pt>
                <c:pt idx="5">
                  <c:v>81</c:v>
                </c:pt>
                <c:pt idx="6">
                  <c:v>104</c:v>
                </c:pt>
                <c:pt idx="7">
                  <c:v>75</c:v>
                </c:pt>
                <c:pt idx="8">
                  <c:v>44</c:v>
                </c:pt>
                <c:pt idx="9">
                  <c:v>45</c:v>
                </c:pt>
                <c:pt idx="10">
                  <c:v>57</c:v>
                </c:pt>
                <c:pt idx="11">
                  <c:v>41</c:v>
                </c:pt>
                <c:pt idx="12">
                  <c:v>32</c:v>
                </c:pt>
                <c:pt idx="13">
                  <c:v>46</c:v>
                </c:pt>
                <c:pt idx="14">
                  <c:v>32</c:v>
                </c:pt>
                <c:pt idx="15">
                  <c:v>25</c:v>
                </c:pt>
                <c:pt idx="16">
                  <c:v>43</c:v>
                </c:pt>
              </c:numCache>
            </c:numRef>
          </c:val>
          <c:smooth val="0"/>
          <c:extLst xmlns:c16r2="http://schemas.microsoft.com/office/drawing/2015/06/chart">
            <c:ext xmlns:c16="http://schemas.microsoft.com/office/drawing/2014/chart" uri="{C3380CC4-5D6E-409C-BE32-E72D297353CC}">
              <c16:uniqueId val="{00000004-F26D-4516-A3BA-7855F6D26484}"/>
            </c:ext>
          </c:extLst>
        </c:ser>
        <c:dLbls>
          <c:showLegendKey val="0"/>
          <c:showVal val="0"/>
          <c:showCatName val="0"/>
          <c:showSerName val="0"/>
          <c:showPercent val="0"/>
          <c:showBubbleSize val="0"/>
        </c:dLbls>
        <c:marker val="1"/>
        <c:smooth val="0"/>
        <c:axId val="342410752"/>
        <c:axId val="342417408"/>
      </c:lineChart>
      <c:catAx>
        <c:axId val="342410752"/>
        <c:scaling>
          <c:orientation val="minMax"/>
        </c:scaling>
        <c:delete val="0"/>
        <c:axPos val="b"/>
        <c:numFmt formatCode="General" sourceLinked="1"/>
        <c:majorTickMark val="out"/>
        <c:minorTickMark val="none"/>
        <c:tickLblPos val="nextTo"/>
        <c:crossAx val="342417408"/>
        <c:crosses val="autoZero"/>
        <c:auto val="1"/>
        <c:lblAlgn val="ctr"/>
        <c:lblOffset val="100"/>
        <c:noMultiLvlLbl val="0"/>
      </c:catAx>
      <c:valAx>
        <c:axId val="342417408"/>
        <c:scaling>
          <c:orientation val="minMax"/>
        </c:scaling>
        <c:delete val="0"/>
        <c:axPos val="l"/>
        <c:majorGridlines>
          <c:spPr>
            <a:ln>
              <a:noFill/>
            </a:ln>
          </c:spPr>
        </c:majorGridlines>
        <c:numFmt formatCode="General" sourceLinked="1"/>
        <c:majorTickMark val="out"/>
        <c:minorTickMark val="none"/>
        <c:tickLblPos val="nextTo"/>
        <c:crossAx val="342410752"/>
        <c:crosses val="autoZero"/>
        <c:crossBetween val="between"/>
      </c:valAx>
    </c:plotArea>
    <c:legend>
      <c:legendPos val="l"/>
      <c:layout>
        <c:manualLayout>
          <c:xMode val="edge"/>
          <c:yMode val="edge"/>
          <c:x val="8.7774294670846395E-2"/>
          <c:y val="0.20283883170233191"/>
          <c:w val="0.32375513830002023"/>
          <c:h val="0.36289710687788657"/>
        </c:manualLayout>
      </c:layout>
      <c:overlay val="1"/>
    </c:legend>
    <c:plotVisOnly val="1"/>
    <c:dispBlanksAs val="gap"/>
    <c:showDLblsOverMax val="0"/>
  </c:chart>
  <c:spPr>
    <a:ln>
      <a:noFill/>
    </a:ln>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10: Five-Year Average MassHealth Payments by Study Population and Opioid Overdose Status: 2011-2015</a:t>
            </a:r>
          </a:p>
        </c:rich>
      </c:tx>
      <c:overlay val="0"/>
    </c:title>
    <c:autoTitleDeleted val="0"/>
    <c:plotArea>
      <c:layout>
        <c:manualLayout>
          <c:layoutTarget val="inner"/>
          <c:xMode val="edge"/>
          <c:yMode val="edge"/>
          <c:x val="0.11726912648315654"/>
          <c:y val="0.21811266969112306"/>
          <c:w val="0.85848844927441925"/>
          <c:h val="0.37771670925240303"/>
        </c:manualLayout>
      </c:layout>
      <c:barChart>
        <c:barDir val="col"/>
        <c:grouping val="clustered"/>
        <c:varyColors val="0"/>
        <c:ser>
          <c:idx val="0"/>
          <c:order val="0"/>
          <c:tx>
            <c:strRef>
              <c:f>Sheet1!$A$111</c:f>
              <c:strCache>
                <c:ptCount val="1"/>
                <c:pt idx="0">
                  <c:v>Opioid Overdose</c:v>
                </c:pt>
              </c:strCache>
            </c:strRef>
          </c:tx>
          <c:invertIfNegative val="0"/>
          <c:cat>
            <c:strRef>
              <c:f>Sheet1!$B$110:$G$110</c:f>
              <c:strCache>
                <c:ptCount val="6"/>
                <c:pt idx="0">
                  <c:v>All MassHealth Members (N=1,933,443)</c:v>
                </c:pt>
                <c:pt idx="2">
                  <c:v>Neither UH or CJ (N=1,479,862)</c:v>
                </c:pt>
                <c:pt idx="3">
                  <c:v>UH Only (N=407,226)</c:v>
                </c:pt>
                <c:pt idx="4">
                  <c:v>CJ Only (N=20,951)</c:v>
                </c:pt>
                <c:pt idx="5">
                  <c:v>Both UH and CJ (N=25,404)</c:v>
                </c:pt>
              </c:strCache>
            </c:strRef>
          </c:cat>
          <c:val>
            <c:numRef>
              <c:f>Sheet1!$B$111:$G$111</c:f>
              <c:numCache>
                <c:formatCode>General</c:formatCode>
                <c:ptCount val="6"/>
                <c:pt idx="0" formatCode="_(&quot;$&quot;* #,##0_);_(&quot;$&quot;* \(#,##0\);_(&quot;$&quot;* &quot;-&quot;??_);_(@_)">
                  <c:v>59155</c:v>
                </c:pt>
                <c:pt idx="2" formatCode="_(&quot;$&quot;* #,##0_);_(&quot;$&quot;* \(#,##0\);_(&quot;$&quot;* &quot;-&quot;??_);_(@_)">
                  <c:v>44142</c:v>
                </c:pt>
                <c:pt idx="3" formatCode="_(&quot;$&quot;* #,##0_);_(&quot;$&quot;* \(#,##0\);_(&quot;$&quot;* &quot;-&quot;??_);_(@_)">
                  <c:v>75168</c:v>
                </c:pt>
                <c:pt idx="4" formatCode="_(&quot;$&quot;* #,##0_);_(&quot;$&quot;* \(#,##0\);_(&quot;$&quot;* &quot;-&quot;??_);_(@_)">
                  <c:v>41826</c:v>
                </c:pt>
                <c:pt idx="5" formatCode="_(&quot;$&quot;* #,##0_);_(&quot;$&quot;* \(#,##0\);_(&quot;$&quot;* &quot;-&quot;??_);_(@_)">
                  <c:v>78688</c:v>
                </c:pt>
              </c:numCache>
            </c:numRef>
          </c:val>
          <c:extLst xmlns:c16r2="http://schemas.microsoft.com/office/drawing/2015/06/chart">
            <c:ext xmlns:c16="http://schemas.microsoft.com/office/drawing/2014/chart" uri="{C3380CC4-5D6E-409C-BE32-E72D297353CC}">
              <c16:uniqueId val="{00000000-E405-4FC0-8330-B88F27382476}"/>
            </c:ext>
          </c:extLst>
        </c:ser>
        <c:ser>
          <c:idx val="1"/>
          <c:order val="1"/>
          <c:tx>
            <c:strRef>
              <c:f>Sheet1!$A$112</c:f>
              <c:strCache>
                <c:ptCount val="1"/>
                <c:pt idx="0">
                  <c:v>No Opioid Overdose</c:v>
                </c:pt>
              </c:strCache>
            </c:strRef>
          </c:tx>
          <c:invertIfNegative val="0"/>
          <c:cat>
            <c:strRef>
              <c:f>Sheet1!$B$110:$G$110</c:f>
              <c:strCache>
                <c:ptCount val="6"/>
                <c:pt idx="0">
                  <c:v>All MassHealth Members (N=1,933,443)</c:v>
                </c:pt>
                <c:pt idx="2">
                  <c:v>Neither UH or CJ (N=1,479,862)</c:v>
                </c:pt>
                <c:pt idx="3">
                  <c:v>UH Only (N=407,226)</c:v>
                </c:pt>
                <c:pt idx="4">
                  <c:v>CJ Only (N=20,951)</c:v>
                </c:pt>
                <c:pt idx="5">
                  <c:v>Both UH and CJ (N=25,404)</c:v>
                </c:pt>
              </c:strCache>
            </c:strRef>
          </c:cat>
          <c:val>
            <c:numRef>
              <c:f>Sheet1!$B$112:$G$112</c:f>
              <c:numCache>
                <c:formatCode>General</c:formatCode>
                <c:ptCount val="6"/>
                <c:pt idx="0" formatCode="_(&quot;$&quot;* #,##0_);_(&quot;$&quot;* \(#,##0\);_(&quot;$&quot;* &quot;-&quot;??_);_(@_)">
                  <c:v>16349</c:v>
                </c:pt>
                <c:pt idx="2" formatCode="_(&quot;$&quot;* #,##0_);_(&quot;$&quot;* \(#,##0\);_(&quot;$&quot;* &quot;-&quot;??_);_(@_)">
                  <c:v>14018</c:v>
                </c:pt>
                <c:pt idx="3" formatCode="_(&quot;$&quot;* #,##0_);_(&quot;$&quot;* \(#,##0\);_(&quot;$&quot;* &quot;-&quot;??_);_(@_)">
                  <c:v>23748</c:v>
                </c:pt>
                <c:pt idx="4" formatCode="_(&quot;$&quot;* #,##0_);_(&quot;$&quot;* \(#,##0\);_(&quot;$&quot;* &quot;-&quot;??_);_(@_)">
                  <c:v>17266</c:v>
                </c:pt>
                <c:pt idx="5" formatCode="_(&quot;$&quot;* #,##0_);_(&quot;$&quot;* \(#,##0\);_(&quot;$&quot;* &quot;-&quot;??_);_(@_)">
                  <c:v>36541</c:v>
                </c:pt>
              </c:numCache>
            </c:numRef>
          </c:val>
          <c:extLst xmlns:c16r2="http://schemas.microsoft.com/office/drawing/2015/06/chart">
            <c:ext xmlns:c16="http://schemas.microsoft.com/office/drawing/2014/chart" uri="{C3380CC4-5D6E-409C-BE32-E72D297353CC}">
              <c16:uniqueId val="{00000001-E405-4FC0-8330-B88F27382476}"/>
            </c:ext>
          </c:extLst>
        </c:ser>
        <c:dLbls>
          <c:showLegendKey val="0"/>
          <c:showVal val="0"/>
          <c:showCatName val="0"/>
          <c:showSerName val="0"/>
          <c:showPercent val="0"/>
          <c:showBubbleSize val="0"/>
        </c:dLbls>
        <c:gapWidth val="75"/>
        <c:overlap val="-25"/>
        <c:axId val="64735872"/>
        <c:axId val="91505024"/>
      </c:barChart>
      <c:catAx>
        <c:axId val="64735872"/>
        <c:scaling>
          <c:orientation val="minMax"/>
        </c:scaling>
        <c:delete val="0"/>
        <c:axPos val="b"/>
        <c:numFmt formatCode="General" sourceLinked="0"/>
        <c:majorTickMark val="none"/>
        <c:minorTickMark val="none"/>
        <c:tickLblPos val="nextTo"/>
        <c:crossAx val="91505024"/>
        <c:crosses val="autoZero"/>
        <c:auto val="1"/>
        <c:lblAlgn val="ctr"/>
        <c:lblOffset val="100"/>
        <c:noMultiLvlLbl val="0"/>
      </c:catAx>
      <c:valAx>
        <c:axId val="91505024"/>
        <c:scaling>
          <c:orientation val="minMax"/>
        </c:scaling>
        <c:delete val="0"/>
        <c:axPos val="l"/>
        <c:majorGridlines>
          <c:spPr>
            <a:ln>
              <a:noFill/>
            </a:ln>
          </c:spPr>
        </c:majorGridlines>
        <c:numFmt formatCode="_(&quot;$&quot;* #,##0_);_(&quot;$&quot;* \(#,##0\);_(&quot;$&quot;* &quot;-&quot;??_);_(@_)" sourceLinked="1"/>
        <c:majorTickMark val="none"/>
        <c:minorTickMark val="none"/>
        <c:tickLblPos val="nextTo"/>
        <c:crossAx val="6473587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Figure 11: Opioid Prescribing Patterns: 2011-2015</a:t>
            </a:r>
            <a:endParaRPr lang="en-US" sz="1200">
              <a:effectLst/>
            </a:endParaRPr>
          </a:p>
        </c:rich>
      </c:tx>
      <c:overlay val="0"/>
    </c:title>
    <c:autoTitleDeleted val="0"/>
    <c:plotArea>
      <c:layout>
        <c:manualLayout>
          <c:layoutTarget val="inner"/>
          <c:xMode val="edge"/>
          <c:yMode val="edge"/>
          <c:x val="7.4470450809033487E-2"/>
          <c:y val="0.14108113468246178"/>
          <c:w val="0.88792001961293299"/>
          <c:h val="0.60092597515320911"/>
        </c:manualLayout>
      </c:layout>
      <c:barChart>
        <c:barDir val="col"/>
        <c:grouping val="clustered"/>
        <c:varyColors val="0"/>
        <c:ser>
          <c:idx val="0"/>
          <c:order val="0"/>
          <c:tx>
            <c:strRef>
              <c:f>'Figure 11_Figure 12'!$A$3</c:f>
              <c:strCache>
                <c:ptCount val="1"/>
                <c:pt idx="0">
                  <c:v>Veteran</c:v>
                </c:pt>
              </c:strCache>
            </c:strRef>
          </c:tx>
          <c:invertIfNegative val="0"/>
          <c:dLbls>
            <c:txPr>
              <a:bodyPr/>
              <a:lstStyle/>
              <a:p>
                <a:pPr>
                  <a:defRPr sz="800"/>
                </a:pPr>
                <a:endParaRPr lang="en-US"/>
              </a:p>
            </c:txPr>
            <c:showLegendKey val="0"/>
            <c:showVal val="1"/>
            <c:showCatName val="0"/>
            <c:showSerName val="0"/>
            <c:showPercent val="0"/>
            <c:showBubbleSize val="0"/>
            <c:showLeaderLines val="0"/>
          </c:dLbls>
          <c:cat>
            <c:multiLvlStrRef>
              <c:f>'Figure 11_Figure 12'!$B$1:$H$2</c:f>
              <c:multiLvlStrCache>
                <c:ptCount val="7"/>
                <c:lvl>
                  <c:pt idx="0">
                    <c:v>Opioid RX</c:v>
                  </c:pt>
                  <c:pt idx="1">
                    <c:v>Concurrent Opiod and Benzo</c:v>
                  </c:pt>
                  <c:pt idx="2">
                    <c:v>3+ Months 120MME</c:v>
                  </c:pt>
                  <c:pt idx="4">
                    <c:v>Opioid RX</c:v>
                  </c:pt>
                  <c:pt idx="5">
                    <c:v>Concurrent Opiod and Benzo</c:v>
                  </c:pt>
                  <c:pt idx="6">
                    <c:v>3+ Months 120MME </c:v>
                  </c:pt>
                </c:lvl>
                <c:lvl>
                  <c:pt idx="0">
                    <c:v>History of Homelessness</c:v>
                  </c:pt>
                  <c:pt idx="4">
                    <c:v>History of Incarceration</c:v>
                  </c:pt>
                </c:lvl>
              </c:multiLvlStrCache>
            </c:multiLvlStrRef>
          </c:cat>
          <c:val>
            <c:numRef>
              <c:f>'Figure 11_Figure 12'!$B$3:$H$3</c:f>
              <c:numCache>
                <c:formatCode>0.0%</c:formatCode>
                <c:ptCount val="7"/>
                <c:pt idx="0">
                  <c:v>0.58099999999999996</c:v>
                </c:pt>
                <c:pt idx="1">
                  <c:v>0.193</c:v>
                </c:pt>
                <c:pt idx="2">
                  <c:v>0.06</c:v>
                </c:pt>
                <c:pt idx="4">
                  <c:v>0.55900000000000005</c:v>
                </c:pt>
                <c:pt idx="5">
                  <c:v>0.19800000000000001</c:v>
                </c:pt>
                <c:pt idx="6">
                  <c:v>5.0999999999999997E-2</c:v>
                </c:pt>
              </c:numCache>
            </c:numRef>
          </c:val>
        </c:ser>
        <c:ser>
          <c:idx val="1"/>
          <c:order val="1"/>
          <c:tx>
            <c:strRef>
              <c:f>'Figure 11_Figure 12'!$A$4</c:f>
              <c:strCache>
                <c:ptCount val="1"/>
                <c:pt idx="0">
                  <c:v>Non-Veteran</c:v>
                </c:pt>
              </c:strCache>
            </c:strRef>
          </c:tx>
          <c:invertIfNegative val="0"/>
          <c:dLbls>
            <c:dLbl>
              <c:idx val="0"/>
              <c:layout>
                <c:manualLayout>
                  <c:x val="5.4945054945054949E-3"/>
                  <c:y val="0"/>
                </c:manualLayout>
              </c:layout>
              <c:showLegendKey val="0"/>
              <c:showVal val="1"/>
              <c:showCatName val="0"/>
              <c:showSerName val="0"/>
              <c:showPercent val="0"/>
              <c:showBubbleSize val="0"/>
            </c:dLbl>
            <c:dLbl>
              <c:idx val="1"/>
              <c:layout>
                <c:manualLayout>
                  <c:x val="7.326007326007326E-3"/>
                  <c:y val="0"/>
                </c:manualLayout>
              </c:layout>
              <c:showLegendKey val="0"/>
              <c:showVal val="1"/>
              <c:showCatName val="0"/>
              <c:showSerName val="0"/>
              <c:showPercent val="0"/>
              <c:showBubbleSize val="0"/>
            </c:dLbl>
            <c:dLbl>
              <c:idx val="2"/>
              <c:layout>
                <c:manualLayout>
                  <c:x val="5.4945054945054949E-3"/>
                  <c:y val="0"/>
                </c:manualLayout>
              </c:layout>
              <c:showLegendKey val="0"/>
              <c:showVal val="1"/>
              <c:showCatName val="0"/>
              <c:showSerName val="0"/>
              <c:showPercent val="0"/>
              <c:showBubbleSize val="0"/>
            </c:dLbl>
            <c:dLbl>
              <c:idx val="4"/>
              <c:layout>
                <c:manualLayout>
                  <c:x val="5.4945054945054949E-3"/>
                  <c:y val="0"/>
                </c:manualLayout>
              </c:layout>
              <c:showLegendKey val="0"/>
              <c:showVal val="1"/>
              <c:showCatName val="0"/>
              <c:showSerName val="0"/>
              <c:showPercent val="0"/>
              <c:showBubbleSize val="0"/>
            </c:dLbl>
            <c:dLbl>
              <c:idx val="5"/>
              <c:layout>
                <c:manualLayout>
                  <c:x val="7.326007326007326E-3"/>
                  <c:y val="-3.7932663846706638E-3"/>
                </c:manualLayout>
              </c:layout>
              <c:showLegendKey val="0"/>
              <c:showVal val="1"/>
              <c:showCatName val="0"/>
              <c:showSerName val="0"/>
              <c:showPercent val="0"/>
              <c:showBubbleSize val="0"/>
            </c:dLbl>
            <c:dLbl>
              <c:idx val="6"/>
              <c:layout>
                <c:manualLayout>
                  <c:x val="5.4945054945054949E-3"/>
                  <c:y val="0"/>
                </c:manualLayout>
              </c:layout>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multiLvlStrRef>
              <c:f>'Figure 11_Figure 12'!$B$1:$H$2</c:f>
              <c:multiLvlStrCache>
                <c:ptCount val="7"/>
                <c:lvl>
                  <c:pt idx="0">
                    <c:v>Opioid RX</c:v>
                  </c:pt>
                  <c:pt idx="1">
                    <c:v>Concurrent Opiod and Benzo</c:v>
                  </c:pt>
                  <c:pt idx="2">
                    <c:v>3+ Months 120MME</c:v>
                  </c:pt>
                  <c:pt idx="4">
                    <c:v>Opioid RX</c:v>
                  </c:pt>
                  <c:pt idx="5">
                    <c:v>Concurrent Opiod and Benzo</c:v>
                  </c:pt>
                  <c:pt idx="6">
                    <c:v>3+ Months 120MME </c:v>
                  </c:pt>
                </c:lvl>
                <c:lvl>
                  <c:pt idx="0">
                    <c:v>History of Homelessness</c:v>
                  </c:pt>
                  <c:pt idx="4">
                    <c:v>History of Incarceration</c:v>
                  </c:pt>
                </c:lvl>
              </c:multiLvlStrCache>
            </c:multiLvlStrRef>
          </c:cat>
          <c:val>
            <c:numRef>
              <c:f>'Figure 11_Figure 12'!$B$4:$H$4</c:f>
              <c:numCache>
                <c:formatCode>0.0%</c:formatCode>
                <c:ptCount val="7"/>
                <c:pt idx="0">
                  <c:v>0.497</c:v>
                </c:pt>
                <c:pt idx="1">
                  <c:v>0.15</c:v>
                </c:pt>
                <c:pt idx="2">
                  <c:v>3.9E-2</c:v>
                </c:pt>
                <c:pt idx="4">
                  <c:v>0.42099999999999999</c:v>
                </c:pt>
                <c:pt idx="5">
                  <c:v>9.8000000000000004E-2</c:v>
                </c:pt>
                <c:pt idx="6">
                  <c:v>2.4E-2</c:v>
                </c:pt>
              </c:numCache>
            </c:numRef>
          </c:val>
        </c:ser>
        <c:dLbls>
          <c:showLegendKey val="0"/>
          <c:showVal val="0"/>
          <c:showCatName val="0"/>
          <c:showSerName val="0"/>
          <c:showPercent val="0"/>
          <c:showBubbleSize val="0"/>
        </c:dLbls>
        <c:gapWidth val="150"/>
        <c:axId val="91527040"/>
        <c:axId val="91528576"/>
      </c:barChart>
      <c:catAx>
        <c:axId val="91527040"/>
        <c:scaling>
          <c:orientation val="minMax"/>
        </c:scaling>
        <c:delete val="0"/>
        <c:axPos val="b"/>
        <c:majorTickMark val="out"/>
        <c:minorTickMark val="none"/>
        <c:tickLblPos val="low"/>
        <c:spPr>
          <a:ln>
            <a:noFill/>
          </a:ln>
        </c:spPr>
        <c:crossAx val="91528576"/>
        <c:crosses val="autoZero"/>
        <c:auto val="1"/>
        <c:lblAlgn val="ctr"/>
        <c:lblOffset val="100"/>
        <c:noMultiLvlLbl val="0"/>
      </c:catAx>
      <c:valAx>
        <c:axId val="91528576"/>
        <c:scaling>
          <c:orientation val="minMax"/>
        </c:scaling>
        <c:delete val="0"/>
        <c:axPos val="l"/>
        <c:majorGridlines>
          <c:spPr>
            <a:ln>
              <a:noFill/>
            </a:ln>
          </c:spPr>
        </c:majorGridlines>
        <c:numFmt formatCode="0.0%" sourceLinked="1"/>
        <c:majorTickMark val="out"/>
        <c:minorTickMark val="none"/>
        <c:tickLblPos val="nextTo"/>
        <c:crossAx val="91527040"/>
        <c:crosses val="autoZero"/>
        <c:crossBetween val="between"/>
      </c:valAx>
    </c:plotArea>
    <c:legend>
      <c:legendPos val="r"/>
      <c:layout>
        <c:manualLayout>
          <c:xMode val="edge"/>
          <c:yMode val="edge"/>
          <c:x val="0.83860084797092671"/>
          <c:y val="0.33908867720368768"/>
          <c:w val="0.14857863920856046"/>
          <c:h val="0.16020299788107881"/>
        </c:manualLayout>
      </c:layout>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Figure 12: Adjusted Risk of Non-fatal and Fatal Opioid Overdose as Modified by Veteran Status: 2011-2015</a:t>
            </a:r>
            <a:endParaRPr lang="en-US" sz="1200">
              <a:effectLst/>
            </a:endParaRPr>
          </a:p>
        </c:rich>
      </c:tx>
      <c:overlay val="0"/>
    </c:title>
    <c:autoTitleDeleted val="0"/>
    <c:plotArea>
      <c:layout/>
      <c:barChart>
        <c:barDir val="bar"/>
        <c:grouping val="clustered"/>
        <c:varyColors val="0"/>
        <c:ser>
          <c:idx val="0"/>
          <c:order val="0"/>
          <c:tx>
            <c:strRef>
              <c:f>Sheet5!$A$16</c:f>
              <c:strCache>
                <c:ptCount val="1"/>
                <c:pt idx="0">
                  <c:v>Veteran</c:v>
                </c:pt>
              </c:strCache>
            </c:strRef>
          </c:tx>
          <c:invertIfNegative val="0"/>
          <c:cat>
            <c:strRef>
              <c:f>Sheet5!$B$15:$C$15</c:f>
              <c:strCache>
                <c:ptCount val="2"/>
                <c:pt idx="0">
                  <c:v>Fatal Opioid OD</c:v>
                </c:pt>
                <c:pt idx="1">
                  <c:v>Nonfatal Opioid OD</c:v>
                </c:pt>
              </c:strCache>
            </c:strRef>
          </c:cat>
          <c:val>
            <c:numRef>
              <c:f>Sheet5!$B$16:$C$16</c:f>
              <c:numCache>
                <c:formatCode>General</c:formatCode>
                <c:ptCount val="2"/>
                <c:pt idx="0">
                  <c:v>1.6</c:v>
                </c:pt>
                <c:pt idx="1">
                  <c:v>1.5</c:v>
                </c:pt>
              </c:numCache>
            </c:numRef>
          </c:val>
          <c:extLst xmlns:c16r2="http://schemas.microsoft.com/office/drawing/2015/06/chart">
            <c:ext xmlns:c16="http://schemas.microsoft.com/office/drawing/2014/chart" uri="{C3380CC4-5D6E-409C-BE32-E72D297353CC}">
              <c16:uniqueId val="{00000000-651F-4D6F-A728-051021F777C7}"/>
            </c:ext>
          </c:extLst>
        </c:ser>
        <c:ser>
          <c:idx val="1"/>
          <c:order val="1"/>
          <c:tx>
            <c:strRef>
              <c:f>Sheet5!$A$17</c:f>
              <c:strCache>
                <c:ptCount val="1"/>
                <c:pt idx="0">
                  <c:v>Non-Veteran</c:v>
                </c:pt>
              </c:strCache>
            </c:strRef>
          </c:tx>
          <c:invertIfNegative val="0"/>
          <c:cat>
            <c:strRef>
              <c:f>Sheet5!$B$15:$C$15</c:f>
              <c:strCache>
                <c:ptCount val="2"/>
                <c:pt idx="0">
                  <c:v>Fatal Opioid OD</c:v>
                </c:pt>
                <c:pt idx="1">
                  <c:v>Nonfatal Opioid OD</c:v>
                </c:pt>
              </c:strCache>
            </c:strRef>
          </c:cat>
          <c:val>
            <c:numRef>
              <c:f>Sheet5!$B$17:$C$17</c:f>
              <c:numCache>
                <c:formatCode>General</c:formatCode>
                <c:ptCount val="2"/>
                <c:pt idx="0">
                  <c:v>1</c:v>
                </c:pt>
                <c:pt idx="1">
                  <c:v>1</c:v>
                </c:pt>
              </c:numCache>
            </c:numRef>
          </c:val>
          <c:extLst xmlns:c16r2="http://schemas.microsoft.com/office/drawing/2015/06/chart">
            <c:ext xmlns:c16="http://schemas.microsoft.com/office/drawing/2014/chart" uri="{C3380CC4-5D6E-409C-BE32-E72D297353CC}">
              <c16:uniqueId val="{00000001-651F-4D6F-A728-051021F777C7}"/>
            </c:ext>
          </c:extLst>
        </c:ser>
        <c:dLbls>
          <c:showLegendKey val="0"/>
          <c:showVal val="0"/>
          <c:showCatName val="0"/>
          <c:showSerName val="0"/>
          <c:showPercent val="0"/>
          <c:showBubbleSize val="0"/>
        </c:dLbls>
        <c:gapWidth val="150"/>
        <c:axId val="94647424"/>
        <c:axId val="94648960"/>
      </c:barChart>
      <c:catAx>
        <c:axId val="94647424"/>
        <c:scaling>
          <c:orientation val="minMax"/>
        </c:scaling>
        <c:delete val="0"/>
        <c:axPos val="l"/>
        <c:numFmt formatCode="General" sourceLinked="0"/>
        <c:majorTickMark val="out"/>
        <c:minorTickMark val="none"/>
        <c:tickLblPos val="nextTo"/>
        <c:crossAx val="94648960"/>
        <c:crosses val="autoZero"/>
        <c:auto val="1"/>
        <c:lblAlgn val="ctr"/>
        <c:lblOffset val="100"/>
        <c:noMultiLvlLbl val="0"/>
      </c:catAx>
      <c:valAx>
        <c:axId val="94648960"/>
        <c:scaling>
          <c:orientation val="minMax"/>
        </c:scaling>
        <c:delete val="0"/>
        <c:axPos val="b"/>
        <c:majorGridlines>
          <c:spPr>
            <a:ln>
              <a:noFill/>
            </a:ln>
          </c:spPr>
        </c:majorGridlines>
        <c:numFmt formatCode="General" sourceLinked="1"/>
        <c:majorTickMark val="out"/>
        <c:minorTickMark val="none"/>
        <c:tickLblPos val="nextTo"/>
        <c:crossAx val="9464742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1"/>
              <a:t>Figure 13: </a:t>
            </a:r>
            <a:r>
              <a:rPr lang="en-US" sz="1200" b="1" i="0" baseline="0">
                <a:effectLst/>
              </a:rPr>
              <a:t>Percent of Hospital Patient Encounters for Opioid-related Overdose Resulting in Substance Misuse Treatment in 30 Days, by Race/Ethnicity and Location</a:t>
            </a:r>
            <a:endParaRPr lang="en-US" sz="1200" b="1">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sz="1200"/>
          </a:p>
        </c:rich>
      </c:tx>
      <c:overlay val="0"/>
    </c:title>
    <c:autoTitleDeleted val="0"/>
    <c:plotArea>
      <c:layout>
        <c:manualLayout>
          <c:layoutTarget val="inner"/>
          <c:xMode val="edge"/>
          <c:yMode val="edge"/>
          <c:x val="0.13627336131006224"/>
          <c:y val="0.24512750373968353"/>
          <c:w val="0.83610579750977454"/>
          <c:h val="0.43033341584825902"/>
        </c:manualLayout>
      </c:layout>
      <c:barChart>
        <c:barDir val="col"/>
        <c:grouping val="clustered"/>
        <c:varyColors val="0"/>
        <c:ser>
          <c:idx val="0"/>
          <c:order val="0"/>
          <c:tx>
            <c:strRef>
              <c:f>Sheet4!$A$2</c:f>
              <c:strCache>
                <c:ptCount val="1"/>
                <c:pt idx="0">
                  <c:v>All Races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Sheet4!$B$1:$D$1</c:f>
              <c:strCache>
                <c:ptCount val="3"/>
                <c:pt idx="0">
                  <c:v>Massachusetts</c:v>
                </c:pt>
                <c:pt idx="1">
                  <c:v>Boston </c:v>
                </c:pt>
                <c:pt idx="2">
                  <c:v>Massachusetts, Excluding Boston</c:v>
                </c:pt>
              </c:strCache>
            </c:strRef>
          </c:cat>
          <c:val>
            <c:numRef>
              <c:f>Sheet4!$B$2:$D$2</c:f>
              <c:numCache>
                <c:formatCode>0%</c:formatCode>
                <c:ptCount val="3"/>
                <c:pt idx="0">
                  <c:v>0.18</c:v>
                </c:pt>
                <c:pt idx="1">
                  <c:v>0.21</c:v>
                </c:pt>
                <c:pt idx="2">
                  <c:v>0.18</c:v>
                </c:pt>
              </c:numCache>
            </c:numRef>
          </c:val>
          <c:extLst xmlns:c16r2="http://schemas.microsoft.com/office/drawing/2015/06/chart">
            <c:ext xmlns:c16="http://schemas.microsoft.com/office/drawing/2014/chart" uri="{C3380CC4-5D6E-409C-BE32-E72D297353CC}">
              <c16:uniqueId val="{00000000-C24A-4180-AE46-1FA802B2E238}"/>
            </c:ext>
          </c:extLst>
        </c:ser>
        <c:ser>
          <c:idx val="1"/>
          <c:order val="1"/>
          <c:tx>
            <c:strRef>
              <c:f>Sheet4!$A$3</c:f>
              <c:strCache>
                <c:ptCount val="1"/>
                <c:pt idx="0">
                  <c:v>White non-Hispanic</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Sheet4!$B$1:$D$1</c:f>
              <c:strCache>
                <c:ptCount val="3"/>
                <c:pt idx="0">
                  <c:v>Massachusetts</c:v>
                </c:pt>
                <c:pt idx="1">
                  <c:v>Boston </c:v>
                </c:pt>
                <c:pt idx="2">
                  <c:v>Massachusetts, Excluding Boston</c:v>
                </c:pt>
              </c:strCache>
            </c:strRef>
          </c:cat>
          <c:val>
            <c:numRef>
              <c:f>Sheet4!$B$3:$D$3</c:f>
              <c:numCache>
                <c:formatCode>0%</c:formatCode>
                <c:ptCount val="3"/>
                <c:pt idx="0">
                  <c:v>0.19</c:v>
                </c:pt>
                <c:pt idx="1">
                  <c:v>0.24</c:v>
                </c:pt>
                <c:pt idx="2">
                  <c:v>0.18</c:v>
                </c:pt>
              </c:numCache>
            </c:numRef>
          </c:val>
          <c:extLst xmlns:c16r2="http://schemas.microsoft.com/office/drawing/2015/06/chart">
            <c:ext xmlns:c16="http://schemas.microsoft.com/office/drawing/2014/chart" uri="{C3380CC4-5D6E-409C-BE32-E72D297353CC}">
              <c16:uniqueId val="{00000001-C24A-4180-AE46-1FA802B2E238}"/>
            </c:ext>
          </c:extLst>
        </c:ser>
        <c:ser>
          <c:idx val="2"/>
          <c:order val="2"/>
          <c:tx>
            <c:strRef>
              <c:f>Sheet4!$A$4</c:f>
              <c:strCache>
                <c:ptCount val="1"/>
                <c:pt idx="0">
                  <c:v>Black non-Hispanic</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Sheet4!$B$1:$D$1</c:f>
              <c:strCache>
                <c:ptCount val="3"/>
                <c:pt idx="0">
                  <c:v>Massachusetts</c:v>
                </c:pt>
                <c:pt idx="1">
                  <c:v>Boston </c:v>
                </c:pt>
                <c:pt idx="2">
                  <c:v>Massachusetts, Excluding Boston</c:v>
                </c:pt>
              </c:strCache>
            </c:strRef>
          </c:cat>
          <c:val>
            <c:numRef>
              <c:f>Sheet4!$B$4:$D$4</c:f>
              <c:numCache>
                <c:formatCode>0%</c:formatCode>
                <c:ptCount val="3"/>
                <c:pt idx="0">
                  <c:v>0.12</c:v>
                </c:pt>
                <c:pt idx="1">
                  <c:v>0.08</c:v>
                </c:pt>
                <c:pt idx="2">
                  <c:v>0.14000000000000001</c:v>
                </c:pt>
              </c:numCache>
            </c:numRef>
          </c:val>
          <c:extLst xmlns:c16r2="http://schemas.microsoft.com/office/drawing/2015/06/chart">
            <c:ext xmlns:c16="http://schemas.microsoft.com/office/drawing/2014/chart" uri="{C3380CC4-5D6E-409C-BE32-E72D297353CC}">
              <c16:uniqueId val="{00000002-C24A-4180-AE46-1FA802B2E238}"/>
            </c:ext>
          </c:extLst>
        </c:ser>
        <c:ser>
          <c:idx val="3"/>
          <c:order val="3"/>
          <c:tx>
            <c:strRef>
              <c:f>Sheet4!$A$5</c:f>
              <c:strCache>
                <c:ptCount val="1"/>
                <c:pt idx="0">
                  <c:v>Hispanic</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Sheet4!$B$1:$D$1</c:f>
              <c:strCache>
                <c:ptCount val="3"/>
                <c:pt idx="0">
                  <c:v>Massachusetts</c:v>
                </c:pt>
                <c:pt idx="1">
                  <c:v>Boston </c:v>
                </c:pt>
                <c:pt idx="2">
                  <c:v>Massachusetts, Excluding Boston</c:v>
                </c:pt>
              </c:strCache>
            </c:strRef>
          </c:cat>
          <c:val>
            <c:numRef>
              <c:f>Sheet4!$B$5:$D$5</c:f>
              <c:numCache>
                <c:formatCode>0%</c:formatCode>
                <c:ptCount val="3"/>
                <c:pt idx="0">
                  <c:v>0.19</c:v>
                </c:pt>
                <c:pt idx="1">
                  <c:v>0.25</c:v>
                </c:pt>
                <c:pt idx="2">
                  <c:v>0.18</c:v>
                </c:pt>
              </c:numCache>
            </c:numRef>
          </c:val>
          <c:extLst xmlns:c16r2="http://schemas.microsoft.com/office/drawing/2015/06/chart">
            <c:ext xmlns:c16="http://schemas.microsoft.com/office/drawing/2014/chart" uri="{C3380CC4-5D6E-409C-BE32-E72D297353CC}">
              <c16:uniqueId val="{00000003-C24A-4180-AE46-1FA802B2E238}"/>
            </c:ext>
          </c:extLst>
        </c:ser>
        <c:ser>
          <c:idx val="4"/>
          <c:order val="4"/>
          <c:tx>
            <c:strRef>
              <c:f>Sheet4!$A$6</c:f>
              <c:strCache>
                <c:ptCount val="1"/>
                <c:pt idx="0">
                  <c:v>Other*</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Sheet4!$B$1:$D$1</c:f>
              <c:strCache>
                <c:ptCount val="3"/>
                <c:pt idx="0">
                  <c:v>Massachusetts</c:v>
                </c:pt>
                <c:pt idx="1">
                  <c:v>Boston </c:v>
                </c:pt>
                <c:pt idx="2">
                  <c:v>Massachusetts, Excluding Boston</c:v>
                </c:pt>
              </c:strCache>
            </c:strRef>
          </c:cat>
          <c:val>
            <c:numRef>
              <c:f>Sheet4!$B$6:$D$6</c:f>
              <c:numCache>
                <c:formatCode>0%</c:formatCode>
                <c:ptCount val="3"/>
                <c:pt idx="0">
                  <c:v>0.11</c:v>
                </c:pt>
                <c:pt idx="1">
                  <c:v>0.12</c:v>
                </c:pt>
                <c:pt idx="2">
                  <c:v>0.11</c:v>
                </c:pt>
              </c:numCache>
            </c:numRef>
          </c:val>
          <c:extLst xmlns:c16r2="http://schemas.microsoft.com/office/drawing/2015/06/chart">
            <c:ext xmlns:c16="http://schemas.microsoft.com/office/drawing/2014/chart" uri="{C3380CC4-5D6E-409C-BE32-E72D297353CC}">
              <c16:uniqueId val="{00000004-C24A-4180-AE46-1FA802B2E238}"/>
            </c:ext>
          </c:extLst>
        </c:ser>
        <c:dLbls>
          <c:showLegendKey val="0"/>
          <c:showVal val="0"/>
          <c:showCatName val="0"/>
          <c:showSerName val="0"/>
          <c:showPercent val="0"/>
          <c:showBubbleSize val="0"/>
        </c:dLbls>
        <c:gapWidth val="75"/>
        <c:overlap val="-25"/>
        <c:axId val="95037696"/>
        <c:axId val="95047680"/>
      </c:barChart>
      <c:catAx>
        <c:axId val="95037696"/>
        <c:scaling>
          <c:orientation val="minMax"/>
        </c:scaling>
        <c:delete val="0"/>
        <c:axPos val="b"/>
        <c:numFmt formatCode="General" sourceLinked="0"/>
        <c:majorTickMark val="none"/>
        <c:minorTickMark val="none"/>
        <c:tickLblPos val="nextTo"/>
        <c:crossAx val="95047680"/>
        <c:crosses val="autoZero"/>
        <c:auto val="1"/>
        <c:lblAlgn val="ctr"/>
        <c:lblOffset val="100"/>
        <c:noMultiLvlLbl val="0"/>
      </c:catAx>
      <c:valAx>
        <c:axId val="95047680"/>
        <c:scaling>
          <c:orientation val="minMax"/>
        </c:scaling>
        <c:delete val="0"/>
        <c:axPos val="l"/>
        <c:majorGridlines>
          <c:spPr>
            <a:ln>
              <a:noFill/>
            </a:ln>
          </c:spPr>
        </c:majorGridlines>
        <c:title>
          <c:tx>
            <c:rich>
              <a:bodyPr rot="-5400000" vert="horz"/>
              <a:lstStyle/>
              <a:p>
                <a:pPr>
                  <a:defRPr/>
                </a:pPr>
                <a:r>
                  <a:rPr lang="en-US"/>
                  <a:t>Percent</a:t>
                </a:r>
              </a:p>
            </c:rich>
          </c:tx>
          <c:overlay val="0"/>
        </c:title>
        <c:numFmt formatCode="0%" sourceLinked="1"/>
        <c:majorTickMark val="none"/>
        <c:minorTickMark val="none"/>
        <c:tickLblPos val="nextTo"/>
        <c:spPr>
          <a:ln w="9525">
            <a:noFill/>
          </a:ln>
        </c:spPr>
        <c:crossAx val="95037696"/>
        <c:crosses val="autoZero"/>
        <c:crossBetween val="between"/>
      </c:valAx>
    </c:plotArea>
    <c:legend>
      <c:legendPos val="b"/>
      <c:layout>
        <c:manualLayout>
          <c:xMode val="edge"/>
          <c:yMode val="edge"/>
          <c:x val="5.5022020552515684E-2"/>
          <c:y val="0.79958477923823468"/>
          <c:w val="0.89999990114230066"/>
          <c:h val="6.9583109750203986E-2"/>
        </c:manualLayout>
      </c:layout>
      <c:overlay val="0"/>
    </c:legend>
    <c:plotVisOnly val="1"/>
    <c:dispBlanksAs val="gap"/>
    <c:showDLblsOverMax val="0"/>
  </c:chart>
  <c:spPr>
    <a:ln>
      <a:noFill/>
    </a:ln>
  </c:sp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effectLst/>
              </a:rPr>
              <a:t>Figure 14: Odds of receiving subsequent substance use treatment within 30 days following a hospital patient encounter for opioid overdose: 2011-2015</a:t>
            </a:r>
            <a:endParaRPr lang="en-US" sz="1200"/>
          </a:p>
        </c:rich>
      </c:tx>
      <c:overlay val="0"/>
    </c:title>
    <c:autoTitleDeleted val="0"/>
    <c:plotArea>
      <c:layout>
        <c:manualLayout>
          <c:layoutTarget val="inner"/>
          <c:xMode val="edge"/>
          <c:yMode val="edge"/>
          <c:x val="0.32608923884514435"/>
          <c:y val="0.29606481481481484"/>
          <c:w val="0.62576487314085738"/>
          <c:h val="0.49073308544765237"/>
        </c:manualLayout>
      </c:layout>
      <c:barChart>
        <c:barDir val="bar"/>
        <c:grouping val="clustered"/>
        <c:varyColors val="0"/>
        <c:ser>
          <c:idx val="0"/>
          <c:order val="0"/>
          <c:tx>
            <c:strRef>
              <c:f>Sheet6!$A$10</c:f>
              <c:strCache>
                <c:ptCount val="1"/>
                <c:pt idx="0">
                  <c:v>Treatment</c:v>
                </c:pt>
              </c:strCache>
            </c:strRef>
          </c:tx>
          <c:invertIfNegative val="0"/>
          <c:dPt>
            <c:idx val="1"/>
            <c:invertIfNegative val="0"/>
            <c:bubble3D val="0"/>
            <c:spPr>
              <a:solidFill>
                <a:schemeClr val="accent2"/>
              </a:solidFill>
            </c:spPr>
            <c:extLst xmlns:c16r2="http://schemas.microsoft.com/office/drawing/2015/06/chart">
              <c:ext xmlns:c16="http://schemas.microsoft.com/office/drawing/2014/chart" uri="{C3380CC4-5D6E-409C-BE32-E72D297353CC}">
                <c16:uniqueId val="{00000001-D1C5-44EF-8057-EB0839D9C661}"/>
              </c:ext>
            </c:extLst>
          </c:dPt>
          <c:dPt>
            <c:idx val="4"/>
            <c:invertIfNegative val="0"/>
            <c:bubble3D val="0"/>
            <c:spPr>
              <a:solidFill>
                <a:schemeClr val="accent2"/>
              </a:solidFill>
            </c:spPr>
            <c:extLst xmlns:c16r2="http://schemas.microsoft.com/office/drawing/2015/06/chart">
              <c:ext xmlns:c16="http://schemas.microsoft.com/office/drawing/2014/chart" uri="{C3380CC4-5D6E-409C-BE32-E72D297353CC}">
                <c16:uniqueId val="{00000003-D1C5-44EF-8057-EB0839D9C661}"/>
              </c:ext>
            </c:extLst>
          </c:dPt>
          <c:cat>
            <c:multiLvlStrRef>
              <c:f>Sheet6!$B$8:$F$9</c:f>
              <c:multiLvlStrCache>
                <c:ptCount val="5"/>
                <c:lvl>
                  <c:pt idx="0">
                    <c:v>White non-Hispanic</c:v>
                  </c:pt>
                  <c:pt idx="1">
                    <c:v>Black non-Hispanic</c:v>
                  </c:pt>
                  <c:pt idx="3">
                    <c:v>White non-Hispanic</c:v>
                  </c:pt>
                  <c:pt idx="4">
                    <c:v>Black non-Hispanic</c:v>
                  </c:pt>
                </c:lvl>
                <c:lvl>
                  <c:pt idx="0">
                    <c:v>Boston</c:v>
                  </c:pt>
                  <c:pt idx="3">
                    <c:v>MA Total</c:v>
                  </c:pt>
                </c:lvl>
              </c:multiLvlStrCache>
            </c:multiLvlStrRef>
          </c:cat>
          <c:val>
            <c:numRef>
              <c:f>Sheet6!$B$10:$F$10</c:f>
              <c:numCache>
                <c:formatCode>General</c:formatCode>
                <c:ptCount val="5"/>
                <c:pt idx="0">
                  <c:v>1</c:v>
                </c:pt>
                <c:pt idx="1">
                  <c:v>0.42</c:v>
                </c:pt>
                <c:pt idx="3">
                  <c:v>1</c:v>
                </c:pt>
                <c:pt idx="4">
                  <c:v>0.71</c:v>
                </c:pt>
              </c:numCache>
            </c:numRef>
          </c:val>
          <c:extLst xmlns:c16r2="http://schemas.microsoft.com/office/drawing/2015/06/chart">
            <c:ext xmlns:c16="http://schemas.microsoft.com/office/drawing/2014/chart" uri="{C3380CC4-5D6E-409C-BE32-E72D297353CC}">
              <c16:uniqueId val="{00000004-D1C5-44EF-8057-EB0839D9C661}"/>
            </c:ext>
          </c:extLst>
        </c:ser>
        <c:dLbls>
          <c:showLegendKey val="0"/>
          <c:showVal val="0"/>
          <c:showCatName val="0"/>
          <c:showSerName val="0"/>
          <c:showPercent val="0"/>
          <c:showBubbleSize val="0"/>
        </c:dLbls>
        <c:gapWidth val="150"/>
        <c:axId val="95059328"/>
        <c:axId val="95077504"/>
      </c:barChart>
      <c:catAx>
        <c:axId val="95059328"/>
        <c:scaling>
          <c:orientation val="minMax"/>
        </c:scaling>
        <c:delete val="0"/>
        <c:axPos val="l"/>
        <c:numFmt formatCode="General" sourceLinked="0"/>
        <c:majorTickMark val="out"/>
        <c:minorTickMark val="none"/>
        <c:tickLblPos val="nextTo"/>
        <c:crossAx val="95077504"/>
        <c:crosses val="autoZero"/>
        <c:auto val="1"/>
        <c:lblAlgn val="ctr"/>
        <c:lblOffset val="100"/>
        <c:noMultiLvlLbl val="0"/>
      </c:catAx>
      <c:valAx>
        <c:axId val="95077504"/>
        <c:scaling>
          <c:orientation val="minMax"/>
        </c:scaling>
        <c:delete val="0"/>
        <c:axPos val="b"/>
        <c:majorGridlines>
          <c:spPr>
            <a:ln>
              <a:noFill/>
            </a:ln>
          </c:spPr>
        </c:majorGridlines>
        <c:numFmt formatCode="General" sourceLinked="1"/>
        <c:majorTickMark val="out"/>
        <c:minorTickMark val="none"/>
        <c:tickLblPos val="nextTo"/>
        <c:crossAx val="95059328"/>
        <c:crosses val="autoZero"/>
        <c:crossBetween val="between"/>
      </c:valAx>
    </c:plotArea>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1" i="0" baseline="0">
                <a:effectLst/>
              </a:rPr>
              <a:t>Figure 2: Rate of Stimulant-Related Overdose Deaths  in Combination with Any Opioid by Gender, MA Residents: 2000-2016</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layout/>
      <c:overlay val="0"/>
    </c:title>
    <c:autoTitleDeleted val="0"/>
    <c:plotArea>
      <c:layout>
        <c:manualLayout>
          <c:layoutTarget val="inner"/>
          <c:xMode val="edge"/>
          <c:yMode val="edge"/>
          <c:x val="0.11452832132247205"/>
          <c:y val="0.27387068881652771"/>
          <c:w val="0.86244708422436211"/>
          <c:h val="0.4378432466106616"/>
        </c:manualLayout>
      </c:layout>
      <c:lineChart>
        <c:grouping val="standard"/>
        <c:varyColors val="0"/>
        <c:ser>
          <c:idx val="0"/>
          <c:order val="0"/>
          <c:tx>
            <c:v>Male</c:v>
          </c:tx>
          <c:marker>
            <c:symbol val="none"/>
          </c:marker>
          <c:dLbls>
            <c:dLbl>
              <c:idx val="0"/>
              <c:layout>
                <c:manualLayout>
                  <c:x val="-3.5418820574802737E-2"/>
                  <c:y val="-2.707773338008790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C90-4DB4-A27B-169567F4BBB2}"/>
                </c:ext>
              </c:extLst>
            </c:dLbl>
            <c:dLbl>
              <c:idx val="16"/>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C90-4DB4-A27B-169567F4BBB2}"/>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Figure10!$A$22:$A$38</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Figure10!$C$22:$C$38</c:f>
              <c:numCache>
                <c:formatCode>0.0</c:formatCode>
                <c:ptCount val="17"/>
                <c:pt idx="0">
                  <c:v>2.0134400000000001</c:v>
                </c:pt>
                <c:pt idx="1">
                  <c:v>3.01803</c:v>
                </c:pt>
                <c:pt idx="2">
                  <c:v>3.0252599999999998</c:v>
                </c:pt>
                <c:pt idx="3">
                  <c:v>4.81806</c:v>
                </c:pt>
                <c:pt idx="4">
                  <c:v>3.5167199999999998</c:v>
                </c:pt>
                <c:pt idx="5">
                  <c:v>4.1386700000000003</c:v>
                </c:pt>
                <c:pt idx="6">
                  <c:v>4.4597199999999999</c:v>
                </c:pt>
                <c:pt idx="7">
                  <c:v>4.0678700000000001</c:v>
                </c:pt>
                <c:pt idx="8">
                  <c:v>3.0616599999999998</c:v>
                </c:pt>
                <c:pt idx="9">
                  <c:v>2.4348399999999999</c:v>
                </c:pt>
                <c:pt idx="10">
                  <c:v>2.5322300000000002</c:v>
                </c:pt>
                <c:pt idx="11">
                  <c:v>3.0393400000000002</c:v>
                </c:pt>
                <c:pt idx="12">
                  <c:v>3.6473</c:v>
                </c:pt>
                <c:pt idx="13">
                  <c:v>4.6498600000000003</c:v>
                </c:pt>
                <c:pt idx="14">
                  <c:v>7.5917599999999998</c:v>
                </c:pt>
                <c:pt idx="15">
                  <c:v>9.6667400000000008</c:v>
                </c:pt>
                <c:pt idx="16">
                  <c:v>12.5549</c:v>
                </c:pt>
              </c:numCache>
            </c:numRef>
          </c:val>
          <c:smooth val="0"/>
          <c:extLst xmlns:c16r2="http://schemas.microsoft.com/office/drawing/2015/06/chart">
            <c:ext xmlns:c16="http://schemas.microsoft.com/office/drawing/2014/chart" uri="{C3380CC4-5D6E-409C-BE32-E72D297353CC}">
              <c16:uniqueId val="{00000002-AC90-4DB4-A27B-169567F4BBB2}"/>
            </c:ext>
          </c:extLst>
        </c:ser>
        <c:ser>
          <c:idx val="1"/>
          <c:order val="1"/>
          <c:tx>
            <c:v>Female</c:v>
          </c:tx>
          <c:spPr>
            <a:ln>
              <a:solidFill>
                <a:schemeClr val="accent3"/>
              </a:solidFill>
            </a:ln>
          </c:spPr>
          <c:marker>
            <c:symbol val="none"/>
          </c:marker>
          <c:dLbls>
            <c:dLbl>
              <c:idx val="0"/>
              <c:layout>
                <c:manualLayout>
                  <c:x val="-4.3956043956043959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C90-4DB4-A27B-169567F4BBB2}"/>
                </c:ext>
              </c:extLst>
            </c:dLbl>
            <c:dLbl>
              <c:idx val="16"/>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C90-4DB4-A27B-169567F4BBB2}"/>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val>
            <c:numRef>
              <c:f>Figure10!$E$22:$E$38</c:f>
              <c:numCache>
                <c:formatCode>0.0</c:formatCode>
                <c:ptCount val="17"/>
                <c:pt idx="0">
                  <c:v>0.88595000000000002</c:v>
                </c:pt>
                <c:pt idx="1">
                  <c:v>1.16527</c:v>
                </c:pt>
                <c:pt idx="2">
                  <c:v>1.1786700000000001</c:v>
                </c:pt>
                <c:pt idx="3">
                  <c:v>1.17239</c:v>
                </c:pt>
                <c:pt idx="4">
                  <c:v>1.06281</c:v>
                </c:pt>
                <c:pt idx="5">
                  <c:v>1.6178300000000001</c:v>
                </c:pt>
                <c:pt idx="6">
                  <c:v>1.46292</c:v>
                </c:pt>
                <c:pt idx="7">
                  <c:v>1.4565699999999999</c:v>
                </c:pt>
                <c:pt idx="8">
                  <c:v>0.99744999999999995</c:v>
                </c:pt>
                <c:pt idx="9">
                  <c:v>1.0122800000000001</c:v>
                </c:pt>
                <c:pt idx="10">
                  <c:v>0.82204999999999995</c:v>
                </c:pt>
                <c:pt idx="11">
                  <c:v>1.4031499999999999</c:v>
                </c:pt>
                <c:pt idx="12">
                  <c:v>1.5690999999999999</c:v>
                </c:pt>
                <c:pt idx="13">
                  <c:v>1.833</c:v>
                </c:pt>
                <c:pt idx="14">
                  <c:v>3.1793499999999999</c:v>
                </c:pt>
                <c:pt idx="15">
                  <c:v>3.3690899999999999</c:v>
                </c:pt>
                <c:pt idx="16">
                  <c:v>3.8870900000000002</c:v>
                </c:pt>
              </c:numCache>
            </c:numRef>
          </c:val>
          <c:smooth val="0"/>
          <c:extLst xmlns:c16r2="http://schemas.microsoft.com/office/drawing/2015/06/chart">
            <c:ext xmlns:c16="http://schemas.microsoft.com/office/drawing/2014/chart" uri="{C3380CC4-5D6E-409C-BE32-E72D297353CC}">
              <c16:uniqueId val="{00000005-AC90-4DB4-A27B-169567F4BBB2}"/>
            </c:ext>
          </c:extLst>
        </c:ser>
        <c:dLbls>
          <c:showLegendKey val="0"/>
          <c:showVal val="0"/>
          <c:showCatName val="0"/>
          <c:showSerName val="0"/>
          <c:showPercent val="0"/>
          <c:showBubbleSize val="0"/>
        </c:dLbls>
        <c:marker val="1"/>
        <c:smooth val="0"/>
        <c:axId val="394586368"/>
        <c:axId val="394588928"/>
      </c:lineChart>
      <c:catAx>
        <c:axId val="394586368"/>
        <c:scaling>
          <c:orientation val="minMax"/>
        </c:scaling>
        <c:delete val="0"/>
        <c:axPos val="b"/>
        <c:numFmt formatCode="General" sourceLinked="1"/>
        <c:majorTickMark val="out"/>
        <c:minorTickMark val="none"/>
        <c:tickLblPos val="nextTo"/>
        <c:crossAx val="394588928"/>
        <c:crosses val="autoZero"/>
        <c:auto val="1"/>
        <c:lblAlgn val="ctr"/>
        <c:lblOffset val="100"/>
        <c:noMultiLvlLbl val="0"/>
      </c:catAx>
      <c:valAx>
        <c:axId val="394588928"/>
        <c:scaling>
          <c:orientation val="minMax"/>
        </c:scaling>
        <c:delete val="0"/>
        <c:axPos val="l"/>
        <c:majorGridlines>
          <c:spPr>
            <a:ln>
              <a:noFill/>
            </a:ln>
          </c:spPr>
        </c:majorGridlines>
        <c:title>
          <c:tx>
            <c:rich>
              <a:bodyPr rot="-5400000" vert="horz"/>
              <a:lstStyle/>
              <a:p>
                <a:pPr>
                  <a:defRPr/>
                </a:pPr>
                <a:r>
                  <a:rPr lang="en-US"/>
                  <a:t>Rate per 100,000</a:t>
                </a:r>
              </a:p>
            </c:rich>
          </c:tx>
          <c:layout/>
          <c:overlay val="0"/>
        </c:title>
        <c:numFmt formatCode="0.0" sourceLinked="1"/>
        <c:majorTickMark val="out"/>
        <c:minorTickMark val="none"/>
        <c:tickLblPos val="nextTo"/>
        <c:crossAx val="394586368"/>
        <c:crosses val="autoZero"/>
        <c:crossBetween val="between"/>
      </c:valAx>
      <c:spPr>
        <a:ln>
          <a:noFill/>
        </a:ln>
      </c:spPr>
    </c:plotArea>
    <c:legend>
      <c:legendPos val="b"/>
      <c:layout>
        <c:manualLayout>
          <c:xMode val="edge"/>
          <c:yMode val="edge"/>
          <c:x val="0.38291334462313092"/>
          <c:y val="0.8001615135993484"/>
          <c:w val="0.24673201564090202"/>
          <c:h val="6.9382870615703376E-2"/>
        </c:manualLayout>
      </c:layout>
      <c:overlay val="0"/>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Figure 3: Rate of Stimulant-Related Overdose Deaths  in Combination with Any Opioid by Race/Ethnicity,  MA Residents: 2000-2016</a:t>
            </a:r>
            <a:endParaRPr lang="en-US" sz="1200">
              <a:effectLst/>
            </a:endParaRPr>
          </a:p>
        </c:rich>
      </c:tx>
      <c:layout/>
      <c:overlay val="0"/>
    </c:title>
    <c:autoTitleDeleted val="0"/>
    <c:plotArea>
      <c:layout>
        <c:manualLayout>
          <c:layoutTarget val="inner"/>
          <c:xMode val="edge"/>
          <c:yMode val="edge"/>
          <c:x val="0.11003701460394374"/>
          <c:y val="0.2011298188968654"/>
          <c:w val="0.84571964703507085"/>
          <c:h val="0.48076512500008012"/>
        </c:manualLayout>
      </c:layout>
      <c:lineChart>
        <c:grouping val="standard"/>
        <c:varyColors val="0"/>
        <c:ser>
          <c:idx val="0"/>
          <c:order val="0"/>
          <c:tx>
            <c:v>non-Hispanic White</c:v>
          </c:tx>
          <c:marker>
            <c:symbol val="none"/>
          </c:marker>
          <c:dLbls>
            <c:dLbl>
              <c:idx val="0"/>
              <c:layout>
                <c:manualLayout>
                  <c:x val="-2.6799568114186396E-2"/>
                  <c:y val="3.096879556722076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A23-4A83-8288-E550596A4940}"/>
                </c:ext>
              </c:extLst>
            </c:dLbl>
            <c:dLbl>
              <c:idx val="16"/>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A23-4A83-8288-E550596A4940}"/>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Figure11!$A$22:$A$38</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Figure11!$C$22:$C$38</c:f>
              <c:numCache>
                <c:formatCode>0.0</c:formatCode>
                <c:ptCount val="17"/>
                <c:pt idx="0">
                  <c:v>1.3958900000000001</c:v>
                </c:pt>
                <c:pt idx="1">
                  <c:v>1.9345399999999999</c:v>
                </c:pt>
                <c:pt idx="2">
                  <c:v>1.9503200000000001</c:v>
                </c:pt>
                <c:pt idx="3">
                  <c:v>2.8228800000000001</c:v>
                </c:pt>
                <c:pt idx="4">
                  <c:v>2.3532099999999998</c:v>
                </c:pt>
                <c:pt idx="5">
                  <c:v>3.1699899999999999</c:v>
                </c:pt>
                <c:pt idx="6">
                  <c:v>3.0774499999999998</c:v>
                </c:pt>
                <c:pt idx="7">
                  <c:v>2.84829</c:v>
                </c:pt>
                <c:pt idx="8">
                  <c:v>1.998</c:v>
                </c:pt>
                <c:pt idx="9">
                  <c:v>1.8390899999999999</c:v>
                </c:pt>
                <c:pt idx="10">
                  <c:v>1.6452800000000001</c:v>
                </c:pt>
                <c:pt idx="11">
                  <c:v>2.3432300000000001</c:v>
                </c:pt>
                <c:pt idx="12">
                  <c:v>2.9983399999999998</c:v>
                </c:pt>
                <c:pt idx="13">
                  <c:v>3.5278100000000001</c:v>
                </c:pt>
                <c:pt idx="14">
                  <c:v>5.7577699999999998</c:v>
                </c:pt>
                <c:pt idx="15">
                  <c:v>6.9318200000000001</c:v>
                </c:pt>
                <c:pt idx="16">
                  <c:v>8.8232900000000001</c:v>
                </c:pt>
              </c:numCache>
            </c:numRef>
          </c:val>
          <c:smooth val="0"/>
          <c:extLst xmlns:c16r2="http://schemas.microsoft.com/office/drawing/2015/06/chart">
            <c:ext xmlns:c16="http://schemas.microsoft.com/office/drawing/2014/chart" uri="{C3380CC4-5D6E-409C-BE32-E72D297353CC}">
              <c16:uniqueId val="{00000002-5A23-4A83-8288-E550596A4940}"/>
            </c:ext>
          </c:extLst>
        </c:ser>
        <c:ser>
          <c:idx val="1"/>
          <c:order val="1"/>
          <c:tx>
            <c:v>non-Hispanic Black</c:v>
          </c:tx>
          <c:marker>
            <c:symbol val="none"/>
          </c:marker>
          <c:dLbls>
            <c:dLbl>
              <c:idx val="0"/>
              <c:layout>
                <c:manualLayout>
                  <c:x val="-4.0876938877623573E-2"/>
                  <c:y val="-3.895246427529892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A23-4A83-8288-E550596A4940}"/>
                </c:ext>
              </c:extLst>
            </c:dLbl>
            <c:dLbl>
              <c:idx val="16"/>
              <c:layout>
                <c:manualLayout>
                  <c:x val="-8.0442433383609846E-3"/>
                  <c:y val="-7.501170950504675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A23-4A83-8288-E550596A4940}"/>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val>
            <c:numRef>
              <c:f>Figure11!$E$22:$E$38</c:f>
              <c:numCache>
                <c:formatCode>0.0</c:formatCode>
                <c:ptCount val="17"/>
                <c:pt idx="0">
                  <c:v>2.53905</c:v>
                </c:pt>
                <c:pt idx="1">
                  <c:v>4.6602899999999998</c:v>
                </c:pt>
                <c:pt idx="2">
                  <c:v>3.88903</c:v>
                </c:pt>
                <c:pt idx="3">
                  <c:v>4.9371600000000004</c:v>
                </c:pt>
                <c:pt idx="4">
                  <c:v>3.0330300000000001</c:v>
                </c:pt>
                <c:pt idx="5">
                  <c:v>3.21265</c:v>
                </c:pt>
                <c:pt idx="6">
                  <c:v>3.1987999999999999</c:v>
                </c:pt>
                <c:pt idx="7">
                  <c:v>2.1067</c:v>
                </c:pt>
                <c:pt idx="8">
                  <c:v>3.2505700000000002</c:v>
                </c:pt>
                <c:pt idx="9">
                  <c:v>2.7454800000000001</c:v>
                </c:pt>
                <c:pt idx="10">
                  <c:v>2.3196099999999999</c:v>
                </c:pt>
                <c:pt idx="11">
                  <c:v>1.8743300000000001</c:v>
                </c:pt>
                <c:pt idx="12">
                  <c:v>1.55681</c:v>
                </c:pt>
                <c:pt idx="13">
                  <c:v>2.9790000000000001</c:v>
                </c:pt>
                <c:pt idx="14">
                  <c:v>5.2690299999999999</c:v>
                </c:pt>
                <c:pt idx="15">
                  <c:v>5.8034100000000004</c:v>
                </c:pt>
                <c:pt idx="16">
                  <c:v>6.2699800000000003</c:v>
                </c:pt>
              </c:numCache>
            </c:numRef>
          </c:val>
          <c:smooth val="0"/>
          <c:extLst xmlns:c16r2="http://schemas.microsoft.com/office/drawing/2015/06/chart">
            <c:ext xmlns:c16="http://schemas.microsoft.com/office/drawing/2014/chart" uri="{C3380CC4-5D6E-409C-BE32-E72D297353CC}">
              <c16:uniqueId val="{00000005-5A23-4A83-8288-E550596A4940}"/>
            </c:ext>
          </c:extLst>
        </c:ser>
        <c:ser>
          <c:idx val="2"/>
          <c:order val="2"/>
          <c:tx>
            <c:v>Hispanic</c:v>
          </c:tx>
          <c:marker>
            <c:symbol val="none"/>
          </c:marker>
          <c:dLbls>
            <c:dLbl>
              <c:idx val="0"/>
              <c:layout>
                <c:manualLayout>
                  <c:x val="-4.2232277526395176E-2"/>
                  <c:y val="-3.750585475252337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A23-4A83-8288-E550596A4940}"/>
                </c:ext>
              </c:extLst>
            </c:dLbl>
            <c:dLbl>
              <c:idx val="16"/>
              <c:layout>
                <c:manualLayout>
                  <c:x val="-8.0442433383609846E-3"/>
                  <c:y val="-1.500234190100935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A23-4A83-8288-E550596A4940}"/>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val>
            <c:numRef>
              <c:f>Figure11!$G$22:$G$38</c:f>
              <c:numCache>
                <c:formatCode>0.0</c:formatCode>
                <c:ptCount val="17"/>
                <c:pt idx="0">
                  <c:v>2.0402300000000002</c:v>
                </c:pt>
                <c:pt idx="1">
                  <c:v>2.97519</c:v>
                </c:pt>
                <c:pt idx="2">
                  <c:v>4.4883600000000001</c:v>
                </c:pt>
                <c:pt idx="3">
                  <c:v>4.5967500000000001</c:v>
                </c:pt>
                <c:pt idx="4">
                  <c:v>2.6831999999999998</c:v>
                </c:pt>
                <c:pt idx="5">
                  <c:v>1.9250100000000001</c:v>
                </c:pt>
                <c:pt idx="6">
                  <c:v>4.3222199999999997</c:v>
                </c:pt>
                <c:pt idx="7">
                  <c:v>4.4323899999999998</c:v>
                </c:pt>
                <c:pt idx="8">
                  <c:v>2.6841200000000001</c:v>
                </c:pt>
                <c:pt idx="9">
                  <c:v>1.67439</c:v>
                </c:pt>
                <c:pt idx="10">
                  <c:v>2.5388899999999999</c:v>
                </c:pt>
                <c:pt idx="11">
                  <c:v>2.8481000000000001</c:v>
                </c:pt>
                <c:pt idx="12">
                  <c:v>1.9643299999999999</c:v>
                </c:pt>
                <c:pt idx="13">
                  <c:v>3.6638700000000002</c:v>
                </c:pt>
                <c:pt idx="14">
                  <c:v>6.02135</c:v>
                </c:pt>
                <c:pt idx="15">
                  <c:v>7.8689999999999998</c:v>
                </c:pt>
                <c:pt idx="16">
                  <c:v>10.2089</c:v>
                </c:pt>
              </c:numCache>
            </c:numRef>
          </c:val>
          <c:smooth val="0"/>
          <c:extLst xmlns:c16r2="http://schemas.microsoft.com/office/drawing/2015/06/chart">
            <c:ext xmlns:c16="http://schemas.microsoft.com/office/drawing/2014/chart" uri="{C3380CC4-5D6E-409C-BE32-E72D297353CC}">
              <c16:uniqueId val="{00000008-5A23-4A83-8288-E550596A4940}"/>
            </c:ext>
          </c:extLst>
        </c:ser>
        <c:dLbls>
          <c:showLegendKey val="0"/>
          <c:showVal val="0"/>
          <c:showCatName val="0"/>
          <c:showSerName val="0"/>
          <c:showPercent val="0"/>
          <c:showBubbleSize val="0"/>
        </c:dLbls>
        <c:marker val="1"/>
        <c:smooth val="0"/>
        <c:axId val="55574528"/>
        <c:axId val="55576064"/>
      </c:lineChart>
      <c:catAx>
        <c:axId val="55574528"/>
        <c:scaling>
          <c:orientation val="minMax"/>
        </c:scaling>
        <c:delete val="0"/>
        <c:axPos val="b"/>
        <c:numFmt formatCode="General" sourceLinked="1"/>
        <c:majorTickMark val="out"/>
        <c:minorTickMark val="none"/>
        <c:tickLblPos val="nextTo"/>
        <c:crossAx val="55576064"/>
        <c:crosses val="autoZero"/>
        <c:auto val="1"/>
        <c:lblAlgn val="ctr"/>
        <c:lblOffset val="100"/>
        <c:noMultiLvlLbl val="0"/>
      </c:catAx>
      <c:valAx>
        <c:axId val="55576064"/>
        <c:scaling>
          <c:orientation val="minMax"/>
        </c:scaling>
        <c:delete val="0"/>
        <c:axPos val="l"/>
        <c:majorGridlines>
          <c:spPr>
            <a:ln>
              <a:noFill/>
            </a:ln>
          </c:spPr>
        </c:majorGridlines>
        <c:title>
          <c:tx>
            <c:rich>
              <a:bodyPr rot="-5400000" vert="horz"/>
              <a:lstStyle/>
              <a:p>
                <a:pPr>
                  <a:defRPr/>
                </a:pPr>
                <a:r>
                  <a:rPr lang="en-US"/>
                  <a:t>Rate per 100,000</a:t>
                </a:r>
              </a:p>
            </c:rich>
          </c:tx>
          <c:layout/>
          <c:overlay val="0"/>
        </c:title>
        <c:numFmt formatCode="0.0" sourceLinked="1"/>
        <c:majorTickMark val="out"/>
        <c:minorTickMark val="none"/>
        <c:tickLblPos val="nextTo"/>
        <c:crossAx val="55574528"/>
        <c:crosses val="autoZero"/>
        <c:crossBetween val="between"/>
      </c:valAx>
    </c:plotArea>
    <c:legend>
      <c:legendPos val="b"/>
      <c:layout>
        <c:manualLayout>
          <c:xMode val="edge"/>
          <c:yMode val="edge"/>
          <c:x val="0.18258104614751211"/>
          <c:y val="0.75731172208575082"/>
          <c:w val="0.63483774935372905"/>
          <c:h val="6.7821512295127964E-2"/>
        </c:manualLayout>
      </c:layout>
      <c:overlay val="0"/>
    </c:legend>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sz="1200"/>
              <a:t>Figure</a:t>
            </a:r>
            <a:r>
              <a:rPr lang="en-US" sz="1200" baseline="0"/>
              <a:t> 4a: </a:t>
            </a:r>
            <a:r>
              <a:rPr lang="en-US" sz="1200"/>
              <a:t>Opioid-related Deaths with Accompanying Toxicology: 2014-2015 </a:t>
            </a:r>
          </a:p>
        </c:rich>
      </c:tx>
      <c:layout/>
      <c:overlay val="0"/>
    </c:title>
    <c:autoTitleDeleted val="0"/>
    <c:plotArea>
      <c:layout/>
      <c:barChart>
        <c:barDir val="col"/>
        <c:grouping val="clustered"/>
        <c:varyColors val="0"/>
        <c:ser>
          <c:idx val="0"/>
          <c:order val="0"/>
          <c:tx>
            <c:strRef>
              <c:f>'OpioidDeathwtihTox-Substance'!$B$1</c:f>
              <c:strCache>
                <c:ptCount val="1"/>
                <c:pt idx="0">
                  <c:v>Count of people</c:v>
                </c:pt>
              </c:strCache>
            </c:strRef>
          </c:tx>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'OpioidDeathwtihTox-Substance'!$A$2:$A$4</c:f>
              <c:strCache>
                <c:ptCount val="3"/>
                <c:pt idx="0">
                  <c:v>Opioids alone</c:v>
                </c:pt>
                <c:pt idx="1">
                  <c:v>Opioids+Stimulants
+/-Other Substances</c:v>
                </c:pt>
                <c:pt idx="2">
                  <c:v>Opioids+Other Substance (other than stimulants)</c:v>
                </c:pt>
              </c:strCache>
            </c:strRef>
          </c:cat>
          <c:val>
            <c:numRef>
              <c:f>'OpioidDeathwtihTox-Substance'!$B$2:$B$4</c:f>
              <c:numCache>
                <c:formatCode>General</c:formatCode>
                <c:ptCount val="3"/>
                <c:pt idx="0">
                  <c:v>389</c:v>
                </c:pt>
                <c:pt idx="1">
                  <c:v>808</c:v>
                </c:pt>
                <c:pt idx="2">
                  <c:v>1047</c:v>
                </c:pt>
              </c:numCache>
            </c:numRef>
          </c:val>
          <c:extLst xmlns:c16r2="http://schemas.microsoft.com/office/drawing/2015/06/chart">
            <c:ext xmlns:c16="http://schemas.microsoft.com/office/drawing/2014/chart" uri="{C3380CC4-5D6E-409C-BE32-E72D297353CC}">
              <c16:uniqueId val="{00000000-672B-499A-8F90-0D4FB451980C}"/>
            </c:ext>
          </c:extLst>
        </c:ser>
        <c:dLbls>
          <c:showLegendKey val="0"/>
          <c:showVal val="0"/>
          <c:showCatName val="0"/>
          <c:showSerName val="0"/>
          <c:showPercent val="0"/>
          <c:showBubbleSize val="0"/>
        </c:dLbls>
        <c:gapWidth val="219"/>
        <c:overlap val="-27"/>
        <c:axId val="55585792"/>
        <c:axId val="55587584"/>
      </c:barChart>
      <c:catAx>
        <c:axId val="55585792"/>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55587584"/>
        <c:crosses val="autoZero"/>
        <c:auto val="1"/>
        <c:lblAlgn val="ctr"/>
        <c:lblOffset val="100"/>
        <c:noMultiLvlLbl val="0"/>
      </c:catAx>
      <c:valAx>
        <c:axId val="55587584"/>
        <c:scaling>
          <c:orientation val="minMax"/>
        </c:scaling>
        <c:delete val="0"/>
        <c:axPos val="l"/>
        <c:majorGridlines>
          <c:spPr>
            <a:ln>
              <a:noFill/>
            </a:ln>
          </c:spPr>
        </c:majorGridlines>
        <c:numFmt formatCode="General" sourceLinked="1"/>
        <c:majorTickMark val="none"/>
        <c:minorTickMark val="none"/>
        <c:tickLblPos val="nextTo"/>
        <c:txPr>
          <a:bodyPr rot="-60000000" vert="horz"/>
          <a:lstStyle/>
          <a:p>
            <a:pPr>
              <a:defRPr/>
            </a:pPr>
            <a:endParaRPr lang="en-US"/>
          </a:p>
        </c:txPr>
        <c:crossAx val="55585792"/>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effectLst/>
              </a:rPr>
              <a:t>Figure 5: Odds of having both opioids and stimulants present in toxicology: 2014-2015</a:t>
            </a:r>
            <a:endParaRPr lang="en-US" sz="1200"/>
          </a:p>
        </c:rich>
      </c:tx>
      <c:layout/>
      <c:overlay val="0"/>
    </c:title>
    <c:autoTitleDeleted val="0"/>
    <c:plotArea>
      <c:layout>
        <c:manualLayout>
          <c:layoutTarget val="inner"/>
          <c:xMode val="edge"/>
          <c:yMode val="edge"/>
          <c:x val="0.19049286009937061"/>
          <c:y val="0.16747339352756835"/>
          <c:w val="0.7745449272286995"/>
          <c:h val="0.65910279989857068"/>
        </c:manualLayout>
      </c:layout>
      <c:barChart>
        <c:barDir val="bar"/>
        <c:grouping val="clustered"/>
        <c:varyColors val="0"/>
        <c:ser>
          <c:idx val="0"/>
          <c:order val="0"/>
          <c:tx>
            <c:strRef>
              <c:f>Sheet7!$A$8</c:f>
              <c:strCache>
                <c:ptCount val="1"/>
                <c:pt idx="0">
                  <c:v>Opioid + Stimulant</c:v>
                </c:pt>
              </c:strCache>
            </c:strRef>
          </c:tx>
          <c:invertIfNegative val="0"/>
          <c:dPt>
            <c:idx val="0"/>
            <c:invertIfNegative val="0"/>
            <c:bubble3D val="0"/>
            <c:spPr>
              <a:solidFill>
                <a:schemeClr val="accent6"/>
              </a:solidFill>
            </c:spPr>
            <c:extLst xmlns:c16r2="http://schemas.microsoft.com/office/drawing/2015/06/chart">
              <c:ext xmlns:c16="http://schemas.microsoft.com/office/drawing/2014/chart" uri="{C3380CC4-5D6E-409C-BE32-E72D297353CC}">
                <c16:uniqueId val="{00000001-BE07-4342-AABE-75065ECE88A6}"/>
              </c:ext>
            </c:extLst>
          </c:dPt>
          <c:dPt>
            <c:idx val="1"/>
            <c:invertIfNegative val="0"/>
            <c:bubble3D val="0"/>
            <c:spPr>
              <a:solidFill>
                <a:schemeClr val="accent6"/>
              </a:solidFill>
            </c:spPr>
            <c:extLst xmlns:c16r2="http://schemas.microsoft.com/office/drawing/2015/06/chart">
              <c:ext xmlns:c16="http://schemas.microsoft.com/office/drawing/2014/chart" uri="{C3380CC4-5D6E-409C-BE32-E72D297353CC}">
                <c16:uniqueId val="{00000003-BE07-4342-AABE-75065ECE88A6}"/>
              </c:ext>
            </c:extLst>
          </c:dPt>
          <c:dPt>
            <c:idx val="2"/>
            <c:invertIfNegative val="0"/>
            <c:bubble3D val="0"/>
            <c:spPr>
              <a:solidFill>
                <a:schemeClr val="accent4"/>
              </a:solidFill>
            </c:spPr>
            <c:extLst xmlns:c16r2="http://schemas.microsoft.com/office/drawing/2015/06/chart">
              <c:ext xmlns:c16="http://schemas.microsoft.com/office/drawing/2014/chart" uri="{C3380CC4-5D6E-409C-BE32-E72D297353CC}">
                <c16:uniqueId val="{00000005-BE07-4342-AABE-75065ECE88A6}"/>
              </c:ext>
            </c:extLst>
          </c:dPt>
          <c:dPt>
            <c:idx val="3"/>
            <c:invertIfNegative val="0"/>
            <c:bubble3D val="0"/>
            <c:spPr>
              <a:solidFill>
                <a:schemeClr val="accent4"/>
              </a:solidFill>
            </c:spPr>
            <c:extLst xmlns:c16r2="http://schemas.microsoft.com/office/drawing/2015/06/chart">
              <c:ext xmlns:c16="http://schemas.microsoft.com/office/drawing/2014/chart" uri="{C3380CC4-5D6E-409C-BE32-E72D297353CC}">
                <c16:uniqueId val="{00000007-BE07-4342-AABE-75065ECE88A6}"/>
              </c:ext>
            </c:extLst>
          </c:dPt>
          <c:dPt>
            <c:idx val="4"/>
            <c:invertIfNegative val="0"/>
            <c:bubble3D val="0"/>
            <c:spPr>
              <a:solidFill>
                <a:schemeClr val="accent3"/>
              </a:solidFill>
            </c:spPr>
            <c:extLst xmlns:c16r2="http://schemas.microsoft.com/office/drawing/2015/06/chart">
              <c:ext xmlns:c16="http://schemas.microsoft.com/office/drawing/2014/chart" uri="{C3380CC4-5D6E-409C-BE32-E72D297353CC}">
                <c16:uniqueId val="{00000009-BE07-4342-AABE-75065ECE88A6}"/>
              </c:ext>
            </c:extLst>
          </c:dPt>
          <c:dPt>
            <c:idx val="5"/>
            <c:invertIfNegative val="0"/>
            <c:bubble3D val="0"/>
            <c:spPr>
              <a:solidFill>
                <a:schemeClr val="accent3"/>
              </a:solidFill>
            </c:spPr>
            <c:extLst xmlns:c16r2="http://schemas.microsoft.com/office/drawing/2015/06/chart">
              <c:ext xmlns:c16="http://schemas.microsoft.com/office/drawing/2014/chart" uri="{C3380CC4-5D6E-409C-BE32-E72D297353CC}">
                <c16:uniqueId val="{0000000B-BE07-4342-AABE-75065ECE88A6}"/>
              </c:ext>
            </c:extLst>
          </c:dPt>
          <c:dPt>
            <c:idx val="6"/>
            <c:invertIfNegative val="0"/>
            <c:bubble3D val="0"/>
            <c:spPr>
              <a:solidFill>
                <a:schemeClr val="accent1"/>
              </a:solidFill>
            </c:spPr>
            <c:extLst xmlns:c16r2="http://schemas.microsoft.com/office/drawing/2015/06/chart">
              <c:ext xmlns:c16="http://schemas.microsoft.com/office/drawing/2014/chart" uri="{C3380CC4-5D6E-409C-BE32-E72D297353CC}">
                <c16:uniqueId val="{0000000D-BE07-4342-AABE-75065ECE88A6}"/>
              </c:ext>
            </c:extLst>
          </c:dPt>
          <c:dPt>
            <c:idx val="7"/>
            <c:invertIfNegative val="0"/>
            <c:bubble3D val="0"/>
            <c:spPr>
              <a:solidFill>
                <a:schemeClr val="accent1"/>
              </a:solidFill>
            </c:spPr>
            <c:extLst xmlns:c16r2="http://schemas.microsoft.com/office/drawing/2015/06/chart">
              <c:ext xmlns:c16="http://schemas.microsoft.com/office/drawing/2014/chart" uri="{C3380CC4-5D6E-409C-BE32-E72D297353CC}">
                <c16:uniqueId val="{0000000F-BE07-4342-AABE-75065ECE88A6}"/>
              </c:ext>
            </c:extLst>
          </c:dPt>
          <c:dPt>
            <c:idx val="8"/>
            <c:invertIfNegative val="0"/>
            <c:bubble3D val="0"/>
            <c:spPr>
              <a:solidFill>
                <a:schemeClr val="accent2"/>
              </a:solidFill>
            </c:spPr>
            <c:extLst xmlns:c16r2="http://schemas.microsoft.com/office/drawing/2015/06/chart">
              <c:ext xmlns:c16="http://schemas.microsoft.com/office/drawing/2014/chart" uri="{C3380CC4-5D6E-409C-BE32-E72D297353CC}">
                <c16:uniqueId val="{00000011-BE07-4342-AABE-75065ECE88A6}"/>
              </c:ext>
            </c:extLst>
          </c:dPt>
          <c:dPt>
            <c:idx val="9"/>
            <c:invertIfNegative val="0"/>
            <c:bubble3D val="0"/>
            <c:spPr>
              <a:solidFill>
                <a:schemeClr val="accent2"/>
              </a:solidFill>
            </c:spPr>
            <c:extLst xmlns:c16r2="http://schemas.microsoft.com/office/drawing/2015/06/chart">
              <c:ext xmlns:c16="http://schemas.microsoft.com/office/drawing/2014/chart" uri="{C3380CC4-5D6E-409C-BE32-E72D297353CC}">
                <c16:uniqueId val="{00000013-BE07-4342-AABE-75065ECE88A6}"/>
              </c:ext>
            </c:extLst>
          </c:dPt>
          <c:dPt>
            <c:idx val="10"/>
            <c:invertIfNegative val="0"/>
            <c:bubble3D val="0"/>
            <c:spPr>
              <a:solidFill>
                <a:schemeClr val="accent2"/>
              </a:solidFill>
            </c:spPr>
            <c:extLst xmlns:c16r2="http://schemas.microsoft.com/office/drawing/2015/06/chart">
              <c:ext xmlns:c16="http://schemas.microsoft.com/office/drawing/2014/chart" uri="{C3380CC4-5D6E-409C-BE32-E72D297353CC}">
                <c16:uniqueId val="{00000015-BE07-4342-AABE-75065ECE88A6}"/>
              </c:ext>
            </c:extLst>
          </c:dPt>
          <c:cat>
            <c:multiLvlStrRef>
              <c:f>Sheet7!$B$6:$L$7</c:f>
              <c:multiLvlStrCache>
                <c:ptCount val="11"/>
                <c:lvl>
                  <c:pt idx="0">
                    <c:v>No</c:v>
                  </c:pt>
                  <c:pt idx="1">
                    <c:v>Yes</c:v>
                  </c:pt>
                  <c:pt idx="2">
                    <c:v>No</c:v>
                  </c:pt>
                  <c:pt idx="3">
                    <c:v>Yes</c:v>
                  </c:pt>
                  <c:pt idx="4">
                    <c:v>No</c:v>
                  </c:pt>
                  <c:pt idx="5">
                    <c:v>Yes</c:v>
                  </c:pt>
                  <c:pt idx="6">
                    <c:v>White non-Hispanic</c:v>
                  </c:pt>
                  <c:pt idx="7">
                    <c:v>Black non-Hispanic</c:v>
                  </c:pt>
                  <c:pt idx="8">
                    <c:v>Ages 11-24</c:v>
                  </c:pt>
                  <c:pt idx="9">
                    <c:v>Ages 25-44</c:v>
                  </c:pt>
                  <c:pt idx="10">
                    <c:v>Ages 45+</c:v>
                  </c:pt>
                </c:lvl>
                <c:lvl>
                  <c:pt idx="0">
                    <c:v>Mental Illness</c:v>
                  </c:pt>
                  <c:pt idx="2">
                    <c:v>Rural </c:v>
                  </c:pt>
                  <c:pt idx="4">
                    <c:v>Homeless History</c:v>
                  </c:pt>
                  <c:pt idx="6">
                    <c:v>Race</c:v>
                  </c:pt>
                  <c:pt idx="8">
                    <c:v>Age</c:v>
                  </c:pt>
                </c:lvl>
              </c:multiLvlStrCache>
            </c:multiLvlStrRef>
          </c:cat>
          <c:val>
            <c:numRef>
              <c:f>Sheet7!$B$8:$L$8</c:f>
              <c:numCache>
                <c:formatCode>General</c:formatCode>
                <c:ptCount val="11"/>
                <c:pt idx="0">
                  <c:v>1</c:v>
                </c:pt>
                <c:pt idx="1">
                  <c:v>1.56</c:v>
                </c:pt>
                <c:pt idx="2">
                  <c:v>0.52</c:v>
                </c:pt>
                <c:pt idx="3">
                  <c:v>1</c:v>
                </c:pt>
                <c:pt idx="4">
                  <c:v>1</c:v>
                </c:pt>
                <c:pt idx="5">
                  <c:v>1.85</c:v>
                </c:pt>
                <c:pt idx="6">
                  <c:v>1</c:v>
                </c:pt>
                <c:pt idx="7">
                  <c:v>2.1800000000000002</c:v>
                </c:pt>
                <c:pt idx="8">
                  <c:v>1</c:v>
                </c:pt>
                <c:pt idx="9">
                  <c:v>1.84</c:v>
                </c:pt>
                <c:pt idx="10">
                  <c:v>1.7</c:v>
                </c:pt>
              </c:numCache>
            </c:numRef>
          </c:val>
          <c:extLst xmlns:c16r2="http://schemas.microsoft.com/office/drawing/2015/06/chart">
            <c:ext xmlns:c16="http://schemas.microsoft.com/office/drawing/2014/chart" uri="{C3380CC4-5D6E-409C-BE32-E72D297353CC}">
              <c16:uniqueId val="{00000016-BE07-4342-AABE-75065ECE88A6}"/>
            </c:ext>
          </c:extLst>
        </c:ser>
        <c:dLbls>
          <c:showLegendKey val="0"/>
          <c:showVal val="0"/>
          <c:showCatName val="0"/>
          <c:showSerName val="0"/>
          <c:showPercent val="0"/>
          <c:showBubbleSize val="0"/>
        </c:dLbls>
        <c:gapWidth val="150"/>
        <c:axId val="55605120"/>
        <c:axId val="55606656"/>
      </c:barChart>
      <c:catAx>
        <c:axId val="55605120"/>
        <c:scaling>
          <c:orientation val="minMax"/>
        </c:scaling>
        <c:delete val="0"/>
        <c:axPos val="l"/>
        <c:numFmt formatCode="General" sourceLinked="0"/>
        <c:majorTickMark val="out"/>
        <c:minorTickMark val="none"/>
        <c:tickLblPos val="nextTo"/>
        <c:txPr>
          <a:bodyPr/>
          <a:lstStyle/>
          <a:p>
            <a:pPr>
              <a:defRPr sz="900" baseline="0"/>
            </a:pPr>
            <a:endParaRPr lang="en-US"/>
          </a:p>
        </c:txPr>
        <c:crossAx val="55606656"/>
        <c:crosses val="autoZero"/>
        <c:auto val="1"/>
        <c:lblAlgn val="ctr"/>
        <c:lblOffset val="100"/>
        <c:noMultiLvlLbl val="0"/>
      </c:catAx>
      <c:valAx>
        <c:axId val="55606656"/>
        <c:scaling>
          <c:orientation val="minMax"/>
        </c:scaling>
        <c:delete val="0"/>
        <c:axPos val="b"/>
        <c:majorGridlines>
          <c:spPr>
            <a:ln>
              <a:noFill/>
            </a:ln>
          </c:spPr>
        </c:majorGridlines>
        <c:numFmt formatCode="General" sourceLinked="1"/>
        <c:majorTickMark val="out"/>
        <c:minorTickMark val="none"/>
        <c:tickLblPos val="nextTo"/>
        <c:crossAx val="55605120"/>
        <c:crosses val="autoZero"/>
        <c:crossBetween val="between"/>
      </c:valAx>
    </c:plotArea>
    <c:plotVisOnly val="1"/>
    <c:dispBlanksAs val="gap"/>
    <c:showDLblsOverMax val="0"/>
  </c:chart>
  <c:spPr>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rPr>
              <a:t>Figure 7: Comparing Postpartum and Overall Opioid Overdose Rates by EOHHS Region: </a:t>
            </a:r>
            <a:r>
              <a:rPr lang="en-US" sz="1200" b="1" i="0" u="none" strike="noStrike" baseline="0">
                <a:effectLst/>
              </a:rPr>
              <a:t> January 1</a:t>
            </a:r>
            <a:r>
              <a:rPr lang="en-US" sz="1200" b="1" i="0" u="none" strike="noStrike" baseline="30000">
                <a:effectLst/>
              </a:rPr>
              <a:t>st, </a:t>
            </a:r>
            <a:r>
              <a:rPr lang="en-US" sz="1200" b="1" i="0" u="none" strike="noStrike" baseline="0">
                <a:effectLst/>
              </a:rPr>
              <a:t>2012- September 30</a:t>
            </a:r>
            <a:r>
              <a:rPr lang="en-US" sz="1200" b="1" i="0" u="none" strike="noStrike" baseline="30000">
                <a:effectLst/>
              </a:rPr>
              <a:t>th</a:t>
            </a:r>
            <a:r>
              <a:rPr lang="en-US" sz="1200" b="1" i="0" u="none" strike="noStrike" baseline="0">
                <a:effectLst/>
              </a:rPr>
              <a:t>, 2014</a:t>
            </a:r>
            <a:r>
              <a:rPr lang="en-US" sz="1800" b="1" i="0" u="none" strike="noStrike" baseline="0">
                <a:effectLst/>
              </a:rPr>
              <a:t> </a:t>
            </a:r>
            <a:endParaRPr lang="en-US" sz="1200">
              <a:effectLst/>
            </a:endParaRPr>
          </a:p>
        </c:rich>
      </c:tx>
      <c:layout/>
      <c:overlay val="0"/>
    </c:title>
    <c:autoTitleDeleted val="0"/>
    <c:plotArea>
      <c:layout/>
      <c:barChart>
        <c:barDir val="col"/>
        <c:grouping val="clustered"/>
        <c:varyColors val="0"/>
        <c:ser>
          <c:idx val="0"/>
          <c:order val="0"/>
          <c:tx>
            <c:strRef>
              <c:f>Sheet2!$B$1</c:f>
              <c:strCache>
                <c:ptCount val="1"/>
                <c:pt idx="0">
                  <c:v>Postpartum overdoses per 1,000 deliveries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Sheet2!$A$2:$A$7</c:f>
              <c:strCache>
                <c:ptCount val="6"/>
                <c:pt idx="0">
                  <c:v>West</c:v>
                </c:pt>
                <c:pt idx="1">
                  <c:v>Central</c:v>
                </c:pt>
                <c:pt idx="2">
                  <c:v>Northeast</c:v>
                </c:pt>
                <c:pt idx="3">
                  <c:v>Metrowest</c:v>
                </c:pt>
                <c:pt idx="4">
                  <c:v>Southeast</c:v>
                </c:pt>
                <c:pt idx="5">
                  <c:v>Boston </c:v>
                </c:pt>
              </c:strCache>
            </c:strRef>
          </c:cat>
          <c:val>
            <c:numRef>
              <c:f>Sheet2!$B$2:$B$7</c:f>
              <c:numCache>
                <c:formatCode>General</c:formatCode>
                <c:ptCount val="6"/>
                <c:pt idx="0">
                  <c:v>4.8</c:v>
                </c:pt>
                <c:pt idx="1">
                  <c:v>5.7</c:v>
                </c:pt>
                <c:pt idx="2">
                  <c:v>5</c:v>
                </c:pt>
                <c:pt idx="3">
                  <c:v>3.2</c:v>
                </c:pt>
                <c:pt idx="4">
                  <c:v>6.5</c:v>
                </c:pt>
                <c:pt idx="5">
                  <c:v>4.2</c:v>
                </c:pt>
              </c:numCache>
            </c:numRef>
          </c:val>
          <c:extLst xmlns:c16r2="http://schemas.microsoft.com/office/drawing/2015/06/chart">
            <c:ext xmlns:c16="http://schemas.microsoft.com/office/drawing/2014/chart" uri="{C3380CC4-5D6E-409C-BE32-E72D297353CC}">
              <c16:uniqueId val="{00000000-73A0-4E35-8737-0E464D6878F2}"/>
            </c:ext>
          </c:extLst>
        </c:ser>
        <c:ser>
          <c:idx val="1"/>
          <c:order val="1"/>
          <c:tx>
            <c:strRef>
              <c:f>Sheet2!$C$1</c:f>
              <c:strCache>
                <c:ptCount val="1"/>
                <c:pt idx="0">
                  <c:v>Overdoses per 1,000 residents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Sheet2!$A$2:$A$7</c:f>
              <c:strCache>
                <c:ptCount val="6"/>
                <c:pt idx="0">
                  <c:v>West</c:v>
                </c:pt>
                <c:pt idx="1">
                  <c:v>Central</c:v>
                </c:pt>
                <c:pt idx="2">
                  <c:v>Northeast</c:v>
                </c:pt>
                <c:pt idx="3">
                  <c:v>Metrowest</c:v>
                </c:pt>
                <c:pt idx="4">
                  <c:v>Southeast</c:v>
                </c:pt>
                <c:pt idx="5">
                  <c:v>Boston </c:v>
                </c:pt>
              </c:strCache>
            </c:strRef>
          </c:cat>
          <c:val>
            <c:numRef>
              <c:f>Sheet2!$C$2:$C$7</c:f>
              <c:numCache>
                <c:formatCode>General</c:formatCode>
                <c:ptCount val="6"/>
                <c:pt idx="0">
                  <c:v>1.3</c:v>
                </c:pt>
                <c:pt idx="1">
                  <c:v>1</c:v>
                </c:pt>
                <c:pt idx="2">
                  <c:v>1.1000000000000001</c:v>
                </c:pt>
                <c:pt idx="3">
                  <c:v>0.6</c:v>
                </c:pt>
                <c:pt idx="4">
                  <c:v>1.9</c:v>
                </c:pt>
                <c:pt idx="5">
                  <c:v>0.4</c:v>
                </c:pt>
              </c:numCache>
            </c:numRef>
          </c:val>
          <c:extLst xmlns:c16r2="http://schemas.microsoft.com/office/drawing/2015/06/chart">
            <c:ext xmlns:c16="http://schemas.microsoft.com/office/drawing/2014/chart" uri="{C3380CC4-5D6E-409C-BE32-E72D297353CC}">
              <c16:uniqueId val="{00000001-73A0-4E35-8737-0E464D6878F2}"/>
            </c:ext>
          </c:extLst>
        </c:ser>
        <c:dLbls>
          <c:showLegendKey val="0"/>
          <c:showVal val="0"/>
          <c:showCatName val="0"/>
          <c:showSerName val="0"/>
          <c:showPercent val="0"/>
          <c:showBubbleSize val="0"/>
        </c:dLbls>
        <c:gapWidth val="75"/>
        <c:overlap val="-25"/>
        <c:axId val="55716096"/>
        <c:axId val="55730176"/>
      </c:barChart>
      <c:catAx>
        <c:axId val="55716096"/>
        <c:scaling>
          <c:orientation val="minMax"/>
        </c:scaling>
        <c:delete val="0"/>
        <c:axPos val="b"/>
        <c:numFmt formatCode="General" sourceLinked="0"/>
        <c:majorTickMark val="none"/>
        <c:minorTickMark val="none"/>
        <c:tickLblPos val="nextTo"/>
        <c:crossAx val="55730176"/>
        <c:crosses val="autoZero"/>
        <c:auto val="1"/>
        <c:lblAlgn val="ctr"/>
        <c:lblOffset val="100"/>
        <c:noMultiLvlLbl val="0"/>
      </c:catAx>
      <c:valAx>
        <c:axId val="55730176"/>
        <c:scaling>
          <c:orientation val="minMax"/>
        </c:scaling>
        <c:delete val="1"/>
        <c:axPos val="l"/>
        <c:majorGridlines>
          <c:spPr>
            <a:ln>
              <a:noFill/>
            </a:ln>
          </c:spPr>
        </c:majorGridlines>
        <c:numFmt formatCode="General" sourceLinked="1"/>
        <c:majorTickMark val="none"/>
        <c:minorTickMark val="none"/>
        <c:tickLblPos val="nextTo"/>
        <c:crossAx val="55716096"/>
        <c:crosses val="autoZero"/>
        <c:crossBetween val="between"/>
      </c:valAx>
    </c:plotArea>
    <c:legend>
      <c:legendPos val="b"/>
      <c:layout/>
      <c:overlay val="0"/>
    </c:legend>
    <c:plotVisOnly val="1"/>
    <c:dispBlanksAs val="gap"/>
    <c:showDLblsOverMax val="0"/>
  </c:chart>
  <c:spPr>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a:t>Figure 8a: </a:t>
            </a:r>
            <a:r>
              <a:rPr lang="en-US" sz="1200" b="1" i="0" baseline="0">
                <a:effectLst/>
              </a:rPr>
              <a:t>Adjusted Risk of Death for those Highly Likely to be Homeless by Residential Treatment Status: 2011-2015</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a:t>  </a:t>
            </a:r>
          </a:p>
        </c:rich>
      </c:tx>
      <c:layout/>
      <c:overlay val="0"/>
    </c:title>
    <c:autoTitleDeleted val="0"/>
    <c:plotArea>
      <c:layout/>
      <c:barChart>
        <c:barDir val="col"/>
        <c:grouping val="clustered"/>
        <c:varyColors val="0"/>
        <c:ser>
          <c:idx val="0"/>
          <c:order val="0"/>
          <c:invertIfNegative val="0"/>
          <c:cat>
            <c:multiLvlStrRef>
              <c:f>'Figure 8'!$A$1:$B$2</c:f>
              <c:multiLvlStrCache>
                <c:ptCount val="2"/>
                <c:lvl>
                  <c:pt idx="0">
                    <c:v>Long-term residential treatment </c:v>
                  </c:pt>
                  <c:pt idx="1">
                    <c:v>No long-term residential treatment </c:v>
                  </c:pt>
                </c:lvl>
                <c:lvl>
                  <c:pt idx="0">
                    <c:v>High Likelihood of Homelessness</c:v>
                  </c:pt>
                </c:lvl>
              </c:multiLvlStrCache>
            </c:multiLvlStrRef>
          </c:cat>
          <c:val>
            <c:numRef>
              <c:f>'Figure 8'!$A$3:$B$3</c:f>
              <c:numCache>
                <c:formatCode>General</c:formatCode>
                <c:ptCount val="2"/>
                <c:pt idx="0">
                  <c:v>0.48</c:v>
                </c:pt>
                <c:pt idx="1">
                  <c:v>1</c:v>
                </c:pt>
              </c:numCache>
            </c:numRef>
          </c:val>
          <c:extLst xmlns:c16r2="http://schemas.microsoft.com/office/drawing/2015/06/chart">
            <c:ext xmlns:c16="http://schemas.microsoft.com/office/drawing/2014/chart" uri="{C3380CC4-5D6E-409C-BE32-E72D297353CC}">
              <c16:uniqueId val="{00000000-9E2F-48F0-8615-74B9304E21DE}"/>
            </c:ext>
          </c:extLst>
        </c:ser>
        <c:dLbls>
          <c:showLegendKey val="0"/>
          <c:showVal val="0"/>
          <c:showCatName val="0"/>
          <c:showSerName val="0"/>
          <c:showPercent val="0"/>
          <c:showBubbleSize val="0"/>
        </c:dLbls>
        <c:gapWidth val="150"/>
        <c:axId val="56570624"/>
        <c:axId val="56572160"/>
      </c:barChart>
      <c:catAx>
        <c:axId val="56570624"/>
        <c:scaling>
          <c:orientation val="minMax"/>
        </c:scaling>
        <c:delete val="0"/>
        <c:axPos val="b"/>
        <c:numFmt formatCode="General" sourceLinked="0"/>
        <c:majorTickMark val="out"/>
        <c:minorTickMark val="none"/>
        <c:tickLblPos val="nextTo"/>
        <c:crossAx val="56572160"/>
        <c:crosses val="autoZero"/>
        <c:auto val="1"/>
        <c:lblAlgn val="ctr"/>
        <c:lblOffset val="100"/>
        <c:noMultiLvlLbl val="0"/>
      </c:catAx>
      <c:valAx>
        <c:axId val="56572160"/>
        <c:scaling>
          <c:orientation val="minMax"/>
        </c:scaling>
        <c:delete val="0"/>
        <c:axPos val="l"/>
        <c:majorGridlines>
          <c:spPr>
            <a:ln>
              <a:noFill/>
            </a:ln>
          </c:spPr>
        </c:majorGridlines>
        <c:numFmt formatCode="General" sourceLinked="1"/>
        <c:majorTickMark val="out"/>
        <c:minorTickMark val="none"/>
        <c:tickLblPos val="nextTo"/>
        <c:crossAx val="56570624"/>
        <c:crosses val="autoZero"/>
        <c:crossBetween val="between"/>
      </c:valAx>
      <c:spPr>
        <a:ln>
          <a:noFill/>
        </a:ln>
      </c:spPr>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8b: Likelihood</a:t>
            </a:r>
            <a:r>
              <a:rPr lang="en-US" sz="1200" baseline="0"/>
              <a:t> of Receiving Residential Treatment Among those Highly Likely to be Homeless: 2011-2015</a:t>
            </a:r>
            <a:endParaRPr lang="en-US" sz="1200"/>
          </a:p>
        </c:rich>
      </c:tx>
      <c:layout/>
      <c:overlay val="0"/>
    </c:title>
    <c:autoTitleDeleted val="0"/>
    <c:plotArea>
      <c:layout/>
      <c:pieChart>
        <c:varyColors val="1"/>
        <c:ser>
          <c:idx val="0"/>
          <c:order val="0"/>
          <c:cat>
            <c:strRef>
              <c:f>'Figure 8'!$H$1:$I$1</c:f>
              <c:strCache>
                <c:ptCount val="2"/>
                <c:pt idx="0">
                  <c:v>Received Residental Treatment</c:v>
                </c:pt>
                <c:pt idx="1">
                  <c:v>Did Not Receive Residential Treatment</c:v>
                </c:pt>
              </c:strCache>
            </c:strRef>
          </c:cat>
          <c:val>
            <c:numRef>
              <c:f>'Figure 8'!$H$2:$I$2</c:f>
              <c:numCache>
                <c:formatCode>0%</c:formatCode>
                <c:ptCount val="2"/>
                <c:pt idx="0">
                  <c:v>0.25</c:v>
                </c:pt>
                <c:pt idx="1">
                  <c:v>0.75</c:v>
                </c:pt>
              </c:numCache>
            </c:numRef>
          </c:val>
          <c:extLst xmlns:c16r2="http://schemas.microsoft.com/office/drawing/2015/06/chart">
            <c:ext xmlns:c16="http://schemas.microsoft.com/office/drawing/2014/chart" uri="{C3380CC4-5D6E-409C-BE32-E72D297353CC}">
              <c16:uniqueId val="{00000000-F48E-4337-998D-45DD22FF3846}"/>
            </c:ext>
          </c:extLst>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9: MassHealth Members: Fatal and Non-Fatal Opioid Overdoses among those Experiencing Homelessness and/or Criminal Justice Involvement Ages 11-64 Years: 2011-2015</a:t>
            </a:r>
          </a:p>
        </c:rich>
      </c:tx>
      <c:layout/>
      <c:overlay val="0"/>
    </c:title>
    <c:autoTitleDeleted val="0"/>
    <c:plotArea>
      <c:layout>
        <c:manualLayout>
          <c:layoutTarget val="inner"/>
          <c:xMode val="edge"/>
          <c:yMode val="edge"/>
          <c:x val="0.1043651520304148"/>
          <c:y val="0.20562992125984253"/>
          <c:w val="0.871271614304026"/>
          <c:h val="0.46200695843252154"/>
        </c:manualLayout>
      </c:layout>
      <c:barChart>
        <c:barDir val="col"/>
        <c:grouping val="clustered"/>
        <c:varyColors val="0"/>
        <c:ser>
          <c:idx val="0"/>
          <c:order val="0"/>
          <c:tx>
            <c:strRef>
              <c:f>'6B Graph'!$B$25</c:f>
              <c:strCache>
                <c:ptCount val="1"/>
                <c:pt idx="0">
                  <c:v>Fatal OD</c:v>
                </c:pt>
              </c:strCache>
            </c:strRef>
          </c:tx>
          <c:invertIfNegative val="0"/>
          <c:cat>
            <c:strRef>
              <c:f>'6B Graph'!$A$26:$A$30</c:f>
              <c:strCache>
                <c:ptCount val="5"/>
                <c:pt idx="0">
                  <c:v>Total MassHealth Population (N=1,955,546)</c:v>
                </c:pt>
                <c:pt idx="1">
                  <c:v>Homeless Only (N=77,150)</c:v>
                </c:pt>
                <c:pt idx="2">
                  <c:v>Criminal Justice Involved Only (N=24,052)</c:v>
                </c:pt>
                <c:pt idx="3">
                  <c:v>Both Homeless and Criminal Justice Involved (N=14,015)</c:v>
                </c:pt>
                <c:pt idx="4">
                  <c:v>Neither Homeless or Criminal Justice Involved (N=1,221,043)</c:v>
                </c:pt>
              </c:strCache>
            </c:strRef>
          </c:cat>
          <c:val>
            <c:numRef>
              <c:f>'6B Graph'!$B$26:$B$30</c:f>
              <c:numCache>
                <c:formatCode>0.0</c:formatCode>
                <c:ptCount val="5"/>
                <c:pt idx="0">
                  <c:v>0.24</c:v>
                </c:pt>
                <c:pt idx="1">
                  <c:v>1.37</c:v>
                </c:pt>
                <c:pt idx="2">
                  <c:v>8.6E-3</c:v>
                </c:pt>
                <c:pt idx="3">
                  <c:v>2.71</c:v>
                </c:pt>
                <c:pt idx="4">
                  <c:v>0.14000000000000001</c:v>
                </c:pt>
              </c:numCache>
            </c:numRef>
          </c:val>
          <c:extLst xmlns:c16r2="http://schemas.microsoft.com/office/drawing/2015/06/chart">
            <c:ext xmlns:c16="http://schemas.microsoft.com/office/drawing/2014/chart" uri="{C3380CC4-5D6E-409C-BE32-E72D297353CC}">
              <c16:uniqueId val="{00000000-CA43-4720-88D6-2871B85FC18C}"/>
            </c:ext>
          </c:extLst>
        </c:ser>
        <c:ser>
          <c:idx val="1"/>
          <c:order val="1"/>
          <c:tx>
            <c:strRef>
              <c:f>'6B Graph'!$C$25</c:f>
              <c:strCache>
                <c:ptCount val="1"/>
                <c:pt idx="0">
                  <c:v>Non-Fatal OD</c:v>
                </c:pt>
              </c:strCache>
            </c:strRef>
          </c:tx>
          <c:invertIfNegative val="0"/>
          <c:cat>
            <c:strRef>
              <c:f>'6B Graph'!$A$26:$A$30</c:f>
              <c:strCache>
                <c:ptCount val="5"/>
                <c:pt idx="0">
                  <c:v>Total MassHealth Population (N=1,955,546)</c:v>
                </c:pt>
                <c:pt idx="1">
                  <c:v>Homeless Only (N=77,150)</c:v>
                </c:pt>
                <c:pt idx="2">
                  <c:v>Criminal Justice Involved Only (N=24,052)</c:v>
                </c:pt>
                <c:pt idx="3">
                  <c:v>Both Homeless and Criminal Justice Involved (N=14,015)</c:v>
                </c:pt>
                <c:pt idx="4">
                  <c:v>Neither Homeless or Criminal Justice Involved (N=1,221,043)</c:v>
                </c:pt>
              </c:strCache>
            </c:strRef>
          </c:cat>
          <c:val>
            <c:numRef>
              <c:f>'6B Graph'!$C$26:$C$30</c:f>
              <c:numCache>
                <c:formatCode>0.0</c:formatCode>
                <c:ptCount val="5"/>
                <c:pt idx="0">
                  <c:v>1.1200000000000001</c:v>
                </c:pt>
                <c:pt idx="1">
                  <c:v>9.3800000000000008</c:v>
                </c:pt>
                <c:pt idx="2">
                  <c:v>3.1</c:v>
                </c:pt>
                <c:pt idx="3">
                  <c:v>23.33</c:v>
                </c:pt>
                <c:pt idx="4">
                  <c:v>0.44</c:v>
                </c:pt>
              </c:numCache>
            </c:numRef>
          </c:val>
          <c:extLst xmlns:c16r2="http://schemas.microsoft.com/office/drawing/2015/06/chart">
            <c:ext xmlns:c16="http://schemas.microsoft.com/office/drawing/2014/chart" uri="{C3380CC4-5D6E-409C-BE32-E72D297353CC}">
              <c16:uniqueId val="{00000001-CA43-4720-88D6-2871B85FC18C}"/>
            </c:ext>
          </c:extLst>
        </c:ser>
        <c:dLbls>
          <c:showLegendKey val="0"/>
          <c:showVal val="0"/>
          <c:showCatName val="0"/>
          <c:showSerName val="0"/>
          <c:showPercent val="0"/>
          <c:showBubbleSize val="0"/>
        </c:dLbls>
        <c:gapWidth val="150"/>
        <c:axId val="57538816"/>
        <c:axId val="61870080"/>
      </c:barChart>
      <c:catAx>
        <c:axId val="57538816"/>
        <c:scaling>
          <c:orientation val="minMax"/>
        </c:scaling>
        <c:delete val="0"/>
        <c:axPos val="b"/>
        <c:numFmt formatCode="General" sourceLinked="0"/>
        <c:majorTickMark val="out"/>
        <c:minorTickMark val="none"/>
        <c:tickLblPos val="nextTo"/>
        <c:crossAx val="61870080"/>
        <c:crossesAt val="0"/>
        <c:auto val="1"/>
        <c:lblAlgn val="ctr"/>
        <c:lblOffset val="100"/>
        <c:noMultiLvlLbl val="0"/>
      </c:catAx>
      <c:valAx>
        <c:axId val="61870080"/>
        <c:scaling>
          <c:orientation val="minMax"/>
          <c:max val="25"/>
        </c:scaling>
        <c:delete val="0"/>
        <c:axPos val="l"/>
        <c:title>
          <c:tx>
            <c:rich>
              <a:bodyPr rot="-5400000" vert="horz"/>
              <a:lstStyle/>
              <a:p>
                <a:pPr>
                  <a:defRPr/>
                </a:pPr>
                <a:r>
                  <a:rPr lang="en-US"/>
                  <a:t>Percent</a:t>
                </a:r>
              </a:p>
            </c:rich>
          </c:tx>
          <c:layout/>
          <c:overlay val="0"/>
        </c:title>
        <c:numFmt formatCode="0" sourceLinked="0"/>
        <c:majorTickMark val="out"/>
        <c:minorTickMark val="none"/>
        <c:tickLblPos val="nextTo"/>
        <c:crossAx val="57538816"/>
        <c:crosses val="autoZero"/>
        <c:crossBetween val="between"/>
      </c:valAx>
    </c:plotArea>
    <c:legend>
      <c:legendPos val="b"/>
      <c:layout/>
      <c:overlay val="0"/>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0.87834</cdr:y>
    </cdr:from>
    <cdr:to>
      <cdr:x>0.95385</cdr:x>
      <cdr:y>1</cdr:y>
    </cdr:to>
    <cdr:sp macro="" textlink="">
      <cdr:nvSpPr>
        <cdr:cNvPr id="2" name="TextBox 1"/>
        <cdr:cNvSpPr txBox="1"/>
      </cdr:nvSpPr>
      <cdr:spPr>
        <a:xfrm xmlns:a="http://schemas.openxmlformats.org/drawingml/2006/main">
          <a:off x="0" y="2928175"/>
          <a:ext cx="5505765" cy="4055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a:effectLst/>
              <a:latin typeface="+mn-lt"/>
              <a:ea typeface="+mn-ea"/>
              <a:cs typeface="+mn-cs"/>
            </a:rPr>
            <a:t>Note: These deaths may include substances in addition to stimulants or opioids </a:t>
          </a:r>
          <a:br>
            <a:rPr lang="en-US" sz="800">
              <a:effectLst/>
              <a:latin typeface="+mn-lt"/>
              <a:ea typeface="+mn-ea"/>
              <a:cs typeface="+mn-cs"/>
            </a:rPr>
          </a:br>
          <a:r>
            <a:rPr lang="en-US" sz="800">
              <a:effectLst/>
              <a:latin typeface="+mn-lt"/>
              <a:ea typeface="+mn-ea"/>
              <a:cs typeface="+mn-cs"/>
            </a:rPr>
            <a:t>Source: MDPH Registry of Vital Records and Statistics</a:t>
          </a:r>
        </a:p>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0.87338</cdr:y>
    </cdr:from>
    <cdr:to>
      <cdr:x>0.98558</cdr:x>
      <cdr:y>0.99882</cdr:y>
    </cdr:to>
    <cdr:sp macro="" textlink="">
      <cdr:nvSpPr>
        <cdr:cNvPr id="3" name="TextBox 2"/>
        <cdr:cNvSpPr txBox="1"/>
      </cdr:nvSpPr>
      <cdr:spPr>
        <a:xfrm xmlns:a="http://schemas.openxmlformats.org/drawingml/2006/main">
          <a:off x="0" y="2831769"/>
          <a:ext cx="5857893" cy="4067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a:effectLst/>
              <a:latin typeface="+mn-lt"/>
              <a:ea typeface="+mn-ea"/>
              <a:cs typeface="+mn-cs"/>
            </a:rPr>
            <a:t>Note: These deaths may include substances in addition to stimulants and opioids</a:t>
          </a:r>
          <a:br>
            <a:rPr lang="en-US" sz="800">
              <a:effectLst/>
              <a:latin typeface="+mn-lt"/>
              <a:ea typeface="+mn-ea"/>
              <a:cs typeface="+mn-cs"/>
            </a:rPr>
          </a:br>
          <a:r>
            <a:rPr lang="en-US" sz="800">
              <a:effectLst/>
              <a:latin typeface="+mn-lt"/>
              <a:ea typeface="+mn-ea"/>
              <a:cs typeface="+mn-cs"/>
            </a:rPr>
            <a:t>Source: MDPH Registry of Vital Records and Statistics</a:t>
          </a:r>
        </a:p>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0.84057</cdr:y>
    </cdr:from>
    <cdr:to>
      <cdr:x>1</cdr:x>
      <cdr:y>1</cdr:y>
    </cdr:to>
    <cdr:sp macro="" textlink="">
      <cdr:nvSpPr>
        <cdr:cNvPr id="2" name="TextBox 1"/>
        <cdr:cNvSpPr txBox="1"/>
      </cdr:nvSpPr>
      <cdr:spPr>
        <a:xfrm xmlns:a="http://schemas.openxmlformats.org/drawingml/2006/main">
          <a:off x="0" y="2678417"/>
          <a:ext cx="5943600" cy="5080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800">
              <a:effectLst/>
              <a:latin typeface="+mn-lt"/>
              <a:ea typeface="+mn-ea"/>
              <a:cs typeface="+mn-cs"/>
            </a:rPr>
            <a:t>Notes: These deaths may include substances in addition to stimulants and opioids</a:t>
          </a:r>
          <a:br>
            <a:rPr lang="en-US" sz="800">
              <a:effectLst/>
              <a:latin typeface="+mn-lt"/>
              <a:ea typeface="+mn-ea"/>
              <a:cs typeface="+mn-cs"/>
            </a:rPr>
          </a:br>
          <a:r>
            <a:rPr lang="en-US" sz="800">
              <a:effectLst/>
              <a:latin typeface="+mn-lt"/>
              <a:ea typeface="+mn-ea"/>
              <a:cs typeface="+mn-cs"/>
            </a:rPr>
            <a:t>              Non-Hispanic Asian/Pacific Island and non-Hispanic Other are not displayed due to small counts </a:t>
          </a:r>
          <a:br>
            <a:rPr lang="en-US" sz="800">
              <a:effectLst/>
              <a:latin typeface="+mn-lt"/>
              <a:ea typeface="+mn-ea"/>
              <a:cs typeface="+mn-cs"/>
            </a:rPr>
          </a:br>
          <a:r>
            <a:rPr lang="en-US" sz="800">
              <a:effectLst/>
              <a:latin typeface="+mn-lt"/>
              <a:ea typeface="+mn-ea"/>
              <a:cs typeface="+mn-cs"/>
            </a:rPr>
            <a:t>Source: MDPH Registry of Vital Records and Statistics</a:t>
          </a:r>
        </a:p>
        <a:p xmlns:a="http://schemas.openxmlformats.org/drawingml/2006/main">
          <a:endParaRPr lang="en-US" sz="800"/>
        </a:p>
      </cdr:txBody>
    </cdr:sp>
  </cdr:relSizeAnchor>
</c:userShapes>
</file>

<file path=word/drawings/drawing4.xml><?xml version="1.0" encoding="utf-8"?>
<c:userShapes xmlns:c="http://schemas.openxmlformats.org/drawingml/2006/chart">
  <cdr:relSizeAnchor xmlns:cdr="http://schemas.openxmlformats.org/drawingml/2006/chartDrawing">
    <cdr:from>
      <cdr:x>0.00504</cdr:x>
      <cdr:y>0.89936</cdr:y>
    </cdr:from>
    <cdr:to>
      <cdr:x>1</cdr:x>
      <cdr:y>1</cdr:y>
    </cdr:to>
    <cdr:sp macro="" textlink="">
      <cdr:nvSpPr>
        <cdr:cNvPr id="3" name="TextBox 1"/>
        <cdr:cNvSpPr txBox="1"/>
      </cdr:nvSpPr>
      <cdr:spPr>
        <a:xfrm xmlns:a="http://schemas.openxmlformats.org/drawingml/2006/main">
          <a:off x="31750" y="3362327"/>
          <a:ext cx="6264276" cy="3762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t>Note: Differenes between</a:t>
          </a:r>
          <a:r>
            <a:rPr lang="en-US" sz="800" baseline="0"/>
            <a:t> Hispanic , Other non-Hispanic and White non-Hispanic were not statistically significant and are not shown here</a:t>
          </a:r>
          <a:endParaRPr lang="en-US" sz="800"/>
        </a:p>
      </cdr:txBody>
    </cdr:sp>
  </cdr:relSizeAnchor>
</c:userShapes>
</file>

<file path=word/drawings/drawing5.xml><?xml version="1.0" encoding="utf-8"?>
<c:userShapes xmlns:c="http://schemas.openxmlformats.org/drawingml/2006/chart">
  <cdr:relSizeAnchor xmlns:cdr="http://schemas.openxmlformats.org/drawingml/2006/chartDrawing">
    <cdr:from>
      <cdr:x>0.35294</cdr:x>
      <cdr:y>0.19505</cdr:y>
    </cdr:from>
    <cdr:to>
      <cdr:x>0.5351</cdr:x>
      <cdr:y>0.49226</cdr:y>
    </cdr:to>
    <cdr:sp macro="" textlink="">
      <cdr:nvSpPr>
        <cdr:cNvPr id="2" name="Text Box 1"/>
        <cdr:cNvSpPr txBox="1"/>
      </cdr:nvSpPr>
      <cdr:spPr>
        <a:xfrm xmlns:a="http://schemas.openxmlformats.org/drawingml/2006/main">
          <a:off x="1771650" y="6000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6.xml><?xml version="1.0" encoding="utf-8"?>
<c:userShapes xmlns:c="http://schemas.openxmlformats.org/drawingml/2006/chart">
  <cdr:relSizeAnchor xmlns:cdr="http://schemas.openxmlformats.org/drawingml/2006/chartDrawing">
    <cdr:from>
      <cdr:x>0.02825</cdr:x>
      <cdr:y>0.86724</cdr:y>
    </cdr:from>
    <cdr:to>
      <cdr:x>0.97175</cdr:x>
      <cdr:y>1</cdr:y>
    </cdr:to>
    <cdr:sp macro="" textlink="">
      <cdr:nvSpPr>
        <cdr:cNvPr id="2" name="TextBox 1"/>
        <cdr:cNvSpPr txBox="1"/>
      </cdr:nvSpPr>
      <cdr:spPr>
        <a:xfrm xmlns:a="http://schemas.openxmlformats.org/drawingml/2006/main">
          <a:off x="142882" y="2861974"/>
          <a:ext cx="4772011" cy="4381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*Other includes Asian/Pacific Islander </a:t>
          </a:r>
          <a:r>
            <a:rPr lang="en-US" sz="800" baseline="0"/>
            <a:t>non-Hispanic, American Indian non-Hispanic and other. Groups were combined due to small counts. </a:t>
          </a:r>
          <a:endParaRPr lang="en-US" sz="800"/>
        </a:p>
      </cdr:txBody>
    </cdr:sp>
  </cdr:relSizeAnchor>
</c:userShapes>
</file>

<file path=word/drawings/drawing7.xml><?xml version="1.0" encoding="utf-8"?>
<c:userShapes xmlns:c="http://schemas.openxmlformats.org/drawingml/2006/chart">
  <cdr:relSizeAnchor xmlns:cdr="http://schemas.openxmlformats.org/drawingml/2006/chartDrawing">
    <cdr:from>
      <cdr:x>0.02083</cdr:x>
      <cdr:y>0.86285</cdr:y>
    </cdr:from>
    <cdr:to>
      <cdr:x>0.98542</cdr:x>
      <cdr:y>1</cdr:y>
    </cdr:to>
    <cdr:sp macro="" textlink="">
      <cdr:nvSpPr>
        <cdr:cNvPr id="2" name="TextBox 1"/>
        <cdr:cNvSpPr txBox="1"/>
      </cdr:nvSpPr>
      <cdr:spPr>
        <a:xfrm xmlns:a="http://schemas.openxmlformats.org/drawingml/2006/main">
          <a:off x="95250" y="2366963"/>
          <a:ext cx="4410075" cy="3762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Note: Differences between</a:t>
          </a:r>
          <a:r>
            <a:rPr lang="en-US" sz="800" baseline="0"/>
            <a:t> Hispanic, Other non-Hispanic and White non-Hispanic were not statistically significant and are not shown here.</a:t>
          </a:r>
          <a:endParaRPr lang="en-US"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892F5-AF41-419D-9496-C26D1D5EF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13</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Dana</cp:lastModifiedBy>
  <cp:revision>7</cp:revision>
  <cp:lastPrinted>2019-03-08T19:54:00Z</cp:lastPrinted>
  <dcterms:created xsi:type="dcterms:W3CDTF">2019-03-08T20:10:00Z</dcterms:created>
  <dcterms:modified xsi:type="dcterms:W3CDTF">2019-03-12T18:25:00Z</dcterms:modified>
</cp:coreProperties>
</file>