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rawings/drawing4.xml" ContentType="application/vnd.openxmlformats-officedocument.drawingml.chartshapes+xml"/>
  <Override PartName="/word/charts/chart13.xml" ContentType="application/vnd.openxmlformats-officedocument.drawingml.chart+xml"/>
  <Override PartName="/word/theme/themeOverride1.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drawings/drawing5.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drawings/drawing6.xml" ContentType="application/vnd.openxmlformats-officedocument.drawingml.chartshapes+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drawings/drawing7.xml" ContentType="application/vnd.openxmlformats-officedocument.drawingml.chartshapes+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drawings/drawing8.xml" ContentType="application/vnd.openxmlformats-officedocument.drawingml.chartshapes+xml"/>
  <Override PartName="/word/charts/chart41.xml" ContentType="application/vnd.openxmlformats-officedocument.drawingml.chart+xml"/>
  <Override PartName="/word/drawings/drawing9.xml" ContentType="application/vnd.openxmlformats-officedocument.drawingml.chartshapes+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drawings/drawing10.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81" w:rsidRPr="00D21884" w:rsidRDefault="0097072A">
      <w:pPr>
        <w:rPr>
          <w:rFonts w:ascii="Times New Roman" w:hAnsi="Times New Roman" w:cs="Times New Roman"/>
          <w:sz w:val="24"/>
          <w:szCs w:val="24"/>
        </w:rPr>
      </w:pPr>
      <w:r w:rsidRPr="0021646B">
        <w:rPr>
          <w:noProof/>
        </w:rPr>
        <mc:AlternateContent>
          <mc:Choice Requires="wps">
            <w:drawing>
              <wp:anchor distT="0" distB="0" distL="114300" distR="114300" simplePos="0" relativeHeight="251664384" behindDoc="0" locked="0" layoutInCell="1" allowOverlap="1" wp14:anchorId="5A18DEA2" wp14:editId="0721DB60">
                <wp:simplePos x="0" y="0"/>
                <wp:positionH relativeFrom="page">
                  <wp:posOffset>5057775</wp:posOffset>
                </wp:positionH>
                <wp:positionV relativeFrom="page">
                  <wp:posOffset>1929130</wp:posOffset>
                </wp:positionV>
                <wp:extent cx="1814195" cy="1136015"/>
                <wp:effectExtent l="0" t="0" r="0" b="698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27E" w:rsidRDefault="00A5727E" w:rsidP="00F35049">
                            <w:pPr>
                              <w:pStyle w:val="Governor"/>
                              <w:spacing w:after="0"/>
                              <w:rPr>
                                <w:sz w:val="16"/>
                              </w:rPr>
                            </w:pPr>
                          </w:p>
                          <w:p w:rsidR="00A5727E" w:rsidRPr="003A7AFC" w:rsidRDefault="00A5727E" w:rsidP="00F35049">
                            <w:pPr>
                              <w:pStyle w:val="Weld"/>
                            </w:pPr>
                            <w:r>
                              <w:t>MARYLOU SUDDERS</w:t>
                            </w:r>
                          </w:p>
                          <w:p w:rsidR="00A5727E" w:rsidRDefault="00A5727E" w:rsidP="00F35049">
                            <w:pPr>
                              <w:pStyle w:val="Governor"/>
                            </w:pPr>
                            <w:r>
                              <w:t>Secretary</w:t>
                            </w:r>
                          </w:p>
                          <w:p w:rsidR="00A5727E" w:rsidRDefault="00A5727E" w:rsidP="00F3504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A5727E" w:rsidRDefault="00A5727E" w:rsidP="00F35049">
                            <w:pPr>
                              <w:jc w:val="center"/>
                              <w:rPr>
                                <w:rFonts w:ascii="Arial Rounded MT Bold" w:hAnsi="Arial Rounded MT Bold"/>
                                <w:sz w:val="14"/>
                                <w:szCs w:val="14"/>
                              </w:rPr>
                            </w:pPr>
                          </w:p>
                          <w:p w:rsidR="00A5727E" w:rsidRPr="004813AC" w:rsidRDefault="00A5727E" w:rsidP="00F35049">
                            <w:pPr>
                              <w:jc w:val="center"/>
                              <w:rPr>
                                <w:rFonts w:ascii="Arial" w:hAnsi="Arial" w:cs="Arial"/>
                                <w:b/>
                                <w:sz w:val="14"/>
                                <w:szCs w:val="14"/>
                              </w:rPr>
                            </w:pPr>
                            <w:r w:rsidRPr="004813AC">
                              <w:rPr>
                                <w:rFonts w:ascii="Arial" w:hAnsi="Arial" w:cs="Arial"/>
                                <w:b/>
                                <w:sz w:val="14"/>
                                <w:szCs w:val="14"/>
                              </w:rPr>
                              <w:t>Tel: 617-624-6000</w:t>
                            </w:r>
                          </w:p>
                          <w:p w:rsidR="00A5727E" w:rsidRPr="004813AC" w:rsidRDefault="00A5727E" w:rsidP="00F35049">
                            <w:pPr>
                              <w:jc w:val="center"/>
                              <w:rPr>
                                <w:rFonts w:ascii="Arial" w:hAnsi="Arial" w:cs="Arial"/>
                                <w:b/>
                                <w:sz w:val="14"/>
                                <w:szCs w:val="14"/>
                                <w:lang w:val="fr-FR"/>
                              </w:rPr>
                            </w:pPr>
                            <w:r w:rsidRPr="004813AC">
                              <w:rPr>
                                <w:rFonts w:ascii="Arial" w:hAnsi="Arial" w:cs="Arial"/>
                                <w:b/>
                                <w:sz w:val="14"/>
                                <w:szCs w:val="14"/>
                                <w:lang w:val="fr-FR"/>
                              </w:rPr>
                              <w:t>www.mass.gov/dph</w:t>
                            </w:r>
                          </w:p>
                          <w:p w:rsidR="00A5727E" w:rsidRPr="00FC6B42" w:rsidRDefault="00A5727E" w:rsidP="00F3504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398.25pt;margin-top:151.9pt;width:142.85pt;height:89.4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" stroked="f">
                <v:textbox style="mso-fit-shape-to-text:t">
                  <w:txbxContent>
                    <w:p w:rsidR="00A5727E" w:rsidRDefault="00A5727E" w:rsidP="00F35049">
                      <w:pPr>
                        <w:pStyle w:val="Governor"/>
                        <w:spacing w:after="0"/>
                        <w:rPr>
                          <w:sz w:val="16"/>
                        </w:rPr>
                      </w:pPr>
                    </w:p>
                    <w:p w:rsidR="00A5727E" w:rsidRPr="003A7AFC" w:rsidRDefault="00A5727E" w:rsidP="00F35049">
                      <w:pPr>
                        <w:pStyle w:val="Weld"/>
                      </w:pPr>
                      <w:r>
                        <w:t>MARYLOU SUDDERS</w:t>
                      </w:r>
                    </w:p>
                    <w:p w:rsidR="00A5727E" w:rsidRDefault="00A5727E" w:rsidP="00F35049">
                      <w:pPr>
                        <w:pStyle w:val="Governor"/>
                      </w:pPr>
                      <w:r>
                        <w:t>Secretary</w:t>
                      </w:r>
                    </w:p>
                    <w:p w:rsidR="00A5727E" w:rsidRDefault="00A5727E" w:rsidP="00F3504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A5727E" w:rsidRDefault="00A5727E" w:rsidP="00F35049">
                      <w:pPr>
                        <w:jc w:val="center"/>
                        <w:rPr>
                          <w:rFonts w:ascii="Arial Rounded MT Bold" w:hAnsi="Arial Rounded MT Bold"/>
                          <w:sz w:val="14"/>
                          <w:szCs w:val="14"/>
                        </w:rPr>
                      </w:pPr>
                    </w:p>
                    <w:p w:rsidR="00A5727E" w:rsidRPr="004813AC" w:rsidRDefault="00A5727E" w:rsidP="00F35049">
                      <w:pPr>
                        <w:jc w:val="center"/>
                        <w:rPr>
                          <w:rFonts w:ascii="Arial" w:hAnsi="Arial" w:cs="Arial"/>
                          <w:b/>
                          <w:sz w:val="14"/>
                          <w:szCs w:val="14"/>
                        </w:rPr>
                      </w:pPr>
                      <w:r w:rsidRPr="004813AC">
                        <w:rPr>
                          <w:rFonts w:ascii="Arial" w:hAnsi="Arial" w:cs="Arial"/>
                          <w:b/>
                          <w:sz w:val="14"/>
                          <w:szCs w:val="14"/>
                        </w:rPr>
                        <w:t>Tel: 617-624-6000</w:t>
                      </w:r>
                    </w:p>
                    <w:p w:rsidR="00A5727E" w:rsidRPr="004813AC" w:rsidRDefault="00A5727E" w:rsidP="00F35049">
                      <w:pPr>
                        <w:jc w:val="center"/>
                        <w:rPr>
                          <w:rFonts w:ascii="Arial" w:hAnsi="Arial" w:cs="Arial"/>
                          <w:b/>
                          <w:sz w:val="14"/>
                          <w:szCs w:val="14"/>
                          <w:lang w:val="fr-FR"/>
                        </w:rPr>
                      </w:pPr>
                      <w:r w:rsidRPr="004813AC">
                        <w:rPr>
                          <w:rFonts w:ascii="Arial" w:hAnsi="Arial" w:cs="Arial"/>
                          <w:b/>
                          <w:sz w:val="14"/>
                          <w:szCs w:val="14"/>
                          <w:lang w:val="fr-FR"/>
                        </w:rPr>
                        <w:t>www.mass.gov/dph</w:t>
                      </w:r>
                    </w:p>
                    <w:p w:rsidR="00A5727E" w:rsidRPr="00FC6B42" w:rsidRDefault="00A5727E" w:rsidP="00F35049">
                      <w:pPr>
                        <w:jc w:val="center"/>
                        <w:rPr>
                          <w:rFonts w:ascii="Arial Rounded MT Bold" w:hAnsi="Arial Rounded MT Bold"/>
                          <w:sz w:val="14"/>
                          <w:szCs w:val="14"/>
                        </w:rPr>
                      </w:pPr>
                    </w:p>
                  </w:txbxContent>
                </v:textbox>
                <w10:wrap anchorx="page" anchory="page"/>
              </v:shape>
            </w:pict>
          </mc:Fallback>
        </mc:AlternateContent>
      </w:r>
      <w:r w:rsidR="00F35049" w:rsidRPr="0021646B">
        <w:rPr>
          <w:rFonts w:ascii="LinePrinter" w:hAnsi="LinePrinter"/>
          <w:noProof/>
        </w:rPr>
        <w:drawing>
          <wp:anchor distT="0" distB="0" distL="114300" distR="114300" simplePos="0" relativeHeight="251665408" behindDoc="0" locked="0" layoutInCell="1" allowOverlap="1" wp14:anchorId="38E9A248" wp14:editId="760364AB">
            <wp:simplePos x="0" y="0"/>
            <wp:positionH relativeFrom="column">
              <wp:posOffset>-220345</wp:posOffset>
            </wp:positionH>
            <wp:positionV relativeFrom="page">
              <wp:posOffset>732790</wp:posOffset>
            </wp:positionV>
            <wp:extent cx="960120" cy="115189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049" w:rsidRPr="0021646B" w:rsidRDefault="00F35049" w:rsidP="00F35049">
      <w:pPr>
        <w:framePr w:w="6926" w:hSpace="187" w:wrap="notBeside" w:vAnchor="page" w:hAnchor="page" w:x="2881" w:y="1441"/>
        <w:jc w:val="center"/>
        <w:rPr>
          <w:rFonts w:ascii="Arial" w:hAnsi="Arial"/>
          <w:sz w:val="36"/>
        </w:rPr>
      </w:pPr>
      <w:bookmarkStart w:id="0" w:name="_Toc487720343"/>
      <w:r w:rsidRPr="0021646B">
        <w:rPr>
          <w:rFonts w:ascii="Arial" w:hAnsi="Arial"/>
          <w:sz w:val="36"/>
        </w:rPr>
        <w:t>The Commonwealth of Massachusetts</w:t>
      </w:r>
    </w:p>
    <w:p w:rsidR="00F35049" w:rsidRPr="0021646B" w:rsidRDefault="00F35049" w:rsidP="00F35049">
      <w:pPr>
        <w:framePr w:w="6926" w:hSpace="187" w:wrap="notBeside" w:vAnchor="page" w:hAnchor="page" w:x="2881" w:y="1441"/>
        <w:jc w:val="center"/>
        <w:rPr>
          <w:rFonts w:ascii="Arial" w:hAnsi="Arial"/>
          <w:sz w:val="28"/>
        </w:rPr>
      </w:pPr>
      <w:r w:rsidRPr="0021646B">
        <w:rPr>
          <w:rFonts w:ascii="Arial" w:hAnsi="Arial"/>
          <w:sz w:val="28"/>
        </w:rPr>
        <w:t>Executive Office of Health and Human Services</w:t>
      </w:r>
    </w:p>
    <w:p w:rsidR="00F35049" w:rsidRPr="0021646B" w:rsidRDefault="00F35049" w:rsidP="00F35049">
      <w:pPr>
        <w:framePr w:w="6926" w:hSpace="187" w:wrap="notBeside" w:vAnchor="page" w:hAnchor="page" w:x="2881" w:y="1441"/>
        <w:jc w:val="center"/>
        <w:rPr>
          <w:rFonts w:ascii="Arial" w:hAnsi="Arial"/>
          <w:sz w:val="28"/>
        </w:rPr>
      </w:pPr>
      <w:r w:rsidRPr="0021646B">
        <w:rPr>
          <w:rFonts w:ascii="Arial" w:hAnsi="Arial"/>
          <w:sz w:val="28"/>
        </w:rPr>
        <w:t>Department of Public Health</w:t>
      </w:r>
    </w:p>
    <w:p w:rsidR="00F35049" w:rsidRPr="0021646B" w:rsidRDefault="00F35049" w:rsidP="00F35049">
      <w:pPr>
        <w:framePr w:w="6926" w:hSpace="187" w:wrap="notBeside" w:vAnchor="page" w:hAnchor="page" w:x="2881" w:y="1441"/>
        <w:jc w:val="center"/>
        <w:rPr>
          <w:rFonts w:ascii="Arial" w:hAnsi="Arial"/>
          <w:sz w:val="28"/>
        </w:rPr>
      </w:pPr>
      <w:r w:rsidRPr="0021646B">
        <w:rPr>
          <w:rFonts w:ascii="Arial" w:hAnsi="Arial"/>
          <w:sz w:val="28"/>
        </w:rPr>
        <w:t>250 Washington Street, Boston, MA 02108-4619</w:t>
      </w:r>
    </w:p>
    <w:p w:rsidR="00F35049" w:rsidRPr="0021646B" w:rsidRDefault="00F35049" w:rsidP="00F35049">
      <w:pPr>
        <w:jc w:val="center"/>
        <w:rPr>
          <w:rFonts w:ascii="Calibri" w:hAnsi="Calibri" w:cs="Arial"/>
          <w:b/>
          <w:sz w:val="48"/>
          <w:szCs w:val="48"/>
        </w:rPr>
      </w:pPr>
      <w:r w:rsidRPr="0021646B">
        <w:rPr>
          <w:noProof/>
        </w:rPr>
        <mc:AlternateContent>
          <mc:Choice Requires="wps">
            <w:drawing>
              <wp:anchor distT="0" distB="0" distL="114300" distR="114300" simplePos="0" relativeHeight="251629056" behindDoc="0" locked="0" layoutInCell="1" allowOverlap="1" wp14:anchorId="04975866" wp14:editId="3D26E313">
                <wp:simplePos x="0" y="0"/>
                <wp:positionH relativeFrom="page">
                  <wp:posOffset>466725</wp:posOffset>
                </wp:positionH>
                <wp:positionV relativeFrom="page">
                  <wp:posOffset>2019299</wp:posOffset>
                </wp:positionV>
                <wp:extent cx="1572895" cy="904875"/>
                <wp:effectExtent l="0" t="0" r="8255" b="95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27E" w:rsidRDefault="00A5727E" w:rsidP="00F35049">
                            <w:pPr>
                              <w:pStyle w:val="Governor"/>
                              <w:spacing w:after="0"/>
                              <w:rPr>
                                <w:sz w:val="16"/>
                              </w:rPr>
                            </w:pPr>
                          </w:p>
                          <w:p w:rsidR="00A5727E" w:rsidRDefault="00A5727E" w:rsidP="00F35049">
                            <w:pPr>
                              <w:pStyle w:val="Governor"/>
                              <w:spacing w:after="0"/>
                              <w:rPr>
                                <w:sz w:val="16"/>
                              </w:rPr>
                            </w:pPr>
                            <w:r>
                              <w:rPr>
                                <w:sz w:val="16"/>
                              </w:rPr>
                              <w:t>CHARLES D. BAKER</w:t>
                            </w:r>
                          </w:p>
                          <w:p w:rsidR="00A5727E" w:rsidRDefault="00A5727E" w:rsidP="00F35049">
                            <w:pPr>
                              <w:pStyle w:val="Governor"/>
                            </w:pPr>
                            <w:r>
                              <w:t>Governor</w:t>
                            </w:r>
                          </w:p>
                          <w:p w:rsidR="00A5727E" w:rsidRDefault="00A5727E" w:rsidP="00F35049">
                            <w:pPr>
                              <w:pStyle w:val="Governor"/>
                              <w:spacing w:after="0"/>
                              <w:rPr>
                                <w:sz w:val="16"/>
                              </w:rPr>
                            </w:pPr>
                            <w:r>
                              <w:rPr>
                                <w:sz w:val="16"/>
                              </w:rPr>
                              <w:t>KARYN E. POLITO</w:t>
                            </w:r>
                          </w:p>
                          <w:p w:rsidR="00A5727E" w:rsidRDefault="00A5727E" w:rsidP="00F35049">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36.75pt;margin-top:159pt;width:123.85pt;height:71.2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" stroked="f">
                <v:textbox>
                  <w:txbxContent>
                    <w:p w:rsidR="00A5727E" w:rsidRDefault="00A5727E" w:rsidP="00F35049">
                      <w:pPr>
                        <w:pStyle w:val="Governor"/>
                        <w:spacing w:after="0"/>
                        <w:rPr>
                          <w:sz w:val="16"/>
                        </w:rPr>
                      </w:pPr>
                    </w:p>
                    <w:p w:rsidR="00A5727E" w:rsidRDefault="00A5727E" w:rsidP="00F35049">
                      <w:pPr>
                        <w:pStyle w:val="Governor"/>
                        <w:spacing w:after="0"/>
                        <w:rPr>
                          <w:sz w:val="16"/>
                        </w:rPr>
                      </w:pPr>
                      <w:r>
                        <w:rPr>
                          <w:sz w:val="16"/>
                        </w:rPr>
                        <w:t>CHARLES D. BAKER</w:t>
                      </w:r>
                    </w:p>
                    <w:p w:rsidR="00A5727E" w:rsidRDefault="00A5727E" w:rsidP="00F35049">
                      <w:pPr>
                        <w:pStyle w:val="Governor"/>
                      </w:pPr>
                      <w:r>
                        <w:t>Governor</w:t>
                      </w:r>
                    </w:p>
                    <w:p w:rsidR="00A5727E" w:rsidRDefault="00A5727E" w:rsidP="00F35049">
                      <w:pPr>
                        <w:pStyle w:val="Governor"/>
                        <w:spacing w:after="0"/>
                        <w:rPr>
                          <w:sz w:val="16"/>
                        </w:rPr>
                      </w:pPr>
                      <w:r>
                        <w:rPr>
                          <w:sz w:val="16"/>
                        </w:rPr>
                        <w:t>KARYN E. POLITO</w:t>
                      </w:r>
                    </w:p>
                    <w:p w:rsidR="00A5727E" w:rsidRDefault="00A5727E" w:rsidP="00F35049">
                      <w:pPr>
                        <w:pStyle w:val="Governor"/>
                      </w:pPr>
                      <w:r>
                        <w:t>Lieutenant Governor</w:t>
                      </w:r>
                    </w:p>
                  </w:txbxContent>
                </v:textbox>
                <w10:wrap anchorx="page" anchory="page"/>
              </v:shape>
            </w:pict>
          </mc:Fallback>
        </mc:AlternateContent>
      </w:r>
    </w:p>
    <w:p w:rsidR="00F35049" w:rsidRPr="0021646B" w:rsidRDefault="00F35049" w:rsidP="00F35049">
      <w:pPr>
        <w:rPr>
          <w:rFonts w:ascii="Calibri" w:hAnsi="Calibri"/>
          <w:b/>
          <w:sz w:val="48"/>
        </w:rPr>
      </w:pPr>
    </w:p>
    <w:p w:rsidR="00F35049" w:rsidRPr="0021646B" w:rsidRDefault="00F35049" w:rsidP="00F35049">
      <w:pPr>
        <w:framePr w:w="1927" w:hSpace="180" w:wrap="auto" w:vAnchor="text" w:hAnchor="page" w:x="940" w:y="-951"/>
        <w:rPr>
          <w:rFonts w:ascii="LinePrinter" w:hAnsi="LinePrinter"/>
        </w:rPr>
      </w:pPr>
    </w:p>
    <w:p w:rsidR="00F35049" w:rsidRDefault="00F35049" w:rsidP="00F35049"/>
    <w:p w:rsidR="00F35049" w:rsidRDefault="00F35049" w:rsidP="00F35049"/>
    <w:p w:rsidR="00F35049" w:rsidRDefault="00F35049" w:rsidP="00F35049"/>
    <w:p w:rsidR="00F35049" w:rsidRPr="004B4F4D" w:rsidRDefault="00F35049" w:rsidP="00F35049"/>
    <w:p w:rsidR="00464A63" w:rsidRPr="004B4F4D" w:rsidRDefault="00562B59" w:rsidP="00FF1324">
      <w:pPr>
        <w:rPr>
          <w:rFonts w:cs="Times New Roman"/>
          <w:sz w:val="24"/>
          <w:szCs w:val="24"/>
        </w:rPr>
      </w:pPr>
      <w:r w:rsidRPr="003560A6">
        <w:rPr>
          <w:rFonts w:cs="Times New Roman"/>
          <w:sz w:val="24"/>
          <w:szCs w:val="24"/>
        </w:rPr>
        <w:t>September 30</w:t>
      </w:r>
      <w:r w:rsidR="00464A63" w:rsidRPr="003560A6">
        <w:rPr>
          <w:rFonts w:cs="Times New Roman"/>
          <w:sz w:val="24"/>
          <w:szCs w:val="24"/>
        </w:rPr>
        <w:t>, 2019</w:t>
      </w:r>
    </w:p>
    <w:p w:rsidR="00464A63" w:rsidRPr="004B4F4D" w:rsidRDefault="00464A63" w:rsidP="00FF1324">
      <w:pPr>
        <w:rPr>
          <w:rFonts w:cs="Times New Roman"/>
          <w:sz w:val="24"/>
          <w:szCs w:val="24"/>
        </w:rPr>
      </w:pPr>
    </w:p>
    <w:p w:rsidR="00464A63" w:rsidRPr="004B4F4D" w:rsidRDefault="00464A63" w:rsidP="00FF1324">
      <w:pPr>
        <w:rPr>
          <w:rFonts w:cs="Times New Roman"/>
          <w:sz w:val="24"/>
          <w:szCs w:val="24"/>
        </w:rPr>
      </w:pPr>
      <w:r w:rsidRPr="004B4F4D">
        <w:rPr>
          <w:rFonts w:cs="Times New Roman"/>
          <w:sz w:val="24"/>
          <w:szCs w:val="24"/>
        </w:rPr>
        <w:t>Steven T. James</w:t>
      </w:r>
    </w:p>
    <w:p w:rsidR="00464A63" w:rsidRPr="004B4F4D" w:rsidRDefault="00464A63" w:rsidP="00FF1324">
      <w:pPr>
        <w:rPr>
          <w:rFonts w:cs="Times New Roman"/>
          <w:sz w:val="24"/>
          <w:szCs w:val="24"/>
        </w:rPr>
      </w:pPr>
      <w:r w:rsidRPr="004B4F4D">
        <w:rPr>
          <w:rFonts w:cs="Times New Roman"/>
          <w:sz w:val="24"/>
          <w:szCs w:val="24"/>
        </w:rPr>
        <w:t>House Clerk</w:t>
      </w:r>
    </w:p>
    <w:p w:rsidR="00464A63" w:rsidRPr="004B4F4D" w:rsidRDefault="00464A63" w:rsidP="00FF1324">
      <w:pPr>
        <w:rPr>
          <w:rFonts w:cs="Times New Roman"/>
          <w:sz w:val="24"/>
          <w:szCs w:val="24"/>
        </w:rPr>
      </w:pPr>
      <w:r w:rsidRPr="004B4F4D">
        <w:rPr>
          <w:rFonts w:cs="Times New Roman"/>
          <w:sz w:val="24"/>
          <w:szCs w:val="24"/>
        </w:rPr>
        <w:t>State House Room 145</w:t>
      </w:r>
    </w:p>
    <w:p w:rsidR="00464A63" w:rsidRPr="004B4F4D" w:rsidRDefault="00464A63" w:rsidP="00FF1324">
      <w:pPr>
        <w:rPr>
          <w:rFonts w:cs="Times New Roman"/>
          <w:sz w:val="24"/>
          <w:szCs w:val="24"/>
        </w:rPr>
      </w:pPr>
      <w:r w:rsidRPr="004B4F4D">
        <w:rPr>
          <w:rFonts w:cs="Times New Roman"/>
          <w:sz w:val="24"/>
          <w:szCs w:val="24"/>
        </w:rPr>
        <w:t>Boston, MA 02133</w:t>
      </w:r>
    </w:p>
    <w:p w:rsidR="00464A63" w:rsidRPr="004B4F4D" w:rsidRDefault="00464A63" w:rsidP="00FF1324">
      <w:pPr>
        <w:rPr>
          <w:rFonts w:cs="Times New Roman"/>
          <w:sz w:val="24"/>
          <w:szCs w:val="24"/>
        </w:rPr>
      </w:pPr>
    </w:p>
    <w:p w:rsidR="00464A63" w:rsidRPr="004B4F4D" w:rsidRDefault="001A696D" w:rsidP="00FF1324">
      <w:pPr>
        <w:rPr>
          <w:rFonts w:cs="Times New Roman"/>
          <w:sz w:val="24"/>
          <w:szCs w:val="24"/>
        </w:rPr>
      </w:pPr>
      <w:r>
        <w:rPr>
          <w:rFonts w:cs="Times New Roman"/>
          <w:sz w:val="24"/>
          <w:szCs w:val="24"/>
        </w:rPr>
        <w:t>Michael D. Hurley</w:t>
      </w:r>
    </w:p>
    <w:p w:rsidR="00464A63" w:rsidRPr="004B4F4D" w:rsidRDefault="00464A63" w:rsidP="00FF1324">
      <w:pPr>
        <w:rPr>
          <w:rFonts w:cs="Times New Roman"/>
          <w:sz w:val="24"/>
          <w:szCs w:val="24"/>
        </w:rPr>
      </w:pPr>
      <w:r w:rsidRPr="004B4F4D">
        <w:rPr>
          <w:rFonts w:cs="Times New Roman"/>
          <w:sz w:val="24"/>
          <w:szCs w:val="24"/>
        </w:rPr>
        <w:t>Senate Clerk</w:t>
      </w:r>
    </w:p>
    <w:p w:rsidR="00464A63" w:rsidRPr="004B4F4D" w:rsidRDefault="00464A63" w:rsidP="00FF1324">
      <w:pPr>
        <w:rPr>
          <w:rFonts w:cs="Times New Roman"/>
          <w:sz w:val="24"/>
          <w:szCs w:val="24"/>
        </w:rPr>
      </w:pPr>
      <w:r w:rsidRPr="004B4F4D">
        <w:rPr>
          <w:rFonts w:cs="Times New Roman"/>
          <w:sz w:val="24"/>
          <w:szCs w:val="24"/>
        </w:rPr>
        <w:t>State House Room 335</w:t>
      </w:r>
    </w:p>
    <w:p w:rsidR="00464A63" w:rsidRPr="004B4F4D" w:rsidRDefault="00464A63" w:rsidP="00FF1324">
      <w:pPr>
        <w:rPr>
          <w:rFonts w:cs="Times New Roman"/>
          <w:sz w:val="24"/>
          <w:szCs w:val="24"/>
        </w:rPr>
      </w:pPr>
      <w:r w:rsidRPr="004B4F4D">
        <w:rPr>
          <w:rFonts w:cs="Times New Roman"/>
          <w:sz w:val="24"/>
          <w:szCs w:val="24"/>
        </w:rPr>
        <w:t>Boston, MA 02133</w:t>
      </w:r>
    </w:p>
    <w:p w:rsidR="00464A63" w:rsidRPr="004B4F4D" w:rsidRDefault="00464A63" w:rsidP="00FF1324">
      <w:pPr>
        <w:rPr>
          <w:rFonts w:cs="Times New Roman"/>
          <w:sz w:val="24"/>
          <w:szCs w:val="24"/>
        </w:rPr>
      </w:pPr>
    </w:p>
    <w:p w:rsidR="00464A63" w:rsidRPr="004B4F4D" w:rsidRDefault="00464A63" w:rsidP="00FF1324">
      <w:pPr>
        <w:rPr>
          <w:rFonts w:cs="Times New Roman"/>
          <w:sz w:val="24"/>
          <w:szCs w:val="24"/>
        </w:rPr>
      </w:pPr>
    </w:p>
    <w:p w:rsidR="00464A63" w:rsidRPr="004B4F4D" w:rsidRDefault="00464A63" w:rsidP="00CE6548">
      <w:pPr>
        <w:rPr>
          <w:rFonts w:cs="Times New Roman"/>
          <w:sz w:val="24"/>
          <w:szCs w:val="24"/>
        </w:rPr>
      </w:pPr>
      <w:r w:rsidRPr="004B4F4D">
        <w:rPr>
          <w:rFonts w:cs="Times New Roman"/>
          <w:sz w:val="24"/>
          <w:szCs w:val="24"/>
        </w:rPr>
        <w:t>Dear Mr. Clerk,</w:t>
      </w:r>
    </w:p>
    <w:p w:rsidR="00930567" w:rsidRDefault="00930567" w:rsidP="00CE6548">
      <w:pPr>
        <w:rPr>
          <w:rFonts w:cs="Times New Roman"/>
          <w:sz w:val="24"/>
          <w:szCs w:val="24"/>
        </w:rPr>
      </w:pPr>
    </w:p>
    <w:p w:rsidR="00464A63" w:rsidRPr="00930567" w:rsidRDefault="00464A63" w:rsidP="00CE6548">
      <w:pPr>
        <w:rPr>
          <w:rFonts w:ascii="Calibri" w:hAnsi="Calibri"/>
        </w:rPr>
      </w:pPr>
      <w:r w:rsidRPr="00930567">
        <w:rPr>
          <w:rFonts w:cs="Times New Roman"/>
        </w:rPr>
        <w:t xml:space="preserve">Pursuant to </w:t>
      </w:r>
      <w:r w:rsidR="001A696D" w:rsidRPr="00930567">
        <w:t xml:space="preserve">Chapter </w:t>
      </w:r>
      <w:r w:rsidR="00186746" w:rsidRPr="00930567">
        <w:t xml:space="preserve">111 </w:t>
      </w:r>
      <w:r w:rsidR="001A696D" w:rsidRPr="00930567">
        <w:t xml:space="preserve">Section </w:t>
      </w:r>
      <w:r w:rsidR="00186746" w:rsidRPr="00930567">
        <w:t xml:space="preserve">237 authorizing and requiring ongoing analysis of population health trends, prioritizing opioid overdose, and </w:t>
      </w:r>
      <w:r w:rsidR="00186746" w:rsidRPr="00930567">
        <w:rPr>
          <w:color w:val="000000"/>
        </w:rPr>
        <w:t xml:space="preserve">the establishment of the Public Health Data Warehouse, </w:t>
      </w:r>
      <w:r w:rsidRPr="00930567">
        <w:rPr>
          <w:rFonts w:cs="Times New Roman"/>
        </w:rPr>
        <w:t>please find</w:t>
      </w:r>
      <w:r w:rsidR="0044447D" w:rsidRPr="00930567">
        <w:rPr>
          <w:rFonts w:cs="Times New Roman"/>
        </w:rPr>
        <w:t xml:space="preserve"> enclosed</w:t>
      </w:r>
      <w:r w:rsidRPr="00930567">
        <w:rPr>
          <w:rFonts w:cs="Times New Roman"/>
        </w:rPr>
        <w:t xml:space="preserve"> a report </w:t>
      </w:r>
      <w:r w:rsidR="0044447D" w:rsidRPr="00930567">
        <w:rPr>
          <w:rFonts w:cs="Times New Roman"/>
        </w:rPr>
        <w:t xml:space="preserve">from the Department of Public Health </w:t>
      </w:r>
      <w:r w:rsidRPr="00930567">
        <w:rPr>
          <w:rFonts w:cs="Times New Roman"/>
        </w:rPr>
        <w:t>titled</w:t>
      </w:r>
      <w:r w:rsidR="004150CA" w:rsidRPr="00930567">
        <w:rPr>
          <w:rFonts w:cs="Times New Roman"/>
        </w:rPr>
        <w:t>,</w:t>
      </w:r>
      <w:r w:rsidRPr="00930567">
        <w:rPr>
          <w:rFonts w:cs="Times New Roman"/>
        </w:rPr>
        <w:t xml:space="preserve"> </w:t>
      </w:r>
      <w:r w:rsidRPr="00930567">
        <w:rPr>
          <w:rFonts w:eastAsia="Helvetica" w:cs="Helvetica"/>
        </w:rPr>
        <w:t>“</w:t>
      </w:r>
      <w:r w:rsidR="00CE6548" w:rsidRPr="00930567">
        <w:rPr>
          <w:rFonts w:ascii="Calibri" w:hAnsi="Calibri"/>
        </w:rPr>
        <w:t>Impact of the Opioid Epidemic on High Risk Populations and Maternal Health</w:t>
      </w:r>
      <w:r w:rsidR="00930567" w:rsidRPr="00930567">
        <w:rPr>
          <w:rFonts w:ascii="Calibri" w:hAnsi="Calibri"/>
        </w:rPr>
        <w:t>: Results from the Public Health Data Warehouse</w:t>
      </w:r>
      <w:r w:rsidR="004150CA" w:rsidRPr="00930567">
        <w:rPr>
          <w:rFonts w:ascii="Calibri" w:hAnsi="Calibri"/>
        </w:rPr>
        <w:t>.</w:t>
      </w:r>
      <w:r w:rsidR="004150CA" w:rsidRPr="00930567">
        <w:rPr>
          <w:rFonts w:cs="Times New Roman"/>
          <w:i/>
        </w:rPr>
        <w:t>”</w:t>
      </w:r>
    </w:p>
    <w:p w:rsidR="000B3BFE" w:rsidRPr="004B4F4D" w:rsidRDefault="000B3BFE" w:rsidP="00CE6548">
      <w:pPr>
        <w:rPr>
          <w:rFonts w:cs="Times New Roman"/>
          <w:sz w:val="24"/>
          <w:szCs w:val="24"/>
        </w:rPr>
      </w:pPr>
    </w:p>
    <w:p w:rsidR="00464A63" w:rsidRPr="004B4F4D" w:rsidRDefault="00464A63" w:rsidP="00CE6548">
      <w:pPr>
        <w:rPr>
          <w:rFonts w:cs="Times New Roman"/>
          <w:sz w:val="24"/>
          <w:szCs w:val="24"/>
        </w:rPr>
      </w:pPr>
    </w:p>
    <w:p w:rsidR="00464A63" w:rsidRPr="004B4F4D" w:rsidRDefault="00464A63" w:rsidP="00CE6548">
      <w:pPr>
        <w:rPr>
          <w:rFonts w:cs="Times New Roman"/>
          <w:sz w:val="24"/>
          <w:szCs w:val="24"/>
        </w:rPr>
      </w:pPr>
      <w:r w:rsidRPr="004B4F4D">
        <w:rPr>
          <w:rFonts w:cs="Times New Roman"/>
          <w:sz w:val="24"/>
          <w:szCs w:val="24"/>
        </w:rPr>
        <w:t>Sincerely,</w:t>
      </w:r>
    </w:p>
    <w:p w:rsidR="00464A63" w:rsidRPr="004B4F4D" w:rsidRDefault="00464A63" w:rsidP="00CE6548">
      <w:pPr>
        <w:rPr>
          <w:rFonts w:cs="Times New Roman"/>
          <w:sz w:val="24"/>
          <w:szCs w:val="24"/>
        </w:rPr>
      </w:pPr>
    </w:p>
    <w:p w:rsidR="00464A63" w:rsidRPr="004B4F4D" w:rsidRDefault="00464A63" w:rsidP="00CE6548">
      <w:pPr>
        <w:rPr>
          <w:rFonts w:cs="Times New Roman"/>
          <w:sz w:val="24"/>
          <w:szCs w:val="24"/>
        </w:rPr>
      </w:pPr>
    </w:p>
    <w:p w:rsidR="00464A63" w:rsidRPr="004B4F4D" w:rsidRDefault="00E81260" w:rsidP="00CE6548">
      <w:pPr>
        <w:rPr>
          <w:rFonts w:cs="Times New Roman"/>
          <w:sz w:val="24"/>
          <w:szCs w:val="24"/>
        </w:rPr>
      </w:pPr>
      <w:r>
        <w:rPr>
          <w:rFonts w:cs="Times New Roman"/>
          <w:sz w:val="24"/>
          <w:szCs w:val="24"/>
        </w:rPr>
        <w:t>Monica Bharel</w:t>
      </w:r>
    </w:p>
    <w:p w:rsidR="00464A63" w:rsidRPr="004B4F4D" w:rsidRDefault="00E81260" w:rsidP="00CE6548">
      <w:pPr>
        <w:rPr>
          <w:rFonts w:cs="Times New Roman"/>
          <w:sz w:val="24"/>
          <w:szCs w:val="24"/>
        </w:rPr>
      </w:pPr>
      <w:r>
        <w:rPr>
          <w:rFonts w:cs="Times New Roman"/>
          <w:sz w:val="24"/>
          <w:szCs w:val="24"/>
        </w:rPr>
        <w:t>Commissioner</w:t>
      </w:r>
    </w:p>
    <w:p w:rsidR="00464A63" w:rsidRPr="004B4F4D" w:rsidRDefault="00E81260" w:rsidP="00CE6548">
      <w:pPr>
        <w:rPr>
          <w:rFonts w:cs="Times New Roman"/>
          <w:sz w:val="24"/>
          <w:szCs w:val="24"/>
        </w:rPr>
      </w:pPr>
      <w:r>
        <w:rPr>
          <w:rFonts w:cs="Times New Roman"/>
          <w:sz w:val="24"/>
          <w:szCs w:val="24"/>
        </w:rPr>
        <w:t>Department of Public Health</w:t>
      </w:r>
    </w:p>
    <w:p w:rsidR="00464A63" w:rsidRPr="004B4F4D" w:rsidRDefault="00464A63" w:rsidP="00FF1324">
      <w:pPr>
        <w:rPr>
          <w:rFonts w:cs="Times New Roman"/>
          <w:sz w:val="24"/>
          <w:szCs w:val="24"/>
        </w:rPr>
      </w:pPr>
    </w:p>
    <w:p w:rsidR="00464A63" w:rsidRPr="004B4F4D" w:rsidRDefault="00464A63" w:rsidP="00FF1324">
      <w:pPr>
        <w:rPr>
          <w:rFonts w:cs="Times New Roman"/>
          <w:sz w:val="24"/>
          <w:szCs w:val="24"/>
        </w:rPr>
      </w:pPr>
    </w:p>
    <w:p w:rsidR="00464A63" w:rsidRPr="004B4F4D" w:rsidRDefault="00464A63" w:rsidP="00FF1324">
      <w:pPr>
        <w:rPr>
          <w:rFonts w:cs="Times New Roman"/>
          <w:sz w:val="24"/>
          <w:szCs w:val="24"/>
        </w:rPr>
      </w:pPr>
    </w:p>
    <w:p w:rsidR="00464A63" w:rsidRPr="004B4F4D" w:rsidRDefault="00464A63" w:rsidP="00FF1324">
      <w:pPr>
        <w:rPr>
          <w:rFonts w:cs="Times New Roman"/>
          <w:sz w:val="24"/>
          <w:szCs w:val="24"/>
        </w:rPr>
      </w:pPr>
      <w:r w:rsidRPr="004B4F4D">
        <w:rPr>
          <w:rFonts w:cs="Times New Roman"/>
          <w:sz w:val="24"/>
          <w:szCs w:val="24"/>
        </w:rPr>
        <w:t>Monica Bharel, MD, MPH</w:t>
      </w:r>
    </w:p>
    <w:p w:rsidR="00464A63" w:rsidRPr="004B4F4D" w:rsidRDefault="003560A6" w:rsidP="00FF1324">
      <w:pPr>
        <w:rPr>
          <w:rFonts w:cs="Times New Roman"/>
          <w:sz w:val="24"/>
          <w:szCs w:val="24"/>
        </w:rPr>
      </w:pPr>
      <w:r w:rsidRPr="00494AA5">
        <w:rPr>
          <w:rFonts w:ascii="Times New Roman" w:hAnsi="Times New Roman" w:cs="Times New Roman"/>
          <w:noProof/>
          <w:sz w:val="24"/>
          <w:szCs w:val="24"/>
        </w:rPr>
        <w:lastRenderedPageBreak/>
        <w:drawing>
          <wp:anchor distT="0" distB="0" distL="114300" distR="114300" simplePos="0" relativeHeight="251636224" behindDoc="0" locked="0" layoutInCell="1" allowOverlap="1" wp14:anchorId="17E21537" wp14:editId="57549321">
            <wp:simplePos x="0" y="0"/>
            <wp:positionH relativeFrom="column">
              <wp:posOffset>-793750</wp:posOffset>
            </wp:positionH>
            <wp:positionV relativeFrom="paragraph">
              <wp:posOffset>-196850</wp:posOffset>
            </wp:positionV>
            <wp:extent cx="7571105" cy="9792970"/>
            <wp:effectExtent l="514350" t="438150" r="791845" b="79883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1105" cy="9792970"/>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anchor>
        </w:drawing>
      </w:r>
      <w:r w:rsidR="00464A63" w:rsidRPr="004B4F4D">
        <w:rPr>
          <w:rFonts w:cs="Times New Roman"/>
          <w:sz w:val="24"/>
          <w:szCs w:val="24"/>
        </w:rPr>
        <w:t>Commissioner</w:t>
      </w:r>
    </w:p>
    <w:p w:rsidR="00494AA5" w:rsidRPr="004B4F4D" w:rsidRDefault="00464A63" w:rsidP="00FF1324">
      <w:pPr>
        <w:rPr>
          <w:rFonts w:cs="Times New Roman"/>
          <w:sz w:val="24"/>
          <w:szCs w:val="24"/>
        </w:rPr>
      </w:pPr>
      <w:r w:rsidRPr="004B4F4D">
        <w:rPr>
          <w:rFonts w:cs="Times New Roman"/>
          <w:sz w:val="24"/>
          <w:szCs w:val="24"/>
        </w:rPr>
        <w:t>Department of Public Health</w:t>
      </w:r>
    </w:p>
    <w:p w:rsidR="00494AA5" w:rsidRDefault="007A7237">
      <w:pPr>
        <w:spacing w:after="200" w:line="276" w:lineRule="auto"/>
        <w:rPr>
          <w:rFonts w:ascii="Times New Roman" w:hAnsi="Times New Roman" w:cs="Times New Roman"/>
          <w:sz w:val="24"/>
          <w:szCs w:val="24"/>
        </w:rPr>
      </w:pPr>
      <w:r w:rsidRPr="00494AA5">
        <w:rPr>
          <w:rFonts w:ascii="Times New Roman" w:hAnsi="Times New Roman" w:cs="Times New Roman"/>
          <w:noProof/>
          <w:sz w:val="24"/>
          <w:szCs w:val="24"/>
        </w:rPr>
        <mc:AlternateContent>
          <mc:Choice Requires="wpg">
            <w:drawing>
              <wp:anchor distT="0" distB="0" distL="114300" distR="114300" simplePos="0" relativeHeight="251643392" behindDoc="0" locked="0" layoutInCell="1" allowOverlap="1" wp14:anchorId="629D4303" wp14:editId="4620A4C1">
                <wp:simplePos x="0" y="0"/>
                <wp:positionH relativeFrom="page">
                  <wp:posOffset>1057275</wp:posOffset>
                </wp:positionH>
                <wp:positionV relativeFrom="page">
                  <wp:posOffset>4286250</wp:posOffset>
                </wp:positionV>
                <wp:extent cx="5794375" cy="4224159"/>
                <wp:effectExtent l="0" t="0" r="0" b="5080"/>
                <wp:wrapNone/>
                <wp:docPr id="130" name="Group 130"/>
                <wp:cNvGraphicFramePr/>
                <a:graphic xmlns:a="http://schemas.openxmlformats.org/drawingml/2006/main">
                  <a:graphicData uri="http://schemas.microsoft.com/office/word/2010/wordprocessingGroup">
                    <wpg:wgp>
                      <wpg:cNvGrpSpPr/>
                      <wpg:grpSpPr>
                        <a:xfrm>
                          <a:off x="0" y="0"/>
                          <a:ext cx="5794375" cy="4224159"/>
                          <a:chOff x="482655" y="4613434"/>
                          <a:chExt cx="5791200" cy="4224232"/>
                        </a:xfrm>
                      </wpg:grpSpPr>
                      <wps:wsp>
                        <wps:cNvPr id="132" name="Text Box 2"/>
                        <wps:cNvSpPr txBox="1">
                          <a:spLocks noChangeArrowheads="1"/>
                        </wps:cNvSpPr>
                        <wps:spPr bwMode="auto">
                          <a:xfrm>
                            <a:off x="482655" y="4613434"/>
                            <a:ext cx="5791200" cy="3046674"/>
                          </a:xfrm>
                          <a:prstGeom prst="rect">
                            <a:avLst/>
                          </a:prstGeom>
                          <a:solidFill>
                            <a:srgbClr val="FFFFFF"/>
                          </a:solidFill>
                          <a:ln w="9525">
                            <a:noFill/>
                            <a:miter lim="800000"/>
                            <a:headEnd/>
                            <a:tailEnd/>
                          </a:ln>
                        </wps:spPr>
                        <wps:txbx>
                          <w:txbxContent>
                            <w:p w:rsidR="00A5727E" w:rsidRDefault="00A5727E" w:rsidP="00494AA5">
                              <w:pPr>
                                <w:spacing w:line="800" w:lineRule="exact"/>
                                <w:jc w:val="center"/>
                                <w:rPr>
                                  <w:rFonts w:ascii="Calibri" w:hAnsi="Calibri"/>
                                  <w:b/>
                                  <w:color w:val="043064"/>
                                  <w:sz w:val="70"/>
                                  <w:szCs w:val="70"/>
                                </w:rPr>
                              </w:pPr>
                              <w:r w:rsidRPr="00CE6548">
                                <w:rPr>
                                  <w:rFonts w:ascii="Calibri" w:hAnsi="Calibri"/>
                                  <w:b/>
                                  <w:color w:val="043064"/>
                                  <w:sz w:val="70"/>
                                  <w:szCs w:val="70"/>
                                </w:rPr>
                                <w:t>Impact of the Opioid Epidemic on High Risk Populations and Maternal Health</w:t>
                              </w:r>
                              <w:r>
                                <w:rPr>
                                  <w:rFonts w:ascii="Calibri" w:hAnsi="Calibri"/>
                                  <w:b/>
                                  <w:color w:val="043064"/>
                                  <w:sz w:val="70"/>
                                  <w:szCs w:val="70"/>
                                </w:rPr>
                                <w:t>:</w:t>
                              </w:r>
                            </w:p>
                            <w:p w:rsidR="00A5727E" w:rsidRDefault="00A5727E" w:rsidP="00494AA5">
                              <w:pPr>
                                <w:spacing w:line="800" w:lineRule="exact"/>
                                <w:jc w:val="center"/>
                                <w:rPr>
                                  <w:rFonts w:ascii="Calibri" w:hAnsi="Calibri"/>
                                  <w:b/>
                                  <w:color w:val="043064"/>
                                  <w:sz w:val="70"/>
                                  <w:szCs w:val="70"/>
                                </w:rPr>
                              </w:pPr>
                              <w:r>
                                <w:rPr>
                                  <w:rFonts w:ascii="Calibri" w:hAnsi="Calibri"/>
                                  <w:b/>
                                  <w:color w:val="043064"/>
                                  <w:sz w:val="70"/>
                                  <w:szCs w:val="70"/>
                                </w:rPr>
                                <w:t>Results from the Public Health Data Warehouse</w:t>
                              </w:r>
                            </w:p>
                            <w:p w:rsidR="00A5727E" w:rsidRPr="00CE6548" w:rsidRDefault="00A5727E" w:rsidP="00494AA5">
                              <w:pPr>
                                <w:spacing w:line="800" w:lineRule="exact"/>
                                <w:jc w:val="center"/>
                                <w:rPr>
                                  <w:rFonts w:ascii="Calibri" w:hAnsi="Calibri"/>
                                  <w:sz w:val="70"/>
                                  <w:szCs w:val="70"/>
                                </w:rPr>
                              </w:pPr>
                            </w:p>
                          </w:txbxContent>
                        </wps:txbx>
                        <wps:bodyPr rot="0" vert="horz" wrap="square" lIns="91440" tIns="45720" rIns="91440" bIns="45720" anchor="t" anchorCtr="0">
                          <a:noAutofit/>
                        </wps:bodyPr>
                      </wps:wsp>
                      <wps:wsp>
                        <wps:cNvPr id="133" name="Text Box 2"/>
                        <wps:cNvSpPr txBox="1">
                          <a:spLocks noChangeArrowheads="1"/>
                        </wps:cNvSpPr>
                        <wps:spPr bwMode="auto">
                          <a:xfrm>
                            <a:off x="2054799" y="7870561"/>
                            <a:ext cx="2481580" cy="967105"/>
                          </a:xfrm>
                          <a:prstGeom prst="rect">
                            <a:avLst/>
                          </a:prstGeom>
                          <a:solidFill>
                            <a:srgbClr val="FFFFFF"/>
                          </a:solidFill>
                          <a:ln w="9525">
                            <a:noFill/>
                            <a:miter lim="800000"/>
                            <a:headEnd/>
                            <a:tailEnd/>
                          </a:ln>
                        </wps:spPr>
                        <wps:txbx>
                          <w:txbxContent>
                            <w:p w:rsidR="00A5727E" w:rsidRPr="004B4F4D" w:rsidRDefault="00617750" w:rsidP="00494AA5">
                              <w:pPr>
                                <w:jc w:val="center"/>
                                <w:rPr>
                                  <w:b/>
                                  <w:color w:val="043064"/>
                                  <w:sz w:val="44"/>
                                  <w:szCs w:val="44"/>
                                </w:rPr>
                              </w:pPr>
                              <w:r>
                                <w:rPr>
                                  <w:b/>
                                  <w:color w:val="043064"/>
                                  <w:sz w:val="44"/>
                                  <w:szCs w:val="44"/>
                                </w:rPr>
                                <w:t>November</w:t>
                              </w:r>
                              <w:r w:rsidR="00A5727E" w:rsidRPr="004B4F4D">
                                <w:rPr>
                                  <w:b/>
                                  <w:color w:val="043064"/>
                                  <w:sz w:val="44"/>
                                  <w:szCs w:val="44"/>
                                </w:rPr>
                                <w:t xml:space="preserve"> 2019</w:t>
                              </w:r>
                            </w:p>
                            <w:p w:rsidR="00A5727E" w:rsidRPr="00E02475" w:rsidRDefault="00A5727E" w:rsidP="00494AA5">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0" o:spid="_x0000_s1028" style="position:absolute;margin-left:83.25pt;margin-top:337.5pt;width:456.25pt;height:332.6pt;z-index:251643392;mso-position-horizontal-relative:page;mso-position-vertical-relative:page;mso-width-relative:margin;mso-height-relative:margin" coordorigin="4826,46134" coordsize="57912,4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">
                <v:shape id="Text Box 2" o:spid="_x0000_s1029" type="#_x0000_t202" style="position:absolute;left:4826;top:46134;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A5727E" w:rsidRDefault="00A5727E" w:rsidP="00494AA5">
                        <w:pPr>
                          <w:spacing w:line="800" w:lineRule="exact"/>
                          <w:jc w:val="center"/>
                          <w:rPr>
                            <w:rFonts w:ascii="Calibri" w:hAnsi="Calibri"/>
                            <w:b/>
                            <w:color w:val="043064"/>
                            <w:sz w:val="70"/>
                            <w:szCs w:val="70"/>
                          </w:rPr>
                        </w:pPr>
                        <w:r w:rsidRPr="00CE6548">
                          <w:rPr>
                            <w:rFonts w:ascii="Calibri" w:hAnsi="Calibri"/>
                            <w:b/>
                            <w:color w:val="043064"/>
                            <w:sz w:val="70"/>
                            <w:szCs w:val="70"/>
                          </w:rPr>
                          <w:t>Impact of the Opioid Epidemic on High Risk Populations and Maternal Health</w:t>
                        </w:r>
                        <w:r>
                          <w:rPr>
                            <w:rFonts w:ascii="Calibri" w:hAnsi="Calibri"/>
                            <w:b/>
                            <w:color w:val="043064"/>
                            <w:sz w:val="70"/>
                            <w:szCs w:val="70"/>
                          </w:rPr>
                          <w:t>:</w:t>
                        </w:r>
                      </w:p>
                      <w:p w:rsidR="00A5727E" w:rsidRDefault="00A5727E" w:rsidP="00494AA5">
                        <w:pPr>
                          <w:spacing w:line="800" w:lineRule="exact"/>
                          <w:jc w:val="center"/>
                          <w:rPr>
                            <w:rFonts w:ascii="Calibri" w:hAnsi="Calibri"/>
                            <w:b/>
                            <w:color w:val="043064"/>
                            <w:sz w:val="70"/>
                            <w:szCs w:val="70"/>
                          </w:rPr>
                        </w:pPr>
                        <w:r>
                          <w:rPr>
                            <w:rFonts w:ascii="Calibri" w:hAnsi="Calibri"/>
                            <w:b/>
                            <w:color w:val="043064"/>
                            <w:sz w:val="70"/>
                            <w:szCs w:val="70"/>
                          </w:rPr>
                          <w:t>Results from the Public Health Data Warehouse</w:t>
                        </w:r>
                      </w:p>
                      <w:p w:rsidR="00A5727E" w:rsidRPr="00CE6548" w:rsidRDefault="00A5727E" w:rsidP="00494AA5">
                        <w:pPr>
                          <w:spacing w:line="800" w:lineRule="exact"/>
                          <w:jc w:val="center"/>
                          <w:rPr>
                            <w:rFonts w:ascii="Calibri" w:hAnsi="Calibri"/>
                            <w:sz w:val="70"/>
                            <w:szCs w:val="70"/>
                          </w:rPr>
                        </w:pPr>
                      </w:p>
                    </w:txbxContent>
                  </v:textbox>
                </v:shape>
                <v:shape id="Text Box 2" o:spid="_x0000_s1030" type="#_x0000_t202" style="position:absolute;left:20547;top:78705;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A5727E" w:rsidRPr="004B4F4D" w:rsidRDefault="00617750" w:rsidP="00494AA5">
                        <w:pPr>
                          <w:jc w:val="center"/>
                          <w:rPr>
                            <w:b/>
                            <w:color w:val="043064"/>
                            <w:sz w:val="44"/>
                            <w:szCs w:val="44"/>
                          </w:rPr>
                        </w:pPr>
                        <w:r>
                          <w:rPr>
                            <w:b/>
                            <w:color w:val="043064"/>
                            <w:sz w:val="44"/>
                            <w:szCs w:val="44"/>
                          </w:rPr>
                          <w:t>November</w:t>
                        </w:r>
                        <w:r w:rsidR="00A5727E" w:rsidRPr="004B4F4D">
                          <w:rPr>
                            <w:b/>
                            <w:color w:val="043064"/>
                            <w:sz w:val="44"/>
                            <w:szCs w:val="44"/>
                          </w:rPr>
                          <w:t xml:space="preserve"> 2019</w:t>
                        </w:r>
                      </w:p>
                      <w:p w:rsidR="00A5727E" w:rsidRPr="00E02475" w:rsidRDefault="00A5727E" w:rsidP="00494AA5">
                        <w:pPr>
                          <w:jc w:val="center"/>
                          <w:rPr>
                            <w:rFonts w:ascii="Adobe Garamond Pro Bold" w:hAnsi="Adobe Garamond Pro Bold"/>
                            <w:sz w:val="48"/>
                            <w:szCs w:val="48"/>
                          </w:rPr>
                        </w:pPr>
                      </w:p>
                    </w:txbxContent>
                  </v:textbox>
                </v:shape>
                <w10:wrap anchorx="page" anchory="page"/>
              </v:group>
            </w:pict>
          </mc:Fallback>
        </mc:AlternateContent>
      </w:r>
      <w:r w:rsidR="00494AA5">
        <w:rPr>
          <w:rFonts w:ascii="Times New Roman" w:hAnsi="Times New Roman" w:cs="Times New Roman"/>
          <w:sz w:val="24"/>
          <w:szCs w:val="24"/>
        </w:rPr>
        <w:br w:type="page"/>
      </w:r>
    </w:p>
    <w:p w:rsidR="00FF1324" w:rsidRDefault="00FF1324" w:rsidP="00FF1324">
      <w:pPr>
        <w:rPr>
          <w:rFonts w:ascii="Times New Roman" w:hAnsi="Times New Roman" w:cs="Times New Roman"/>
          <w:sz w:val="24"/>
          <w:szCs w:val="24"/>
        </w:rPr>
      </w:pPr>
    </w:p>
    <w:sdt>
      <w:sdtPr>
        <w:rPr>
          <w:rFonts w:asciiTheme="minorHAnsi" w:eastAsiaTheme="minorHAnsi" w:hAnsiTheme="minorHAnsi" w:cstheme="minorBidi"/>
          <w:b w:val="0"/>
          <w:bCs w:val="0"/>
          <w:noProof/>
          <w:color w:val="auto"/>
          <w:sz w:val="22"/>
          <w:szCs w:val="22"/>
          <w:shd w:val="clear" w:color="auto" w:fill="FFFFFF"/>
          <w:lang w:eastAsia="en-US"/>
        </w:rPr>
        <w:id w:val="1097592550"/>
        <w:docPartObj>
          <w:docPartGallery w:val="Table of Contents"/>
          <w:docPartUnique/>
        </w:docPartObj>
      </w:sdtPr>
      <w:sdtEndPr>
        <w:rPr>
          <w:rFonts w:ascii="Times New Roman" w:hAnsi="Times New Roman"/>
          <w:color w:val="002060"/>
        </w:rPr>
      </w:sdtEndPr>
      <w:sdtContent>
        <w:p w:rsidR="0012294E" w:rsidRPr="00D3478C" w:rsidRDefault="0012294E" w:rsidP="00BB5B79">
          <w:pPr>
            <w:pStyle w:val="TOCHeading"/>
            <w:spacing w:before="120"/>
            <w:rPr>
              <w:rStyle w:val="Heading1Char"/>
              <w:b/>
              <w:sz w:val="44"/>
              <w:szCs w:val="44"/>
            </w:rPr>
          </w:pPr>
          <w:r w:rsidRPr="00D3478C">
            <w:rPr>
              <w:rStyle w:val="Heading1Char"/>
              <w:b/>
              <w:sz w:val="44"/>
              <w:szCs w:val="44"/>
            </w:rPr>
            <w:t>Contents</w:t>
          </w:r>
        </w:p>
        <w:p w:rsidR="0077342A" w:rsidRPr="0074158F" w:rsidRDefault="0077342A" w:rsidP="0077342A">
          <w:pPr>
            <w:rPr>
              <w:sz w:val="14"/>
              <w:szCs w:val="14"/>
              <w:lang w:eastAsia="ja-JP"/>
            </w:rPr>
          </w:pPr>
        </w:p>
        <w:p w:rsidR="001A018D" w:rsidRPr="001349DD" w:rsidRDefault="0012294E">
          <w:pPr>
            <w:pStyle w:val="TOC1"/>
            <w:rPr>
              <w:rFonts w:asciiTheme="minorHAnsi" w:eastAsiaTheme="minorEastAsia" w:hAnsiTheme="minorHAnsi"/>
              <w:color w:val="auto"/>
              <w:shd w:val="clear" w:color="auto" w:fill="auto"/>
            </w:rPr>
          </w:pPr>
          <w:r w:rsidRPr="0074158F">
            <w:rPr>
              <w:rFonts w:asciiTheme="minorHAnsi" w:hAnsiTheme="minorHAnsi" w:cs="Times New Roman"/>
            </w:rPr>
            <w:fldChar w:fldCharType="begin"/>
          </w:r>
          <w:r w:rsidRPr="0074158F">
            <w:rPr>
              <w:rFonts w:asciiTheme="minorHAnsi" w:hAnsiTheme="minorHAnsi" w:cs="Times New Roman"/>
            </w:rPr>
            <w:instrText xml:space="preserve"> TOC \o "1-3" \h \z \u </w:instrText>
          </w:r>
          <w:r w:rsidRPr="0074158F">
            <w:rPr>
              <w:rFonts w:asciiTheme="minorHAnsi" w:hAnsiTheme="minorHAnsi" w:cs="Times New Roman"/>
            </w:rPr>
            <w:fldChar w:fldCharType="separate"/>
          </w:r>
          <w:hyperlink w:anchor="_Toc20134872" w:history="1">
            <w:r w:rsidR="001A018D" w:rsidRPr="001349DD">
              <w:rPr>
                <w:rStyle w:val="Hyperlink"/>
                <w:rFonts w:asciiTheme="minorHAnsi" w:hAnsiTheme="minorHAnsi"/>
              </w:rPr>
              <w:t>Legislative Mandate</w:t>
            </w:r>
            <w:r w:rsidR="001A018D" w:rsidRPr="001349DD">
              <w:rPr>
                <w:rFonts w:asciiTheme="minorHAnsi" w:hAnsiTheme="minorHAnsi"/>
                <w:webHidden/>
              </w:rPr>
              <w:tab/>
            </w:r>
            <w:r w:rsidR="001A018D" w:rsidRPr="001349DD">
              <w:rPr>
                <w:rFonts w:asciiTheme="minorHAnsi" w:hAnsiTheme="minorHAnsi"/>
                <w:webHidden/>
              </w:rPr>
              <w:fldChar w:fldCharType="begin"/>
            </w:r>
            <w:r w:rsidR="001A018D" w:rsidRPr="001349DD">
              <w:rPr>
                <w:rFonts w:asciiTheme="minorHAnsi" w:hAnsiTheme="minorHAnsi"/>
                <w:webHidden/>
              </w:rPr>
              <w:instrText xml:space="preserve"> PAGEREF _Toc20134872 \h </w:instrText>
            </w:r>
            <w:r w:rsidR="001A018D" w:rsidRPr="001349DD">
              <w:rPr>
                <w:rFonts w:asciiTheme="minorHAnsi" w:hAnsiTheme="minorHAnsi"/>
                <w:webHidden/>
              </w:rPr>
            </w:r>
            <w:r w:rsidR="001A018D" w:rsidRPr="001349DD">
              <w:rPr>
                <w:rFonts w:asciiTheme="minorHAnsi" w:hAnsiTheme="minorHAnsi"/>
                <w:webHidden/>
              </w:rPr>
              <w:fldChar w:fldCharType="separate"/>
            </w:r>
            <w:r w:rsidR="000962DC">
              <w:rPr>
                <w:rFonts w:asciiTheme="minorHAnsi" w:hAnsiTheme="minorHAnsi"/>
                <w:webHidden/>
              </w:rPr>
              <w:t>4</w:t>
            </w:r>
            <w:r w:rsidR="001A018D" w:rsidRPr="001349DD">
              <w:rPr>
                <w:rFonts w:asciiTheme="minorHAnsi" w:hAnsiTheme="minorHAnsi"/>
                <w:webHidden/>
              </w:rPr>
              <w:fldChar w:fldCharType="end"/>
            </w:r>
          </w:hyperlink>
        </w:p>
        <w:p w:rsidR="001A018D" w:rsidRPr="001349DD" w:rsidRDefault="008030D6">
          <w:pPr>
            <w:pStyle w:val="TOC1"/>
            <w:rPr>
              <w:rFonts w:asciiTheme="minorHAnsi" w:eastAsiaTheme="minorEastAsia" w:hAnsiTheme="minorHAnsi"/>
              <w:color w:val="auto"/>
              <w:shd w:val="clear" w:color="auto" w:fill="auto"/>
            </w:rPr>
          </w:pPr>
          <w:hyperlink w:anchor="_Toc20134873" w:history="1">
            <w:r w:rsidR="001A018D" w:rsidRPr="001349DD">
              <w:rPr>
                <w:rStyle w:val="Hyperlink"/>
                <w:rFonts w:asciiTheme="minorHAnsi" w:hAnsiTheme="minorHAnsi"/>
              </w:rPr>
              <w:t>Executive Summary</w:t>
            </w:r>
            <w:r w:rsidR="001A018D" w:rsidRPr="001349DD">
              <w:rPr>
                <w:rFonts w:asciiTheme="minorHAnsi" w:hAnsiTheme="minorHAnsi"/>
                <w:webHidden/>
              </w:rPr>
              <w:tab/>
            </w:r>
            <w:r w:rsidR="001A018D" w:rsidRPr="001349DD">
              <w:rPr>
                <w:rFonts w:asciiTheme="minorHAnsi" w:hAnsiTheme="minorHAnsi"/>
                <w:webHidden/>
              </w:rPr>
              <w:fldChar w:fldCharType="begin"/>
            </w:r>
            <w:r w:rsidR="001A018D" w:rsidRPr="001349DD">
              <w:rPr>
                <w:rFonts w:asciiTheme="minorHAnsi" w:hAnsiTheme="minorHAnsi"/>
                <w:webHidden/>
              </w:rPr>
              <w:instrText xml:space="preserve"> PAGEREF _Toc20134873 \h </w:instrText>
            </w:r>
            <w:r w:rsidR="001A018D" w:rsidRPr="001349DD">
              <w:rPr>
                <w:rFonts w:asciiTheme="minorHAnsi" w:hAnsiTheme="minorHAnsi"/>
                <w:webHidden/>
              </w:rPr>
            </w:r>
            <w:r w:rsidR="001A018D" w:rsidRPr="001349DD">
              <w:rPr>
                <w:rFonts w:asciiTheme="minorHAnsi" w:hAnsiTheme="minorHAnsi"/>
                <w:webHidden/>
              </w:rPr>
              <w:fldChar w:fldCharType="separate"/>
            </w:r>
            <w:r w:rsidR="000962DC">
              <w:rPr>
                <w:rFonts w:asciiTheme="minorHAnsi" w:hAnsiTheme="minorHAnsi"/>
                <w:webHidden/>
              </w:rPr>
              <w:t>5</w:t>
            </w:r>
            <w:r w:rsidR="001A018D" w:rsidRPr="001349DD">
              <w:rPr>
                <w:rFonts w:asciiTheme="minorHAnsi" w:hAnsiTheme="minorHAnsi"/>
                <w:webHidden/>
              </w:rPr>
              <w:fldChar w:fldCharType="end"/>
            </w:r>
          </w:hyperlink>
        </w:p>
        <w:p w:rsidR="001A018D" w:rsidRPr="001349DD" w:rsidRDefault="008030D6">
          <w:pPr>
            <w:pStyle w:val="TOC1"/>
            <w:rPr>
              <w:rFonts w:asciiTheme="minorHAnsi" w:eastAsiaTheme="minorEastAsia" w:hAnsiTheme="minorHAnsi"/>
              <w:color w:val="auto"/>
              <w:shd w:val="clear" w:color="auto" w:fill="auto"/>
            </w:rPr>
          </w:pPr>
          <w:hyperlink w:anchor="_Toc20134874" w:history="1">
            <w:r w:rsidR="001A018D" w:rsidRPr="001349DD">
              <w:rPr>
                <w:rStyle w:val="Hyperlink"/>
                <w:rFonts w:asciiTheme="minorHAnsi" w:hAnsiTheme="minorHAnsi"/>
              </w:rPr>
              <w:t>Background</w:t>
            </w:r>
            <w:r w:rsidR="001A018D" w:rsidRPr="001349DD">
              <w:rPr>
                <w:rFonts w:asciiTheme="minorHAnsi" w:hAnsiTheme="minorHAnsi"/>
                <w:webHidden/>
              </w:rPr>
              <w:tab/>
            </w:r>
            <w:r w:rsidR="001A018D" w:rsidRPr="001349DD">
              <w:rPr>
                <w:rFonts w:asciiTheme="minorHAnsi" w:hAnsiTheme="minorHAnsi"/>
                <w:webHidden/>
              </w:rPr>
              <w:fldChar w:fldCharType="begin"/>
            </w:r>
            <w:r w:rsidR="001A018D" w:rsidRPr="001349DD">
              <w:rPr>
                <w:rFonts w:asciiTheme="minorHAnsi" w:hAnsiTheme="minorHAnsi"/>
                <w:webHidden/>
              </w:rPr>
              <w:instrText xml:space="preserve"> PAGEREF _Toc20134874 \h </w:instrText>
            </w:r>
            <w:r w:rsidR="001A018D" w:rsidRPr="001349DD">
              <w:rPr>
                <w:rFonts w:asciiTheme="minorHAnsi" w:hAnsiTheme="minorHAnsi"/>
                <w:webHidden/>
              </w:rPr>
            </w:r>
            <w:r w:rsidR="001A018D" w:rsidRPr="001349DD">
              <w:rPr>
                <w:rFonts w:asciiTheme="minorHAnsi" w:hAnsiTheme="minorHAnsi"/>
                <w:webHidden/>
              </w:rPr>
              <w:fldChar w:fldCharType="separate"/>
            </w:r>
            <w:r w:rsidR="000962DC">
              <w:rPr>
                <w:rFonts w:asciiTheme="minorHAnsi" w:hAnsiTheme="minorHAnsi"/>
                <w:webHidden/>
              </w:rPr>
              <w:t>6</w:t>
            </w:r>
            <w:r w:rsidR="001A018D" w:rsidRPr="001349DD">
              <w:rPr>
                <w:rFonts w:asciiTheme="minorHAnsi" w:hAnsiTheme="minorHAnsi"/>
                <w:webHidden/>
              </w:rPr>
              <w:fldChar w:fldCharType="end"/>
            </w:r>
          </w:hyperlink>
        </w:p>
        <w:p w:rsidR="001A018D" w:rsidRPr="001349DD" w:rsidRDefault="008030D6">
          <w:pPr>
            <w:pStyle w:val="TOC1"/>
            <w:rPr>
              <w:rFonts w:asciiTheme="minorHAnsi" w:eastAsiaTheme="minorEastAsia" w:hAnsiTheme="minorHAnsi"/>
              <w:color w:val="auto"/>
              <w:shd w:val="clear" w:color="auto" w:fill="auto"/>
            </w:rPr>
          </w:pPr>
          <w:hyperlink w:anchor="_Toc20134875" w:history="1">
            <w:r w:rsidR="001A018D" w:rsidRPr="001349DD">
              <w:rPr>
                <w:rStyle w:val="Hyperlink"/>
                <w:rFonts w:asciiTheme="minorHAnsi" w:hAnsiTheme="minorHAnsi"/>
              </w:rPr>
              <w:t>Section I. In-Depth Population and Subpopulation Analyses</w:t>
            </w:r>
            <w:r w:rsidR="001A018D" w:rsidRPr="001349DD">
              <w:rPr>
                <w:rFonts w:asciiTheme="minorHAnsi" w:hAnsiTheme="minorHAnsi"/>
                <w:webHidden/>
              </w:rPr>
              <w:tab/>
            </w:r>
            <w:r w:rsidR="001A018D" w:rsidRPr="001349DD">
              <w:rPr>
                <w:rFonts w:asciiTheme="minorHAnsi" w:hAnsiTheme="minorHAnsi"/>
                <w:webHidden/>
              </w:rPr>
              <w:fldChar w:fldCharType="begin"/>
            </w:r>
            <w:r w:rsidR="001A018D" w:rsidRPr="001349DD">
              <w:rPr>
                <w:rFonts w:asciiTheme="minorHAnsi" w:hAnsiTheme="minorHAnsi"/>
                <w:webHidden/>
              </w:rPr>
              <w:instrText xml:space="preserve"> PAGEREF _Toc20134875 \h </w:instrText>
            </w:r>
            <w:r w:rsidR="001A018D" w:rsidRPr="001349DD">
              <w:rPr>
                <w:rFonts w:asciiTheme="minorHAnsi" w:hAnsiTheme="minorHAnsi"/>
                <w:webHidden/>
              </w:rPr>
            </w:r>
            <w:r w:rsidR="001A018D" w:rsidRPr="001349DD">
              <w:rPr>
                <w:rFonts w:asciiTheme="minorHAnsi" w:hAnsiTheme="minorHAnsi"/>
                <w:webHidden/>
              </w:rPr>
              <w:fldChar w:fldCharType="separate"/>
            </w:r>
            <w:r w:rsidR="000962DC">
              <w:rPr>
                <w:rFonts w:asciiTheme="minorHAnsi" w:hAnsiTheme="minorHAnsi"/>
                <w:webHidden/>
              </w:rPr>
              <w:t>8</w:t>
            </w:r>
            <w:r w:rsidR="001A018D" w:rsidRPr="001349DD">
              <w:rPr>
                <w:rFonts w:asciiTheme="minorHAnsi" w:hAnsiTheme="minorHAnsi"/>
                <w:webHidden/>
              </w:rPr>
              <w:fldChar w:fldCharType="end"/>
            </w:r>
          </w:hyperlink>
        </w:p>
        <w:p w:rsidR="001A018D" w:rsidRPr="001349DD" w:rsidRDefault="008030D6">
          <w:pPr>
            <w:pStyle w:val="TOC2"/>
            <w:tabs>
              <w:tab w:val="right" w:leader="dot" w:pos="9350"/>
            </w:tabs>
            <w:rPr>
              <w:rFonts w:eastAsiaTheme="minorEastAsia"/>
              <w:noProof/>
            </w:rPr>
          </w:pPr>
          <w:hyperlink w:anchor="_Toc20134876" w:history="1">
            <w:r w:rsidR="001A018D" w:rsidRPr="001349DD">
              <w:rPr>
                <w:rStyle w:val="Hyperlink"/>
                <w:noProof/>
              </w:rPr>
              <w:t>Race/Ethnicity</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_Toc20134876 \h </w:instrText>
            </w:r>
            <w:r w:rsidR="001A018D" w:rsidRPr="001349DD">
              <w:rPr>
                <w:noProof/>
                <w:webHidden/>
              </w:rPr>
            </w:r>
            <w:r w:rsidR="001A018D" w:rsidRPr="001349DD">
              <w:rPr>
                <w:noProof/>
                <w:webHidden/>
              </w:rPr>
              <w:fldChar w:fldCharType="separate"/>
            </w:r>
            <w:r w:rsidR="000962DC">
              <w:rPr>
                <w:noProof/>
                <w:webHidden/>
              </w:rPr>
              <w:t>8</w:t>
            </w:r>
            <w:r w:rsidR="001A018D" w:rsidRPr="001349DD">
              <w:rPr>
                <w:noProof/>
                <w:webHidden/>
              </w:rPr>
              <w:fldChar w:fldCharType="end"/>
            </w:r>
          </w:hyperlink>
          <w:bookmarkStart w:id="1" w:name="_GoBack"/>
          <w:bookmarkEnd w:id="1"/>
        </w:p>
        <w:p w:rsidR="001A018D" w:rsidRPr="001349DD" w:rsidRDefault="008030D6">
          <w:pPr>
            <w:pStyle w:val="TOC2"/>
            <w:tabs>
              <w:tab w:val="right" w:leader="dot" w:pos="9350"/>
            </w:tabs>
            <w:rPr>
              <w:rFonts w:eastAsiaTheme="minorEastAsia"/>
              <w:noProof/>
            </w:rPr>
          </w:pPr>
          <w:hyperlink w:anchor="_Toc20134877" w:history="1">
            <w:r w:rsidR="001A018D" w:rsidRPr="001349DD">
              <w:rPr>
                <w:rStyle w:val="Hyperlink"/>
                <w:noProof/>
              </w:rPr>
              <w:t>Women</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_Toc20134877 \h </w:instrText>
            </w:r>
            <w:r w:rsidR="001A018D" w:rsidRPr="001349DD">
              <w:rPr>
                <w:noProof/>
                <w:webHidden/>
              </w:rPr>
            </w:r>
            <w:r w:rsidR="001A018D" w:rsidRPr="001349DD">
              <w:rPr>
                <w:noProof/>
                <w:webHidden/>
              </w:rPr>
              <w:fldChar w:fldCharType="separate"/>
            </w:r>
            <w:r w:rsidR="000962DC">
              <w:rPr>
                <w:noProof/>
                <w:webHidden/>
              </w:rPr>
              <w:t>10</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78" w:history="1">
            <w:r w:rsidR="001A018D" w:rsidRPr="001349DD">
              <w:rPr>
                <w:rStyle w:val="Hyperlink"/>
                <w:noProof/>
              </w:rPr>
              <w:t>Criminal Justice-Inmates recently released from prisons/jails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_Toc20134878 \h </w:instrText>
            </w:r>
            <w:r w:rsidR="001A018D" w:rsidRPr="001349DD">
              <w:rPr>
                <w:noProof/>
                <w:webHidden/>
              </w:rPr>
            </w:r>
            <w:r w:rsidR="001A018D" w:rsidRPr="001349DD">
              <w:rPr>
                <w:noProof/>
                <w:webHidden/>
              </w:rPr>
              <w:fldChar w:fldCharType="separate"/>
            </w:r>
            <w:r w:rsidR="000962DC">
              <w:rPr>
                <w:noProof/>
                <w:webHidden/>
              </w:rPr>
              <w:t>16</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79" w:history="1">
            <w:r w:rsidR="001A018D" w:rsidRPr="001349DD">
              <w:rPr>
                <w:rStyle w:val="Hyperlink"/>
                <w:noProof/>
              </w:rPr>
              <w:t>People Experiencing Homelessness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_Toc20134879 \h </w:instrText>
            </w:r>
            <w:r w:rsidR="001A018D" w:rsidRPr="001349DD">
              <w:rPr>
                <w:noProof/>
                <w:webHidden/>
              </w:rPr>
            </w:r>
            <w:r w:rsidR="001A018D" w:rsidRPr="001349DD">
              <w:rPr>
                <w:noProof/>
                <w:webHidden/>
              </w:rPr>
              <w:fldChar w:fldCharType="separate"/>
            </w:r>
            <w:r w:rsidR="000962DC">
              <w:rPr>
                <w:noProof/>
                <w:webHidden/>
              </w:rPr>
              <w:t>22</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0" w:history="1">
            <w:r w:rsidR="001A018D" w:rsidRPr="001349DD">
              <w:rPr>
                <w:rStyle w:val="Hyperlink"/>
                <w:noProof/>
              </w:rPr>
              <w:t>Adolescents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_Toc20134880 \h </w:instrText>
            </w:r>
            <w:r w:rsidR="001A018D" w:rsidRPr="001349DD">
              <w:rPr>
                <w:noProof/>
                <w:webHidden/>
              </w:rPr>
            </w:r>
            <w:r w:rsidR="001A018D" w:rsidRPr="001349DD">
              <w:rPr>
                <w:noProof/>
                <w:webHidden/>
              </w:rPr>
              <w:fldChar w:fldCharType="separate"/>
            </w:r>
            <w:r w:rsidR="000962DC">
              <w:rPr>
                <w:noProof/>
                <w:webHidden/>
              </w:rPr>
              <w:t>27</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1" w:history="1">
            <w:r w:rsidR="001A018D" w:rsidRPr="001349DD">
              <w:rPr>
                <w:rStyle w:val="Hyperlink"/>
                <w:noProof/>
              </w:rPr>
              <w:t>Veterans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_Toc20134881 \h </w:instrText>
            </w:r>
            <w:r w:rsidR="001A018D" w:rsidRPr="001349DD">
              <w:rPr>
                <w:noProof/>
                <w:webHidden/>
              </w:rPr>
            </w:r>
            <w:r w:rsidR="001A018D" w:rsidRPr="001349DD">
              <w:rPr>
                <w:noProof/>
                <w:webHidden/>
              </w:rPr>
              <w:fldChar w:fldCharType="separate"/>
            </w:r>
            <w:r w:rsidR="000962DC">
              <w:rPr>
                <w:noProof/>
                <w:webHidden/>
              </w:rPr>
              <w:t>31</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2" w:history="1">
            <w:r w:rsidR="001A018D" w:rsidRPr="001349DD">
              <w:rPr>
                <w:rStyle w:val="Hyperlink"/>
                <w:noProof/>
              </w:rPr>
              <w:t>MassHealth Members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_Toc20134882 \h </w:instrText>
            </w:r>
            <w:r w:rsidR="001A018D" w:rsidRPr="001349DD">
              <w:rPr>
                <w:noProof/>
                <w:webHidden/>
              </w:rPr>
            </w:r>
            <w:r w:rsidR="001A018D" w:rsidRPr="001349DD">
              <w:rPr>
                <w:noProof/>
                <w:webHidden/>
              </w:rPr>
              <w:fldChar w:fldCharType="separate"/>
            </w:r>
            <w:r w:rsidR="000962DC">
              <w:rPr>
                <w:noProof/>
                <w:webHidden/>
              </w:rPr>
              <w:t>35</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3" w:history="1">
            <w:r w:rsidR="001A018D" w:rsidRPr="001349DD">
              <w:rPr>
                <w:rStyle w:val="Hyperlink"/>
                <w:noProof/>
              </w:rPr>
              <w:t>People Already in Treatment</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_Toc20134883 \h </w:instrText>
            </w:r>
            <w:r w:rsidR="001A018D" w:rsidRPr="001349DD">
              <w:rPr>
                <w:noProof/>
                <w:webHidden/>
              </w:rPr>
            </w:r>
            <w:r w:rsidR="001A018D" w:rsidRPr="001349DD">
              <w:rPr>
                <w:noProof/>
                <w:webHidden/>
              </w:rPr>
              <w:fldChar w:fldCharType="separate"/>
            </w:r>
            <w:r w:rsidR="000962DC">
              <w:rPr>
                <w:noProof/>
                <w:webHidden/>
              </w:rPr>
              <w:t>38</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4" w:history="1">
            <w:r w:rsidR="001A018D" w:rsidRPr="001349DD">
              <w:rPr>
                <w:rStyle w:val="Hyperlink"/>
                <w:noProof/>
              </w:rPr>
              <w:t>Communities at High Risk</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_Toc20134884 \h </w:instrText>
            </w:r>
            <w:r w:rsidR="001A018D" w:rsidRPr="001349DD">
              <w:rPr>
                <w:noProof/>
                <w:webHidden/>
              </w:rPr>
            </w:r>
            <w:r w:rsidR="001A018D" w:rsidRPr="001349DD">
              <w:rPr>
                <w:noProof/>
                <w:webHidden/>
              </w:rPr>
              <w:fldChar w:fldCharType="separate"/>
            </w:r>
            <w:r w:rsidR="000962DC">
              <w:rPr>
                <w:noProof/>
                <w:webHidden/>
              </w:rPr>
              <w:t>42</w:t>
            </w:r>
            <w:r w:rsidR="001A018D" w:rsidRPr="001349DD">
              <w:rPr>
                <w:noProof/>
                <w:webHidden/>
              </w:rPr>
              <w:fldChar w:fldCharType="end"/>
            </w:r>
          </w:hyperlink>
        </w:p>
        <w:p w:rsidR="001A018D" w:rsidRPr="001349DD" w:rsidRDefault="008030D6">
          <w:pPr>
            <w:pStyle w:val="TOC2"/>
            <w:tabs>
              <w:tab w:val="right" w:leader="dot" w:pos="9350"/>
            </w:tabs>
            <w:rPr>
              <w:rFonts w:eastAsiaTheme="minorEastAsia"/>
              <w:noProof/>
            </w:rPr>
          </w:pPr>
          <w:hyperlink w:anchor="_Toc20134885" w:history="1">
            <w:r w:rsidR="001A018D" w:rsidRPr="001349DD">
              <w:rPr>
                <w:rStyle w:val="Hyperlink"/>
                <w:noProof/>
              </w:rPr>
              <w:t>People Receiving Opioid Prescriptions</w:t>
            </w:r>
            <w:r w:rsidR="001A018D" w:rsidRPr="001349DD">
              <w:rPr>
                <w:noProof/>
                <w:webHidden/>
              </w:rPr>
              <w:tab/>
            </w:r>
            <w:r w:rsidR="001A018D" w:rsidRPr="001349DD">
              <w:rPr>
                <w:noProof/>
                <w:webHidden/>
              </w:rPr>
              <w:fldChar w:fldCharType="begin"/>
            </w:r>
            <w:r w:rsidR="001A018D" w:rsidRPr="001349DD">
              <w:rPr>
                <w:noProof/>
                <w:webHidden/>
              </w:rPr>
              <w:instrText xml:space="preserve"> PAGEREF _Toc20134885 \h </w:instrText>
            </w:r>
            <w:r w:rsidR="001A018D" w:rsidRPr="001349DD">
              <w:rPr>
                <w:noProof/>
                <w:webHidden/>
              </w:rPr>
            </w:r>
            <w:r w:rsidR="001A018D" w:rsidRPr="001349DD">
              <w:rPr>
                <w:noProof/>
                <w:webHidden/>
              </w:rPr>
              <w:fldChar w:fldCharType="separate"/>
            </w:r>
            <w:r w:rsidR="000962DC">
              <w:rPr>
                <w:noProof/>
                <w:webHidden/>
              </w:rPr>
              <w:t>44</w:t>
            </w:r>
            <w:r w:rsidR="001A018D" w:rsidRPr="001349DD">
              <w:rPr>
                <w:noProof/>
                <w:webHidden/>
              </w:rPr>
              <w:fldChar w:fldCharType="end"/>
            </w:r>
          </w:hyperlink>
        </w:p>
        <w:p w:rsidR="001A018D" w:rsidRDefault="008030D6">
          <w:pPr>
            <w:pStyle w:val="TOC1"/>
            <w:rPr>
              <w:rFonts w:asciiTheme="minorHAnsi" w:eastAsiaTheme="minorEastAsia" w:hAnsiTheme="minorHAnsi"/>
              <w:color w:val="auto"/>
              <w:shd w:val="clear" w:color="auto" w:fill="auto"/>
            </w:rPr>
          </w:pPr>
          <w:hyperlink w:anchor="_Toc20134886" w:history="1">
            <w:r w:rsidR="001A018D" w:rsidRPr="001349DD">
              <w:rPr>
                <w:rStyle w:val="Hyperlink"/>
                <w:rFonts w:asciiTheme="minorHAnsi" w:hAnsiTheme="minorHAnsi"/>
              </w:rPr>
              <w:t>Section II. Medications for Opioid Use Disorder (MOUD) Treatment Efficacy</w:t>
            </w:r>
            <w:r w:rsidR="001A018D" w:rsidRPr="001349DD">
              <w:rPr>
                <w:rFonts w:asciiTheme="minorHAnsi" w:hAnsiTheme="minorHAnsi"/>
                <w:webHidden/>
              </w:rPr>
              <w:tab/>
            </w:r>
            <w:r w:rsidR="001A018D" w:rsidRPr="001349DD">
              <w:rPr>
                <w:rFonts w:asciiTheme="minorHAnsi" w:hAnsiTheme="minorHAnsi"/>
                <w:webHidden/>
              </w:rPr>
              <w:fldChar w:fldCharType="begin"/>
            </w:r>
            <w:r w:rsidR="001A018D" w:rsidRPr="001349DD">
              <w:rPr>
                <w:rFonts w:asciiTheme="minorHAnsi" w:hAnsiTheme="minorHAnsi"/>
                <w:webHidden/>
              </w:rPr>
              <w:instrText xml:space="preserve"> PAGEREF _Toc20134886 \h </w:instrText>
            </w:r>
            <w:r w:rsidR="001A018D" w:rsidRPr="001349DD">
              <w:rPr>
                <w:rFonts w:asciiTheme="minorHAnsi" w:hAnsiTheme="minorHAnsi"/>
                <w:webHidden/>
              </w:rPr>
            </w:r>
            <w:r w:rsidR="001A018D" w:rsidRPr="001349DD">
              <w:rPr>
                <w:rFonts w:asciiTheme="minorHAnsi" w:hAnsiTheme="minorHAnsi"/>
                <w:webHidden/>
              </w:rPr>
              <w:fldChar w:fldCharType="separate"/>
            </w:r>
            <w:r w:rsidR="000962DC">
              <w:rPr>
                <w:rFonts w:asciiTheme="minorHAnsi" w:hAnsiTheme="minorHAnsi"/>
                <w:webHidden/>
              </w:rPr>
              <w:t>50</w:t>
            </w:r>
            <w:r w:rsidR="001A018D" w:rsidRPr="001349DD">
              <w:rPr>
                <w:rFonts w:asciiTheme="minorHAnsi" w:hAnsiTheme="minorHAnsi"/>
                <w:webHidden/>
              </w:rPr>
              <w:fldChar w:fldCharType="end"/>
            </w:r>
          </w:hyperlink>
        </w:p>
        <w:p w:rsidR="0012294E" w:rsidRPr="003560A6" w:rsidRDefault="0012294E" w:rsidP="003560A6">
          <w:pPr>
            <w:pStyle w:val="TOC1"/>
            <w:rPr>
              <w:rFonts w:asciiTheme="majorHAnsi" w:eastAsiaTheme="minorEastAsia" w:hAnsiTheme="majorHAnsi"/>
              <w:color w:val="auto"/>
              <w:shd w:val="clear" w:color="auto" w:fill="auto"/>
            </w:rPr>
          </w:pPr>
          <w:r w:rsidRPr="0074158F">
            <w:rPr>
              <w:rFonts w:cs="Times New Roman"/>
              <w:b/>
              <w:bCs/>
            </w:rPr>
            <w:fldChar w:fldCharType="end"/>
          </w:r>
        </w:p>
      </w:sdtContent>
    </w:sdt>
    <w:p w:rsidR="007C38A4" w:rsidRPr="00D3478C" w:rsidRDefault="00127EBE" w:rsidP="0074158F">
      <w:pPr>
        <w:pStyle w:val="Heading1"/>
        <w:rPr>
          <w:sz w:val="44"/>
          <w:szCs w:val="44"/>
        </w:rPr>
      </w:pPr>
      <w:r>
        <w:rPr>
          <w:rFonts w:ascii="Times New Roman" w:hAnsi="Times New Roman" w:cs="Times New Roman"/>
          <w:sz w:val="24"/>
          <w:szCs w:val="24"/>
          <w:shd w:val="clear" w:color="auto" w:fill="FFFFFF"/>
        </w:rPr>
        <w:br w:type="page"/>
      </w:r>
      <w:bookmarkStart w:id="2" w:name="_Toc20134872"/>
      <w:r w:rsidR="007C38A4" w:rsidRPr="00D3478C">
        <w:rPr>
          <w:sz w:val="44"/>
          <w:szCs w:val="44"/>
        </w:rPr>
        <w:lastRenderedPageBreak/>
        <w:t>Legislative Mandate</w:t>
      </w:r>
      <w:bookmarkEnd w:id="2"/>
    </w:p>
    <w:p w:rsidR="007C38A4" w:rsidRPr="00A871B1" w:rsidRDefault="007C38A4" w:rsidP="007C38A4">
      <w:pPr>
        <w:rPr>
          <w:rFonts w:asciiTheme="majorHAnsi" w:eastAsiaTheme="majorEastAsia" w:hAnsiTheme="majorHAnsi" w:cstheme="majorBidi"/>
          <w:b/>
          <w:bCs/>
          <w:color w:val="365F91" w:themeColor="accent1" w:themeShade="BF"/>
          <w:sz w:val="28"/>
          <w:szCs w:val="28"/>
          <w:lang w:eastAsia="ja-JP"/>
        </w:rPr>
      </w:pPr>
    </w:p>
    <w:p w:rsidR="0044447D" w:rsidRDefault="0044447D" w:rsidP="00A1795E">
      <w:pPr>
        <w:pStyle w:val="PBody"/>
        <w:ind w:firstLine="0"/>
      </w:pPr>
      <w:r>
        <w:t>The following report is hereby issued pursuant to Chapter 111 Section 237 of the General Laws as follows:</w:t>
      </w:r>
    </w:p>
    <w:p w:rsidR="007C38A4" w:rsidRPr="008D2E58" w:rsidRDefault="00116BFF" w:rsidP="00A1795E">
      <w:pPr>
        <w:pStyle w:val="PBody"/>
        <w:ind w:firstLine="0"/>
        <w:rPr>
          <w:rStyle w:val="Emphasis"/>
          <w:rFonts w:asciiTheme="majorHAnsi" w:eastAsiaTheme="minorHAnsi" w:hAnsiTheme="majorHAnsi" w:cstheme="minorBidi"/>
          <w:b/>
          <w:bCs/>
          <w:i/>
          <w:color w:val="365F91" w:themeColor="accent1" w:themeShade="BF"/>
          <w:sz w:val="28"/>
          <w:szCs w:val="28"/>
          <w:shd w:val="clear" w:color="auto" w:fill="auto"/>
        </w:rPr>
      </w:pPr>
      <w:r w:rsidRPr="0053198D">
        <w:br/>
        <w:t xml:space="preserve">Section 237. The commissioner shall </w:t>
      </w:r>
      <w:r w:rsidR="00821F35" w:rsidRPr="0053198D">
        <w:t>collect</w:t>
      </w:r>
      <w:r w:rsidR="00821F35">
        <w:t>,</w:t>
      </w:r>
      <w:r w:rsidRPr="0053198D">
        <w:t xml:space="preserve"> record and analyze data, and shall assemble and maintain data systems, necessary to analyze population health trends. The commissioner shall give priority to analyzing fatal and nonfatal opiate overdoses. The commissioner may identify and determine additional priorities for the reduction of morbidity and mortality.</w:t>
      </w:r>
      <w:r w:rsidRPr="0053198D">
        <w:br/>
      </w:r>
      <w:r w:rsidRPr="0053198D">
        <w:br/>
        <w:t>Notwithstanding </w:t>
      </w:r>
      <w:hyperlink r:id="rId11" w:tgtFrame="_blank" w:history="1">
        <w:r w:rsidRPr="0053198D">
          <w:rPr>
            <w:rStyle w:val="Hyperlink"/>
            <w:rFonts w:cs="Arial"/>
            <w:color w:val="003399"/>
          </w:rPr>
          <w:t>section 74 of chapter 6</w:t>
        </w:r>
      </w:hyperlink>
      <w:r w:rsidRPr="0053198D">
        <w:t>, sections 16 to 16Y, inclusive, of </w:t>
      </w:r>
      <w:hyperlink r:id="rId12" w:tgtFrame="_blank" w:history="1">
        <w:r w:rsidRPr="0053198D">
          <w:rPr>
            <w:rStyle w:val="Hyperlink"/>
            <w:rFonts w:cs="Arial"/>
            <w:color w:val="003399"/>
          </w:rPr>
          <w:t>chapter 6A</w:t>
        </w:r>
      </w:hyperlink>
      <w:r w:rsidRPr="0053198D">
        <w:t>, </w:t>
      </w:r>
      <w:hyperlink r:id="rId13" w:tgtFrame="_blank" w:history="1">
        <w:r w:rsidRPr="0053198D">
          <w:rPr>
            <w:rStyle w:val="Hyperlink"/>
            <w:rFonts w:cs="Arial"/>
            <w:color w:val="003399"/>
          </w:rPr>
          <w:t>chapter 12C</w:t>
        </w:r>
      </w:hyperlink>
      <w:r w:rsidRPr="0053198D">
        <w:t>, </w:t>
      </w:r>
      <w:hyperlink r:id="rId14" w:tgtFrame="_blank" w:history="1">
        <w:r w:rsidRPr="0053198D">
          <w:rPr>
            <w:rStyle w:val="Hyperlink"/>
            <w:rFonts w:cs="Arial"/>
            <w:color w:val="003399"/>
          </w:rPr>
          <w:t>chapter 19A</w:t>
        </w:r>
      </w:hyperlink>
      <w:r w:rsidRPr="0053198D">
        <w:t>, </w:t>
      </w:r>
      <w:hyperlink r:id="rId15" w:tgtFrame="_blank" w:history="1">
        <w:r w:rsidRPr="0053198D">
          <w:rPr>
            <w:rStyle w:val="Hyperlink"/>
            <w:rFonts w:cs="Arial"/>
            <w:color w:val="003399"/>
          </w:rPr>
          <w:t>chapter 46</w:t>
        </w:r>
      </w:hyperlink>
      <w:r w:rsidRPr="0053198D">
        <w:t>, </w:t>
      </w:r>
      <w:hyperlink r:id="rId16" w:tgtFrame="_blank" w:history="1">
        <w:r w:rsidRPr="0053198D">
          <w:rPr>
            <w:rStyle w:val="Hyperlink"/>
            <w:rFonts w:cs="Arial"/>
            <w:color w:val="003399"/>
          </w:rPr>
          <w:t>chapter 94C</w:t>
        </w:r>
      </w:hyperlink>
      <w:r w:rsidRPr="0053198D">
        <w:t>, </w:t>
      </w:r>
      <w:hyperlink r:id="rId17" w:tgtFrame="_blank" w:history="1">
        <w:r w:rsidRPr="0053198D">
          <w:rPr>
            <w:rStyle w:val="Hyperlink"/>
            <w:rFonts w:cs="Arial"/>
            <w:color w:val="003399"/>
          </w:rPr>
          <w:t>chapters 111</w:t>
        </w:r>
      </w:hyperlink>
      <w:r w:rsidRPr="0053198D">
        <w:t> to 111O, inclusive, </w:t>
      </w:r>
      <w:hyperlink r:id="rId18" w:tgtFrame="_blank" w:history="1">
        <w:r w:rsidRPr="0053198D">
          <w:rPr>
            <w:rStyle w:val="Hyperlink"/>
            <w:rFonts w:cs="Arial"/>
            <w:color w:val="003399"/>
          </w:rPr>
          <w:t>chapter 112</w:t>
        </w:r>
      </w:hyperlink>
      <w:r w:rsidRPr="0053198D">
        <w:t>, </w:t>
      </w:r>
      <w:hyperlink r:id="rId19" w:tgtFrame="_blank" w:history="1">
        <w:r w:rsidRPr="0053198D">
          <w:rPr>
            <w:rStyle w:val="Hyperlink"/>
            <w:rFonts w:cs="Arial"/>
            <w:color w:val="003399"/>
          </w:rPr>
          <w:t>chapter 118E</w:t>
        </w:r>
      </w:hyperlink>
      <w:r w:rsidRPr="0053198D">
        <w:t>, </w:t>
      </w:r>
      <w:hyperlink r:id="rId20" w:tgtFrame="_blank" w:history="1">
        <w:r w:rsidRPr="0053198D">
          <w:rPr>
            <w:rStyle w:val="Hyperlink"/>
            <w:rFonts w:cs="Arial"/>
            <w:color w:val="003399"/>
          </w:rPr>
          <w:t>chapter 119</w:t>
        </w:r>
      </w:hyperlink>
      <w:r w:rsidRPr="0053198D">
        <w:t>, </w:t>
      </w:r>
      <w:hyperlink r:id="rId21" w:tgtFrame="_blank" w:history="1">
        <w:r w:rsidRPr="0053198D">
          <w:rPr>
            <w:rStyle w:val="Hyperlink"/>
            <w:rFonts w:cs="Arial"/>
            <w:color w:val="003399"/>
          </w:rPr>
          <w:t>chapter 120</w:t>
        </w:r>
      </w:hyperlink>
      <w:r w:rsidRPr="0053198D">
        <w:t>, </w:t>
      </w:r>
      <w:hyperlink r:id="rId22" w:tgtFrame="_blank" w:history="1">
        <w:r w:rsidRPr="0053198D">
          <w:rPr>
            <w:rStyle w:val="Hyperlink"/>
            <w:rFonts w:cs="Arial"/>
            <w:color w:val="003399"/>
          </w:rPr>
          <w:t>chapter 123</w:t>
        </w:r>
      </w:hyperlink>
      <w:r w:rsidRPr="0053198D">
        <w:t>, and </w:t>
      </w:r>
      <w:hyperlink r:id="rId23" w:tgtFrame="_blank" w:history="1">
        <w:r w:rsidRPr="0053198D">
          <w:rPr>
            <w:rStyle w:val="Hyperlink"/>
            <w:rFonts w:cs="Arial"/>
            <w:color w:val="003399"/>
          </w:rPr>
          <w:t>chapter 123B</w:t>
        </w:r>
      </w:hyperlink>
      <w:r w:rsidRPr="0053198D">
        <w:t>, the center for health information analysis and any office or agency within the executive branch shall provide, upon request from the commissioner, information necessary to conduct the analysis required by this section if the provision of such information is otherwise consistent with federal and state law. The commissioner may request from any office or agency within the judicial branch, and any such office or agency may provide, information necessary to conduct this analysis required by this section if the provision of such information is otherwise consistent with federal and state law.</w:t>
      </w:r>
      <w:r w:rsidRPr="0053198D">
        <w:br/>
      </w:r>
      <w:r w:rsidRPr="0053198D">
        <w:br/>
        <w:t>The commissioner shall develop policies and procedures for the governance of such data and data systems, which shall include provisions for confidentiality and security. Information or data provided or accessed under this section shall be confidential, shall not be used to identify any individual and shall be used solely for the conduct of analysis pursuant to this section. Such information or data shall not be considered a public record, shall be exempt from disclosure under </w:t>
      </w:r>
      <w:hyperlink r:id="rId24" w:tgtFrame="_blank" w:history="1">
        <w:r w:rsidRPr="0053198D">
          <w:rPr>
            <w:rStyle w:val="Hyperlink"/>
            <w:rFonts w:cs="Arial"/>
            <w:color w:val="003399"/>
          </w:rPr>
          <w:t>section 10 of chapter 66</w:t>
        </w:r>
      </w:hyperlink>
      <w:r w:rsidRPr="0053198D">
        <w:t> and shall not be subject to subpoena or discovery or admissible as evidence in any action of any kind in any court or before any other tribunal, board, agency or person. All resulting reports shall provide data in an aggregate and de-identified format.</w:t>
      </w:r>
      <w:r w:rsidRPr="0053198D">
        <w:br/>
      </w:r>
      <w:r w:rsidRPr="0053198D">
        <w:br/>
        <w:t>The commissioner shall, not less than biennially, prepare and submit a report on priority public health trends. The report shall be publicly available and shall be filed with clerks of the senate and the house of representatives, the house and senate chairs of the joint committee on mental health, substance use and recovery, the house and senate chairs of the joint committee on public health and the house and senate chairs of the joint committee on health care financing.</w:t>
      </w:r>
      <w:r w:rsidRPr="0053198D">
        <w:br/>
      </w:r>
      <w:r w:rsidRPr="0053198D">
        <w:br/>
        <w:t>The commissioner may promulgate regulations to implement this section.</w:t>
      </w:r>
    </w:p>
    <w:p w:rsidR="007C38A4" w:rsidRPr="008D2E58" w:rsidRDefault="007C38A4" w:rsidP="007C38A4">
      <w:pPr>
        <w:rPr>
          <w:rStyle w:val="Emphasis"/>
          <w:i/>
        </w:rPr>
      </w:pPr>
      <w:r w:rsidRPr="008D2E58">
        <w:rPr>
          <w:rStyle w:val="Emphasis"/>
          <w:i/>
        </w:rPr>
        <w:br w:type="page"/>
      </w:r>
    </w:p>
    <w:p w:rsidR="00617750" w:rsidRPr="00D3478C" w:rsidRDefault="00617750" w:rsidP="00617750">
      <w:pPr>
        <w:pStyle w:val="Heading1"/>
        <w:rPr>
          <w:sz w:val="44"/>
          <w:szCs w:val="44"/>
        </w:rPr>
      </w:pPr>
      <w:bookmarkStart w:id="3" w:name="_Toc487720344"/>
      <w:bookmarkStart w:id="4" w:name="_Toc20134873"/>
      <w:bookmarkEnd w:id="0"/>
      <w:r w:rsidRPr="00D3478C">
        <w:rPr>
          <w:sz w:val="44"/>
          <w:szCs w:val="44"/>
        </w:rPr>
        <w:lastRenderedPageBreak/>
        <w:t>Executive Summary</w:t>
      </w:r>
      <w:bookmarkEnd w:id="4"/>
    </w:p>
    <w:p w:rsidR="00617750" w:rsidRDefault="00617750" w:rsidP="00617750"/>
    <w:p w:rsidR="00617750" w:rsidRDefault="00617750" w:rsidP="00617750">
      <w:pPr>
        <w:autoSpaceDE w:val="0"/>
        <w:autoSpaceDN w:val="0"/>
        <w:adjustRightInd w:val="0"/>
        <w:rPr>
          <w:rFonts w:cstheme="minorHAnsi"/>
        </w:rPr>
      </w:pPr>
      <w:r w:rsidRPr="00C44C3C">
        <w:rPr>
          <w:rFonts w:cstheme="minorHAnsi"/>
        </w:rPr>
        <w:t xml:space="preserve">The opioid-related overdose death rate in Massachusetts has started to decline in recent years, falling an estimated 4% between 2016 and 2018 according to the latest quarterly opioid </w:t>
      </w:r>
      <w:hyperlink r:id="rId25" w:history="1">
        <w:r w:rsidRPr="00C44C3C">
          <w:rPr>
            <w:rFonts w:cstheme="minorHAnsi"/>
            <w:color w:val="0000FF"/>
            <w:u w:val="single"/>
          </w:rPr>
          <w:t>report</w:t>
        </w:r>
      </w:hyperlink>
      <w:r w:rsidRPr="00C44C3C">
        <w:rPr>
          <w:rFonts w:cstheme="minorHAnsi"/>
        </w:rPr>
        <w:t xml:space="preserve"> released by the M</w:t>
      </w:r>
      <w:r>
        <w:rPr>
          <w:rFonts w:cstheme="minorHAnsi"/>
        </w:rPr>
        <w:t xml:space="preserve">assachusetts Department of Public Health. </w:t>
      </w:r>
      <w:r w:rsidRPr="00C44C3C">
        <w:rPr>
          <w:rFonts w:cstheme="minorHAnsi"/>
        </w:rPr>
        <w:t xml:space="preserve">For the first six months of 2019, preliminary </w:t>
      </w:r>
      <w:r>
        <w:rPr>
          <w:rFonts w:cstheme="minorHAnsi"/>
        </w:rPr>
        <w:t xml:space="preserve">data </w:t>
      </w:r>
      <w:r w:rsidRPr="00C44C3C">
        <w:rPr>
          <w:rFonts w:cstheme="minorHAnsi"/>
        </w:rPr>
        <w:t>reflects an 11% decline over the same period in 2018.</w:t>
      </w:r>
    </w:p>
    <w:p w:rsidR="00617750" w:rsidRPr="00C44C3C" w:rsidRDefault="00617750" w:rsidP="00617750">
      <w:pPr>
        <w:autoSpaceDE w:val="0"/>
        <w:autoSpaceDN w:val="0"/>
        <w:adjustRightInd w:val="0"/>
        <w:rPr>
          <w:rFonts w:cstheme="minorHAnsi"/>
        </w:rPr>
      </w:pPr>
    </w:p>
    <w:p w:rsidR="00617750" w:rsidRDefault="00617750" w:rsidP="00617750">
      <w:pPr>
        <w:rPr>
          <w:rFonts w:eastAsia="Times New Roman" w:cstheme="minorHAnsi"/>
          <w:shd w:val="clear" w:color="auto" w:fill="FFFFFF"/>
        </w:rPr>
      </w:pPr>
      <w:r>
        <w:rPr>
          <w:rFonts w:eastAsia="Times New Roman" w:cstheme="minorHAnsi"/>
          <w:shd w:val="clear" w:color="auto" w:fill="FFFFFF"/>
        </w:rPr>
        <w:t>The Public Health Data warehouse (PHD), which c</w:t>
      </w:r>
      <w:r w:rsidRPr="00D0709F">
        <w:rPr>
          <w:rFonts w:eastAsia="Times New Roman" w:cstheme="minorHAnsi"/>
          <w:shd w:val="clear" w:color="auto" w:fill="FFFFFF"/>
        </w:rPr>
        <w:t>ombin</w:t>
      </w:r>
      <w:r>
        <w:rPr>
          <w:rFonts w:eastAsia="Times New Roman" w:cstheme="minorHAnsi"/>
          <w:shd w:val="clear" w:color="auto" w:fill="FFFFFF"/>
        </w:rPr>
        <w:t>ed</w:t>
      </w:r>
      <w:r w:rsidRPr="00D0709F">
        <w:rPr>
          <w:rFonts w:eastAsia="Times New Roman" w:cstheme="minorHAnsi"/>
          <w:shd w:val="clear" w:color="auto" w:fill="FFFFFF"/>
        </w:rPr>
        <w:t xml:space="preserve"> individual-level data across </w:t>
      </w:r>
      <w:r>
        <w:rPr>
          <w:rFonts w:eastAsia="Times New Roman" w:cstheme="minorHAnsi"/>
          <w:shd w:val="clear" w:color="auto" w:fill="FFFFFF"/>
        </w:rPr>
        <w:t xml:space="preserve">16 </w:t>
      </w:r>
      <w:r w:rsidRPr="00D0709F">
        <w:rPr>
          <w:rFonts w:eastAsia="Times New Roman" w:cstheme="minorHAnsi"/>
          <w:shd w:val="clear" w:color="auto" w:fill="FFFFFF"/>
        </w:rPr>
        <w:t>state data sources</w:t>
      </w:r>
      <w:r>
        <w:rPr>
          <w:rFonts w:eastAsia="Times New Roman" w:cstheme="minorHAnsi"/>
          <w:shd w:val="clear" w:color="auto" w:fill="FFFFFF"/>
        </w:rPr>
        <w:t xml:space="preserve"> and 5 community level datasets, has been instrumental for generating</w:t>
      </w:r>
      <w:r w:rsidRPr="00D0709F">
        <w:rPr>
          <w:rFonts w:eastAsia="Times New Roman" w:cstheme="minorHAnsi"/>
          <w:shd w:val="clear" w:color="auto" w:fill="FFFFFF"/>
        </w:rPr>
        <w:t xml:space="preserve"> insight not available from one </w:t>
      </w:r>
      <w:r>
        <w:rPr>
          <w:rFonts w:eastAsia="Times New Roman" w:cstheme="minorHAnsi"/>
          <w:shd w:val="clear" w:color="auto" w:fill="FFFFFF"/>
        </w:rPr>
        <w:t xml:space="preserve">data </w:t>
      </w:r>
      <w:r w:rsidRPr="00D0709F">
        <w:rPr>
          <w:rFonts w:eastAsia="Times New Roman" w:cstheme="minorHAnsi"/>
          <w:shd w:val="clear" w:color="auto" w:fill="FFFFFF"/>
        </w:rPr>
        <w:t xml:space="preserve">source alone.  The </w:t>
      </w:r>
      <w:r>
        <w:rPr>
          <w:rFonts w:eastAsia="Times New Roman" w:cstheme="minorHAnsi"/>
          <w:shd w:val="clear" w:color="auto" w:fill="FFFFFF"/>
        </w:rPr>
        <w:t>PHD</w:t>
      </w:r>
      <w:r w:rsidRPr="00D0709F">
        <w:rPr>
          <w:rFonts w:eastAsia="Times New Roman" w:cstheme="minorHAnsi"/>
          <w:shd w:val="clear" w:color="auto" w:fill="FFFFFF"/>
        </w:rPr>
        <w:t xml:space="preserve"> contain</w:t>
      </w:r>
      <w:r>
        <w:rPr>
          <w:rFonts w:eastAsia="Times New Roman" w:cstheme="minorHAnsi"/>
          <w:shd w:val="clear" w:color="auto" w:fill="FFFFFF"/>
        </w:rPr>
        <w:t>s</w:t>
      </w:r>
      <w:r w:rsidRPr="00D0709F">
        <w:rPr>
          <w:rFonts w:eastAsia="Times New Roman" w:cstheme="minorHAnsi"/>
          <w:shd w:val="clear" w:color="auto" w:fill="FFFFFF"/>
        </w:rPr>
        <w:t xml:space="preserve"> </w:t>
      </w:r>
      <w:r>
        <w:rPr>
          <w:rFonts w:eastAsia="Times New Roman" w:cstheme="minorHAnsi"/>
          <w:shd w:val="clear" w:color="auto" w:fill="FFFFFF"/>
        </w:rPr>
        <w:t>person</w:t>
      </w:r>
      <w:r w:rsidRPr="00D0709F">
        <w:rPr>
          <w:rFonts w:eastAsia="Times New Roman" w:cstheme="minorHAnsi"/>
          <w:shd w:val="clear" w:color="auto" w:fill="FFFFFF"/>
        </w:rPr>
        <w:t xml:space="preserve">-specific information about events </w:t>
      </w:r>
      <w:r>
        <w:rPr>
          <w:rFonts w:eastAsia="Times New Roman" w:cstheme="minorHAnsi"/>
          <w:shd w:val="clear" w:color="auto" w:fill="FFFFFF"/>
        </w:rPr>
        <w:t xml:space="preserve">such </w:t>
      </w:r>
      <w:r w:rsidRPr="00D0709F">
        <w:rPr>
          <w:rFonts w:eastAsia="Times New Roman" w:cstheme="minorHAnsi"/>
          <w:shd w:val="clear" w:color="auto" w:fill="FFFFFF"/>
        </w:rPr>
        <w:t xml:space="preserve">as prescriptions, drug treatment visits, hospital and emergency </w:t>
      </w:r>
      <w:r>
        <w:rPr>
          <w:rFonts w:eastAsia="Times New Roman" w:cstheme="minorHAnsi"/>
          <w:shd w:val="clear" w:color="auto" w:fill="FFFFFF"/>
        </w:rPr>
        <w:t>department</w:t>
      </w:r>
      <w:r w:rsidRPr="00D0709F">
        <w:rPr>
          <w:rFonts w:eastAsia="Times New Roman" w:cstheme="minorHAnsi"/>
          <w:shd w:val="clear" w:color="auto" w:fill="FFFFFF"/>
        </w:rPr>
        <w:t xml:space="preserve"> visits, ambulance</w:t>
      </w:r>
      <w:r>
        <w:rPr>
          <w:rFonts w:eastAsia="Times New Roman" w:cstheme="minorHAnsi"/>
          <w:shd w:val="clear" w:color="auto" w:fill="FFFFFF"/>
        </w:rPr>
        <w:t xml:space="preserve"> trips</w:t>
      </w:r>
      <w:r w:rsidRPr="00D0709F">
        <w:rPr>
          <w:rFonts w:eastAsia="Times New Roman" w:cstheme="minorHAnsi"/>
          <w:shd w:val="clear" w:color="auto" w:fill="FFFFFF"/>
        </w:rPr>
        <w:t xml:space="preserve">, insurance claims, </w:t>
      </w:r>
      <w:r>
        <w:rPr>
          <w:rFonts w:eastAsia="Times New Roman" w:cstheme="minorHAnsi"/>
          <w:shd w:val="clear" w:color="auto" w:fill="FFFFFF"/>
        </w:rPr>
        <w:t xml:space="preserve">history of incarceration, history of housing instability, </w:t>
      </w:r>
      <w:r w:rsidRPr="00D0709F">
        <w:rPr>
          <w:rFonts w:eastAsia="Times New Roman" w:cstheme="minorHAnsi"/>
          <w:shd w:val="clear" w:color="auto" w:fill="FFFFFF"/>
        </w:rPr>
        <w:t xml:space="preserve">and opioid-related </w:t>
      </w:r>
      <w:r>
        <w:rPr>
          <w:rFonts w:eastAsia="Times New Roman" w:cstheme="minorHAnsi"/>
          <w:shd w:val="clear" w:color="auto" w:fill="FFFFFF"/>
        </w:rPr>
        <w:t xml:space="preserve">overdose </w:t>
      </w:r>
      <w:r w:rsidRPr="00D0709F">
        <w:rPr>
          <w:rFonts w:eastAsia="Times New Roman" w:cstheme="minorHAnsi"/>
          <w:shd w:val="clear" w:color="auto" w:fill="FFFFFF"/>
        </w:rPr>
        <w:t xml:space="preserve">deaths.  </w:t>
      </w:r>
      <w:r w:rsidRPr="00D0709F" w:rsidDel="0045750C">
        <w:rPr>
          <w:rFonts w:eastAsia="Times New Roman" w:cstheme="minorHAnsi"/>
          <w:shd w:val="clear" w:color="auto" w:fill="FFFFFF"/>
        </w:rPr>
        <w:t xml:space="preserve">Being able to provide </w:t>
      </w:r>
      <w:r>
        <w:rPr>
          <w:rFonts w:eastAsia="Times New Roman" w:cstheme="minorHAnsi"/>
          <w:shd w:val="clear" w:color="auto" w:fill="FFFFFF"/>
        </w:rPr>
        <w:t>Massachusetts</w:t>
      </w:r>
      <w:r w:rsidRPr="00D0709F" w:rsidDel="0045750C">
        <w:rPr>
          <w:rFonts w:eastAsia="Times New Roman" w:cstheme="minorHAnsi"/>
          <w:shd w:val="clear" w:color="auto" w:fill="FFFFFF"/>
        </w:rPr>
        <w:t>-</w:t>
      </w:r>
      <w:r w:rsidRPr="00D0709F">
        <w:rPr>
          <w:rFonts w:eastAsia="Times New Roman" w:cstheme="minorHAnsi"/>
          <w:shd w:val="clear" w:color="auto" w:fill="FFFFFF"/>
        </w:rPr>
        <w:t xml:space="preserve">relevant </w:t>
      </w:r>
      <w:r w:rsidRPr="00D0709F" w:rsidDel="0045750C">
        <w:rPr>
          <w:rFonts w:eastAsia="Times New Roman" w:cstheme="minorHAnsi"/>
          <w:shd w:val="clear" w:color="auto" w:fill="FFFFFF"/>
        </w:rPr>
        <w:t xml:space="preserve">insights </w:t>
      </w:r>
      <w:r>
        <w:rPr>
          <w:rFonts w:eastAsia="Times New Roman" w:cstheme="minorHAnsi"/>
          <w:shd w:val="clear" w:color="auto" w:fill="FFFFFF"/>
        </w:rPr>
        <w:t>i</w:t>
      </w:r>
      <w:r w:rsidRPr="00D0709F" w:rsidDel="0045750C">
        <w:rPr>
          <w:rFonts w:eastAsia="Times New Roman" w:cstheme="minorHAnsi"/>
          <w:shd w:val="clear" w:color="auto" w:fill="FFFFFF"/>
        </w:rPr>
        <w:t xml:space="preserve">s a powerful tool in creating a fact-based approach to </w:t>
      </w:r>
      <w:r>
        <w:rPr>
          <w:rFonts w:eastAsia="Times New Roman" w:cstheme="minorHAnsi"/>
          <w:shd w:val="clear" w:color="auto" w:fill="FFFFFF"/>
        </w:rPr>
        <w:t xml:space="preserve">fighting </w:t>
      </w:r>
      <w:r w:rsidRPr="00D0709F" w:rsidDel="0045750C">
        <w:rPr>
          <w:rFonts w:eastAsia="Times New Roman" w:cstheme="minorHAnsi"/>
          <w:shd w:val="clear" w:color="auto" w:fill="FFFFFF"/>
        </w:rPr>
        <w:t>th</w:t>
      </w:r>
      <w:r>
        <w:rPr>
          <w:rFonts w:eastAsia="Times New Roman" w:cstheme="minorHAnsi"/>
          <w:shd w:val="clear" w:color="auto" w:fill="FFFFFF"/>
        </w:rPr>
        <w:t>e</w:t>
      </w:r>
      <w:r w:rsidRPr="00D0709F" w:rsidDel="0045750C">
        <w:rPr>
          <w:rFonts w:eastAsia="Times New Roman" w:cstheme="minorHAnsi"/>
          <w:shd w:val="clear" w:color="auto" w:fill="FFFFFF"/>
        </w:rPr>
        <w:t xml:space="preserve"> crisis.</w:t>
      </w:r>
    </w:p>
    <w:p w:rsidR="00617750" w:rsidRDefault="00617750" w:rsidP="00617750">
      <w:pPr>
        <w:rPr>
          <w:rFonts w:eastAsia="Times New Roman" w:cstheme="minorHAnsi"/>
          <w:shd w:val="clear" w:color="auto" w:fill="FFFFFF"/>
        </w:rPr>
      </w:pPr>
    </w:p>
    <w:p w:rsidR="00617750" w:rsidRDefault="00617750" w:rsidP="00617750">
      <w:pPr>
        <w:rPr>
          <w:rFonts w:eastAsia="Times New Roman" w:cstheme="minorHAnsi"/>
          <w:shd w:val="clear" w:color="auto" w:fill="FFFFFF"/>
        </w:rPr>
      </w:pPr>
      <w:r w:rsidRPr="00C44C3C">
        <w:rPr>
          <w:rFonts w:eastAsia="Times New Roman" w:cstheme="minorHAnsi"/>
          <w:shd w:val="clear" w:color="auto" w:fill="FFFFFF"/>
        </w:rPr>
        <w:t xml:space="preserve">Contained within this report are important </w:t>
      </w:r>
      <w:r>
        <w:rPr>
          <w:rFonts w:eastAsia="Times New Roman" w:cstheme="minorHAnsi"/>
          <w:shd w:val="clear" w:color="auto" w:fill="FFFFFF"/>
        </w:rPr>
        <w:t>findings about</w:t>
      </w:r>
      <w:r w:rsidRPr="00C44C3C">
        <w:rPr>
          <w:rFonts w:eastAsia="Times New Roman" w:cstheme="minorHAnsi"/>
          <w:shd w:val="clear" w:color="auto" w:fill="FFFFFF"/>
        </w:rPr>
        <w:t xml:space="preserve"> the profile of </w:t>
      </w:r>
      <w:r>
        <w:rPr>
          <w:rFonts w:eastAsia="Times New Roman" w:cstheme="minorHAnsi"/>
          <w:shd w:val="clear" w:color="auto" w:fill="FFFFFF"/>
        </w:rPr>
        <w:t xml:space="preserve">people who experience fatal and non-fatal opioid </w:t>
      </w:r>
      <w:r w:rsidRPr="00C44C3C">
        <w:rPr>
          <w:rFonts w:eastAsia="Times New Roman" w:cstheme="minorHAnsi"/>
          <w:shd w:val="clear" w:color="auto" w:fill="FFFFFF"/>
        </w:rPr>
        <w:t>overdose</w:t>
      </w:r>
      <w:r>
        <w:rPr>
          <w:rFonts w:eastAsia="Times New Roman" w:cstheme="minorHAnsi"/>
          <w:shd w:val="clear" w:color="auto" w:fill="FFFFFF"/>
        </w:rPr>
        <w:t>s</w:t>
      </w:r>
      <w:r w:rsidRPr="00C44C3C">
        <w:rPr>
          <w:rFonts w:eastAsia="Times New Roman" w:cstheme="minorHAnsi"/>
          <w:shd w:val="clear" w:color="auto" w:fill="FFFFFF"/>
        </w:rPr>
        <w:t xml:space="preserve"> and the relative risks faced by the Commonwealth’s diverse populations. </w:t>
      </w:r>
      <w:r>
        <w:rPr>
          <w:rFonts w:eastAsia="Times New Roman" w:cstheme="minorHAnsi"/>
          <w:shd w:val="clear" w:color="auto" w:fill="FFFFFF"/>
        </w:rPr>
        <w:t xml:space="preserve">The following population groups emerged from previous PHD </w:t>
      </w:r>
      <w:hyperlink r:id="rId26" w:history="1">
        <w:r w:rsidRPr="00827AB6">
          <w:rPr>
            <w:rStyle w:val="Hyperlink"/>
            <w:rFonts w:eastAsia="Times New Roman" w:cstheme="minorHAnsi"/>
            <w:shd w:val="clear" w:color="auto" w:fill="FFFFFF"/>
          </w:rPr>
          <w:t>reports</w:t>
        </w:r>
      </w:hyperlink>
      <w:r>
        <w:rPr>
          <w:rFonts w:eastAsia="Times New Roman" w:cstheme="minorHAnsi"/>
          <w:shd w:val="clear" w:color="auto" w:fill="FFFFFF"/>
        </w:rPr>
        <w:t xml:space="preserve"> as having characteristics and conditions that put them at elevated risk for opioid overdose:</w:t>
      </w:r>
      <w:r w:rsidRPr="0045750C">
        <w:rPr>
          <w:rFonts w:eastAsia="Times New Roman" w:cstheme="minorHAnsi"/>
          <w:shd w:val="clear" w:color="auto" w:fill="FFFFFF"/>
        </w:rPr>
        <w:t xml:space="preserve"> </w:t>
      </w:r>
      <w:r>
        <w:rPr>
          <w:rFonts w:eastAsia="Times New Roman" w:cstheme="minorHAnsi"/>
          <w:shd w:val="clear" w:color="auto" w:fill="FFFFFF"/>
        </w:rPr>
        <w:t>communities of color, people</w:t>
      </w:r>
      <w:r w:rsidRPr="00C44C3C">
        <w:rPr>
          <w:rFonts w:eastAsia="Times New Roman" w:cstheme="minorHAnsi"/>
          <w:shd w:val="clear" w:color="auto" w:fill="FFFFFF"/>
        </w:rPr>
        <w:t xml:space="preserve"> released from incarceration, </w:t>
      </w:r>
      <w:r>
        <w:rPr>
          <w:rFonts w:eastAsia="Times New Roman" w:cstheme="minorHAnsi"/>
          <w:shd w:val="clear" w:color="auto" w:fill="FFFFFF"/>
        </w:rPr>
        <w:t>people</w:t>
      </w:r>
      <w:r w:rsidRPr="00C44C3C">
        <w:rPr>
          <w:rFonts w:eastAsia="Times New Roman" w:cstheme="minorHAnsi"/>
          <w:shd w:val="clear" w:color="auto" w:fill="FFFFFF"/>
        </w:rPr>
        <w:t xml:space="preserve"> experiencing homelessness</w:t>
      </w:r>
      <w:r>
        <w:rPr>
          <w:rFonts w:eastAsia="Times New Roman" w:cstheme="minorHAnsi"/>
          <w:shd w:val="clear" w:color="auto" w:fill="FFFFFF"/>
        </w:rPr>
        <w:t xml:space="preserve"> or housing instability</w:t>
      </w:r>
      <w:r w:rsidRPr="00C44C3C">
        <w:rPr>
          <w:rFonts w:eastAsia="Times New Roman" w:cstheme="minorHAnsi"/>
          <w:shd w:val="clear" w:color="auto" w:fill="FFFFFF"/>
        </w:rPr>
        <w:t xml:space="preserve">, </w:t>
      </w:r>
      <w:r>
        <w:rPr>
          <w:rFonts w:eastAsia="Times New Roman" w:cstheme="minorHAnsi"/>
          <w:shd w:val="clear" w:color="auto" w:fill="FFFFFF"/>
        </w:rPr>
        <w:t xml:space="preserve">people </w:t>
      </w:r>
      <w:r w:rsidRPr="00C44C3C">
        <w:rPr>
          <w:rFonts w:eastAsia="Times New Roman" w:cstheme="minorHAnsi"/>
          <w:shd w:val="clear" w:color="auto" w:fill="FFFFFF"/>
        </w:rPr>
        <w:t xml:space="preserve">with </w:t>
      </w:r>
      <w:r>
        <w:rPr>
          <w:rFonts w:eastAsia="Times New Roman" w:cstheme="minorHAnsi"/>
          <w:shd w:val="clear" w:color="auto" w:fill="FFFFFF"/>
        </w:rPr>
        <w:t>co-occurring substance use and mental health diagnoses, and pregnant and postpartum women.  This report also provides further evidence of the effectiveness of medication for opioid use disorder (MOUD) and the need to increase access to MOUD especially within high risk groups.</w:t>
      </w:r>
    </w:p>
    <w:p w:rsidR="00617750" w:rsidRDefault="00617750" w:rsidP="00617750">
      <w:pPr>
        <w:rPr>
          <w:rFonts w:eastAsia="Times New Roman" w:cstheme="minorHAnsi"/>
          <w:shd w:val="clear" w:color="auto" w:fill="FFFFFF"/>
        </w:rPr>
      </w:pPr>
    </w:p>
    <w:p w:rsidR="00617750" w:rsidRPr="00400010" w:rsidRDefault="00617750" w:rsidP="00617750">
      <w:pPr>
        <w:rPr>
          <w:rFonts w:eastAsia="Times New Roman" w:cstheme="minorHAnsi"/>
          <w:shd w:val="clear" w:color="auto" w:fill="FFFFFF"/>
        </w:rPr>
      </w:pPr>
      <w:r>
        <w:rPr>
          <w:rFonts w:eastAsia="Times New Roman" w:cstheme="minorHAnsi"/>
          <w:shd w:val="clear" w:color="auto" w:fill="FFFFFF"/>
        </w:rPr>
        <w:t>A</w:t>
      </w:r>
      <w:r w:rsidRPr="00400010">
        <w:rPr>
          <w:rFonts w:eastAsia="Times New Roman" w:cstheme="minorHAnsi"/>
          <w:shd w:val="clear" w:color="auto" w:fill="FFFFFF"/>
        </w:rPr>
        <w:t>ccurate and detailed data analysis of the opioid crisis in Massachusetts is critical to ensuring appropriate allocation of resources and access to care.</w:t>
      </w:r>
      <w:r>
        <w:rPr>
          <w:rFonts w:eastAsia="Times New Roman" w:cstheme="minorHAnsi"/>
          <w:shd w:val="clear" w:color="auto" w:fill="FFFFFF"/>
        </w:rPr>
        <w:t xml:space="preserve"> We present this report so approaches to end the epidemic can be targeted effectively.</w:t>
      </w:r>
    </w:p>
    <w:p w:rsidR="00617750" w:rsidRDefault="00617750" w:rsidP="00617750">
      <w:pPr>
        <w:pStyle w:val="PBody"/>
        <w:spacing w:after="200"/>
        <w:ind w:firstLine="0"/>
        <w:rPr>
          <w:rFonts w:cstheme="minorHAnsi"/>
        </w:rPr>
      </w:pPr>
    </w:p>
    <w:p w:rsidR="00617750" w:rsidRPr="004B1F8B" w:rsidRDefault="00617750" w:rsidP="00617750">
      <w:pPr>
        <w:pStyle w:val="Heading1"/>
        <w:spacing w:before="0" w:after="200" w:line="276" w:lineRule="auto"/>
        <w:rPr>
          <w:sz w:val="44"/>
          <w:szCs w:val="44"/>
        </w:rPr>
      </w:pPr>
      <w:bookmarkStart w:id="5" w:name="_Toc20134874"/>
      <w:r w:rsidRPr="00D3478C">
        <w:rPr>
          <w:sz w:val="44"/>
          <w:szCs w:val="44"/>
        </w:rPr>
        <w:t>Background</w:t>
      </w:r>
      <w:bookmarkEnd w:id="5"/>
    </w:p>
    <w:p w:rsidR="00617750" w:rsidRPr="004B1F8B" w:rsidRDefault="00617750" w:rsidP="00617750">
      <w:pPr>
        <w:pStyle w:val="PBody"/>
        <w:spacing w:after="200"/>
        <w:ind w:firstLine="0"/>
        <w:rPr>
          <w:rFonts w:cstheme="minorHAnsi"/>
          <w:highlight w:val="yellow"/>
        </w:rPr>
      </w:pPr>
      <w:r w:rsidRPr="00590298">
        <w:rPr>
          <w:rFonts w:cstheme="minorHAnsi"/>
        </w:rPr>
        <w:t>Over 10,000 Massachusetts residents have died of opioid-related overdoses s</w:t>
      </w:r>
      <w:r>
        <w:rPr>
          <w:rFonts w:cstheme="minorHAnsi"/>
        </w:rPr>
        <w:t>ince</w:t>
      </w:r>
      <w:r w:rsidRPr="00590298">
        <w:rPr>
          <w:rFonts w:cstheme="minorHAnsi"/>
        </w:rPr>
        <w:t xml:space="preserve"> 2013. The characteristics of the epidemic in Massachusetts are </w:t>
      </w:r>
      <w:r>
        <w:rPr>
          <w:rFonts w:cstheme="minorHAnsi"/>
        </w:rPr>
        <w:t>like</w:t>
      </w:r>
      <w:r w:rsidRPr="00590298">
        <w:rPr>
          <w:rFonts w:cstheme="minorHAnsi"/>
        </w:rPr>
        <w:t xml:space="preserve"> other states</w:t>
      </w:r>
      <w:r>
        <w:rPr>
          <w:rFonts w:cstheme="minorHAnsi"/>
        </w:rPr>
        <w:t xml:space="preserve"> -- crossing categories of race, class, gender and geography. While most every community in Massachusetts has been</w:t>
      </w:r>
      <w:r w:rsidRPr="00590298">
        <w:rPr>
          <w:rFonts w:cstheme="minorHAnsi"/>
        </w:rPr>
        <w:t xml:space="preserve"> impacted</w:t>
      </w:r>
      <w:r>
        <w:rPr>
          <w:rFonts w:cstheme="minorHAnsi"/>
        </w:rPr>
        <w:t>, certain groups have been hit especially hard.</w:t>
      </w:r>
      <w:r w:rsidRPr="00590298">
        <w:rPr>
          <w:rFonts w:cstheme="minorHAnsi"/>
        </w:rPr>
        <w:t xml:space="preserve"> </w:t>
      </w:r>
      <w:r>
        <w:rPr>
          <w:rFonts w:cstheme="minorHAnsi"/>
        </w:rPr>
        <w:t>Overall, o</w:t>
      </w:r>
      <w:r w:rsidRPr="00590298">
        <w:rPr>
          <w:rFonts w:cstheme="minorHAnsi"/>
        </w:rPr>
        <w:t>pioid-related overdose deaths and nonfatal opioid-related overdoses are highest among younger males, but many</w:t>
      </w:r>
      <w:r>
        <w:rPr>
          <w:rFonts w:cstheme="minorHAnsi"/>
        </w:rPr>
        <w:t xml:space="preserve"> other </w:t>
      </w:r>
      <w:r w:rsidRPr="00590298">
        <w:rPr>
          <w:rFonts w:cstheme="minorHAnsi"/>
        </w:rPr>
        <w:t xml:space="preserve">demographically-defined </w:t>
      </w:r>
      <w:r>
        <w:rPr>
          <w:rFonts w:cstheme="minorHAnsi"/>
        </w:rPr>
        <w:t xml:space="preserve">population </w:t>
      </w:r>
      <w:r w:rsidRPr="00590298">
        <w:rPr>
          <w:rFonts w:cstheme="minorHAnsi"/>
        </w:rPr>
        <w:t>groups have experienced increases in recent years. Individuals released from incarceration are at especially high risk of death upon re-entering the community, and individuals experiencing homelessness, mothers with opioid use disorder, and individua</w:t>
      </w:r>
      <w:r>
        <w:rPr>
          <w:rFonts w:cstheme="minorHAnsi"/>
        </w:rPr>
        <w:t>ls with serious mental illness</w:t>
      </w:r>
      <w:r w:rsidRPr="00590298">
        <w:rPr>
          <w:rFonts w:cstheme="minorHAnsi"/>
        </w:rPr>
        <w:t xml:space="preserve"> are also at high risk of death. </w:t>
      </w:r>
    </w:p>
    <w:p w:rsidR="00617750" w:rsidRDefault="00617750" w:rsidP="00617750">
      <w:pPr>
        <w:autoSpaceDE w:val="0"/>
        <w:autoSpaceDN w:val="0"/>
        <w:adjustRightInd w:val="0"/>
        <w:spacing w:after="200" w:line="276" w:lineRule="auto"/>
        <w:rPr>
          <w:rFonts w:cstheme="minorHAnsi"/>
        </w:rPr>
      </w:pPr>
      <w:r w:rsidRPr="00590298">
        <w:rPr>
          <w:rFonts w:cstheme="minorHAnsi"/>
        </w:rPr>
        <w:lastRenderedPageBreak/>
        <w:t>National rates of opioid use disorder (OUD) and opioid-related overdose</w:t>
      </w:r>
      <w:r>
        <w:rPr>
          <w:rFonts w:cstheme="minorHAnsi"/>
        </w:rPr>
        <w:t>s</w:t>
      </w:r>
      <w:r w:rsidRPr="00590298">
        <w:rPr>
          <w:rFonts w:cstheme="minorHAnsi"/>
        </w:rPr>
        <w:t xml:space="preserve"> have increased dramatically since 2000</w:t>
      </w:r>
      <w:r>
        <w:rPr>
          <w:rFonts w:cstheme="minorHAnsi"/>
        </w:rPr>
        <w:t>.</w:t>
      </w:r>
      <w:r w:rsidRPr="005F44D7">
        <w:rPr>
          <w:rStyle w:val="FootnoteReference"/>
        </w:rPr>
        <w:footnoteReference w:id="1"/>
      </w:r>
      <w:r w:rsidRPr="00590298">
        <w:rPr>
          <w:rFonts w:cstheme="minorHAnsi"/>
          <w:vertAlign w:val="superscript"/>
        </w:rPr>
        <w:t>,</w:t>
      </w:r>
      <w:r w:rsidRPr="005F44D7">
        <w:rPr>
          <w:rStyle w:val="FootnoteReference"/>
        </w:rPr>
        <w:footnoteReference w:id="2"/>
      </w:r>
      <w:r w:rsidRPr="00590298">
        <w:rPr>
          <w:rFonts w:cstheme="minorHAnsi"/>
        </w:rPr>
        <w:t xml:space="preserve"> Massachusetts is particularly affected by opioids and opioid addiction</w:t>
      </w:r>
      <w:r>
        <w:rPr>
          <w:rFonts w:cstheme="minorHAnsi"/>
        </w:rPr>
        <w:t>.</w:t>
      </w:r>
      <w:r w:rsidRPr="005F44D7">
        <w:rPr>
          <w:rStyle w:val="FootnoteReference"/>
        </w:rPr>
        <w:footnoteReference w:id="3"/>
      </w:r>
      <w:r w:rsidRPr="00590298">
        <w:rPr>
          <w:rFonts w:cstheme="minorHAnsi"/>
          <w:vertAlign w:val="superscript"/>
        </w:rPr>
        <w:t>,</w:t>
      </w:r>
      <w:r w:rsidRPr="005F44D7">
        <w:rPr>
          <w:rStyle w:val="FootnoteReference"/>
        </w:rPr>
        <w:footnoteReference w:id="4"/>
      </w:r>
      <w:r w:rsidRPr="00590298">
        <w:rPr>
          <w:rFonts w:cstheme="minorHAnsi"/>
          <w:vertAlign w:val="superscript"/>
        </w:rPr>
        <w:t>,</w:t>
      </w:r>
      <w:r w:rsidRPr="005F44D7">
        <w:rPr>
          <w:rStyle w:val="FootnoteReference"/>
        </w:rPr>
        <w:footnoteReference w:id="5"/>
      </w:r>
      <w:r w:rsidRPr="00590298">
        <w:rPr>
          <w:rFonts w:cstheme="minorHAnsi"/>
          <w:vertAlign w:val="superscript"/>
        </w:rPr>
        <w:t xml:space="preserve"> </w:t>
      </w:r>
      <w:r w:rsidRPr="00590298">
        <w:rPr>
          <w:rFonts w:cstheme="minorHAnsi"/>
        </w:rPr>
        <w:t>Massachusetts</w:t>
      </w:r>
      <w:r>
        <w:rPr>
          <w:rFonts w:cstheme="minorHAnsi"/>
        </w:rPr>
        <w:t>,</w:t>
      </w:r>
      <w:r w:rsidRPr="00590298">
        <w:rPr>
          <w:rFonts w:cstheme="minorHAnsi"/>
        </w:rPr>
        <w:t xml:space="preserve"> as well as the U.S</w:t>
      </w:r>
      <w:r w:rsidRPr="00590298">
        <w:rPr>
          <w:rFonts w:cstheme="minorHAnsi"/>
          <w:color w:val="000000"/>
        </w:rPr>
        <w:t>.</w:t>
      </w:r>
      <w:r>
        <w:rPr>
          <w:rFonts w:cstheme="minorHAnsi"/>
          <w:color w:val="000000"/>
        </w:rPr>
        <w:t>,</w:t>
      </w:r>
      <w:r w:rsidRPr="00590298">
        <w:rPr>
          <w:rFonts w:cstheme="minorHAnsi"/>
          <w:color w:val="000000"/>
        </w:rPr>
        <w:t xml:space="preserve"> i</w:t>
      </w:r>
      <w:r w:rsidRPr="00590298">
        <w:rPr>
          <w:rFonts w:cstheme="minorHAnsi"/>
        </w:rPr>
        <w:t>s suffering a triple wave epidemic of overdose deaths from prescription opioid pills, heroin</w:t>
      </w:r>
      <w:r>
        <w:rPr>
          <w:rFonts w:cstheme="minorHAnsi"/>
        </w:rPr>
        <w:t>,</w:t>
      </w:r>
      <w:r w:rsidRPr="00590298">
        <w:rPr>
          <w:rFonts w:cstheme="minorHAnsi"/>
        </w:rPr>
        <w:t xml:space="preserve"> and synthetic opioids</w:t>
      </w:r>
      <w:r>
        <w:rPr>
          <w:rFonts w:cstheme="minorHAnsi"/>
        </w:rPr>
        <w:t>.</w:t>
      </w:r>
      <w:r w:rsidRPr="005F44D7">
        <w:rPr>
          <w:rStyle w:val="FootnoteReference"/>
        </w:rPr>
        <w:footnoteReference w:id="6"/>
      </w:r>
      <w:r w:rsidRPr="00590298">
        <w:rPr>
          <w:rFonts w:cstheme="minorHAnsi"/>
        </w:rPr>
        <w:t xml:space="preserve"> In the first wave, overdoses related to opioid prescriptions, started rising in 2000. The second wave saw overdose deaths due to heroin, which started increasing in 2007. The third wave</w:t>
      </w:r>
      <w:r>
        <w:rPr>
          <w:rFonts w:cstheme="minorHAnsi"/>
        </w:rPr>
        <w:t xml:space="preserve"> of</w:t>
      </w:r>
      <w:r w:rsidRPr="00590298">
        <w:rPr>
          <w:rFonts w:cstheme="minorHAnsi"/>
        </w:rPr>
        <w:t xml:space="preserve"> mortality has arisen from fentanyl, fentanyl analogues</w:t>
      </w:r>
      <w:r>
        <w:rPr>
          <w:rFonts w:cstheme="minorHAnsi"/>
        </w:rPr>
        <w:t>,</w:t>
      </w:r>
      <w:r w:rsidRPr="00590298">
        <w:rPr>
          <w:rFonts w:cstheme="minorHAnsi"/>
        </w:rPr>
        <w:t xml:space="preserve"> and other synthetic opioids of illicit supply, climbing slowly at first, but dramatically after 2013. In addition to overdose</w:t>
      </w:r>
      <w:r>
        <w:rPr>
          <w:rFonts w:cstheme="minorHAnsi"/>
        </w:rPr>
        <w:t>,</w:t>
      </w:r>
      <w:r w:rsidRPr="00590298">
        <w:rPr>
          <w:rFonts w:cstheme="minorHAnsi"/>
        </w:rPr>
        <w:t xml:space="preserve"> OUD puts people at risk of developing </w:t>
      </w:r>
      <w:r>
        <w:rPr>
          <w:rFonts w:cstheme="minorHAnsi"/>
        </w:rPr>
        <w:t xml:space="preserve">other </w:t>
      </w:r>
      <w:r w:rsidRPr="00590298">
        <w:rPr>
          <w:rFonts w:cstheme="minorHAnsi"/>
        </w:rPr>
        <w:t xml:space="preserve">health </w:t>
      </w:r>
      <w:r w:rsidRPr="00B9530A">
        <w:rPr>
          <w:rFonts w:cstheme="minorHAnsi"/>
        </w:rPr>
        <w:t>and social</w:t>
      </w:r>
      <w:r>
        <w:rPr>
          <w:rFonts w:cstheme="minorHAnsi"/>
        </w:rPr>
        <w:t xml:space="preserve"> problems</w:t>
      </w:r>
      <w:r w:rsidRPr="00590298">
        <w:rPr>
          <w:rFonts w:cstheme="minorHAnsi"/>
        </w:rPr>
        <w:t xml:space="preserve"> </w:t>
      </w:r>
      <w:r>
        <w:rPr>
          <w:rFonts w:cstheme="minorHAnsi"/>
        </w:rPr>
        <w:t>such as</w:t>
      </w:r>
      <w:r w:rsidRPr="00590298">
        <w:rPr>
          <w:rFonts w:cstheme="minorHAnsi"/>
        </w:rPr>
        <w:t xml:space="preserve"> HIV and hepatitis C (HCV), cirrhosis, cognitive decline, family di</w:t>
      </w:r>
      <w:r>
        <w:rPr>
          <w:rFonts w:cstheme="minorHAnsi"/>
        </w:rPr>
        <w:t>sintegration, domestic violence, and</w:t>
      </w:r>
      <w:r w:rsidRPr="00590298">
        <w:rPr>
          <w:rFonts w:cstheme="minorHAnsi"/>
        </w:rPr>
        <w:t xml:space="preserve"> criminal behavior</w:t>
      </w:r>
      <w:r>
        <w:rPr>
          <w:rFonts w:cstheme="minorHAnsi"/>
        </w:rPr>
        <w:t>.</w:t>
      </w:r>
      <w:r w:rsidRPr="005F44D7">
        <w:rPr>
          <w:rStyle w:val="FootnoteReference"/>
        </w:rPr>
        <w:footnoteReference w:id="7"/>
      </w:r>
      <w:r w:rsidRPr="00590298">
        <w:rPr>
          <w:rFonts w:cstheme="minorHAnsi"/>
          <w:color w:val="000000"/>
          <w:shd w:val="clear" w:color="auto" w:fill="FFFFFF"/>
        </w:rPr>
        <w:t xml:space="preserve"> </w:t>
      </w:r>
    </w:p>
    <w:p w:rsidR="00617750" w:rsidRDefault="00617750" w:rsidP="00617750">
      <w:pPr>
        <w:autoSpaceDE w:val="0"/>
        <w:autoSpaceDN w:val="0"/>
        <w:adjustRightInd w:val="0"/>
        <w:spacing w:after="200" w:line="276" w:lineRule="auto"/>
        <w:rPr>
          <w:rFonts w:cstheme="minorHAnsi"/>
        </w:rPr>
      </w:pPr>
      <w:r w:rsidRPr="00590298">
        <w:rPr>
          <w:rFonts w:cstheme="minorHAnsi"/>
        </w:rPr>
        <w:t>Accurate estimates of OUD prevalence are important to ensure appropriate resource allocation and access to care. Though OUD prevalence has increased in Massachusetts, previous estimates were derived only from persons who were engaged in some level of care</w:t>
      </w:r>
      <w:r>
        <w:rPr>
          <w:rFonts w:cstheme="minorHAnsi"/>
        </w:rPr>
        <w:t>.</w:t>
      </w:r>
      <w:r w:rsidRPr="00590298">
        <w:rPr>
          <w:rFonts w:cstheme="minorHAnsi"/>
          <w:vertAlign w:val="superscript"/>
        </w:rPr>
        <w:t>4,</w:t>
      </w:r>
      <w:r w:rsidRPr="005F44D7">
        <w:rPr>
          <w:rStyle w:val="FootnoteReference"/>
        </w:rPr>
        <w:footnoteReference w:id="8"/>
      </w:r>
      <w:r w:rsidRPr="00590298">
        <w:rPr>
          <w:rFonts w:cstheme="minorHAnsi"/>
        </w:rPr>
        <w:fldChar w:fldCharType="begin"/>
      </w:r>
      <w:r w:rsidRPr="00590298">
        <w:rPr>
          <w:rFonts w:cstheme="minorHAnsi"/>
        </w:rPr>
        <w:instrText xml:space="preserve"> ADDIN EN.CITE &lt;EndNote&gt;&lt;Cite&gt;&lt;Author&gt;Quality&lt;/Author&gt;&lt;Year&gt;2015&lt;/Year&gt;&lt;RecNum&gt;1&lt;/RecNum&gt;&lt;DisplayText&gt;(1, 13)&lt;/DisplayText&gt;&lt;record&gt;&lt;rec-number&gt;1&lt;/rec-number&gt;&lt;foreign-keys&gt;&lt;key app="EN" db-id="vpf55efdtef20mevtxfpr2vnxfrf99wa5srt" timestamp="1494892752"&gt;1&lt;/key&gt;&lt;/foreign-keys&gt;&lt;ref-type name="Report"&gt;27&lt;/ref-type&gt;&lt;contributors&gt;&lt;authors&gt;&lt;author&gt;Center for Behavioral Health Statistics and Quality&lt;/author&gt;&lt;/authors&gt;&lt;/contributors&gt;&lt;titles&gt;&lt;title&gt; Behavioral health trends in the United States: Results from the 2014 National Survey on Drug Use and Health&lt;/title&gt;&lt;secondary-title&gt;HHS Publication No. SMA 15-4927, NSDUH Series H-50&lt;/secondary-title&gt;&lt;/titles&gt;&lt;dates&gt;&lt;year&gt;2015&lt;/year&gt;&lt;/dates&gt;&lt;publisher&gt;Substance Abuse and Mental Health Services Administration&lt;/publisher&gt;&lt;urls&gt;&lt;related-urls&gt;&lt;url&gt;http://www.samhsa.gov/data/&lt;/url&gt;&lt;/related-urls&gt;&lt;/urls&gt;&lt;/record&gt;&lt;/Cite&gt;&lt;Cite&gt;&lt;Author&gt;Quality&lt;/Author&gt;&lt;Year&gt;2016&lt;/Year&gt;&lt;RecNum&gt;2&lt;/RecNum&gt;&lt;record&gt;&lt;rec-number&gt;2&lt;/rec-number&gt;&lt;foreign-keys&gt;&lt;key app="EN" db-id="vpf55efdtef20mevtxfpr2vnxfrf99wa5srt" timestamp="1494892929"&gt;2&lt;/key&gt;&lt;/foreign-keys&gt;&lt;ref-type name="Report"&gt;27&lt;/ref-type&gt;&lt;contributors&gt;&lt;authors&gt;&lt;author&gt;Center for Behavioral Health Statistics and Quality&lt;/author&gt;&lt;/authors&gt;&lt;/contributors&gt;&lt;titles&gt;&lt;title&gt;Key substance use and mental health indicators in the United States: Results from the 2015 National Survey on drug use and health.&lt;/title&gt;&lt;/titles&gt;&lt;dates&gt;&lt;year&gt;2016&lt;/year&gt;&lt;/dates&gt;&lt;publisher&gt;Substance Abuse and Mental Health Services Administration&lt;/publisher&gt;&lt;urls&gt;&lt;related-urls&gt;&lt;url&gt;http://www.samhsa.gov/data/&lt;/url&gt;&lt;/related-urls&gt;&lt;/urls&gt;&lt;/record&gt;&lt;/Cite&gt;&lt;/EndNote&gt;</w:instrText>
      </w:r>
      <w:r w:rsidRPr="00590298">
        <w:rPr>
          <w:rFonts w:cstheme="minorHAnsi"/>
        </w:rPr>
        <w:fldChar w:fldCharType="end"/>
      </w:r>
      <w:r w:rsidRPr="00590298">
        <w:rPr>
          <w:rFonts w:cstheme="minorHAnsi"/>
        </w:rPr>
        <w:t xml:space="preserve"> However, a proportion of this population are not in contact with services at any one point in time</w:t>
      </w:r>
      <w:r>
        <w:rPr>
          <w:rFonts w:cstheme="minorHAnsi"/>
        </w:rPr>
        <w:t>,</w:t>
      </w:r>
      <w:r w:rsidRPr="005F44D7">
        <w:rPr>
          <w:rStyle w:val="FootnoteReference"/>
        </w:rPr>
        <w:footnoteReference w:id="9"/>
      </w:r>
      <w:r w:rsidRPr="00590298">
        <w:rPr>
          <w:rFonts w:cstheme="minorHAnsi"/>
        </w:rPr>
        <w:fldChar w:fldCharType="begin"/>
      </w:r>
      <w:r w:rsidRPr="00590298">
        <w:rPr>
          <w:rFonts w:cstheme="minorHAnsi"/>
        </w:rPr>
        <w:instrText xml:space="preserve"> ADDIN EN.CITE &lt;EndNote&gt;&lt;Cite&gt;&lt;Author&gt;Wu&lt;/Author&gt;&lt;Year&gt;2016&lt;/Year&gt;&lt;RecNum&gt;132&lt;/RecNum&gt;&lt;DisplayText&gt;(14)&lt;/DisplayText&gt;&lt;record&gt;&lt;rec-number&gt;132&lt;/rec-number&gt;&lt;foreign-keys&gt;&lt;key app="EN" db-id="vpf55efdtef20mevtxfpr2vnxfrf99wa5srt" timestamp="1499020686"&gt;132&lt;/key&gt;&lt;/foreign-keys&gt;&lt;ref-type name="Journal Article"&gt;17&lt;/ref-type&gt;&lt;contributors&gt;&lt;authors&gt;&lt;author&gt;Wu, L. T.&lt;/author&gt;&lt;author&gt;Zhu, H.&lt;/author&gt;&lt;author&gt;Swartz, M. S.&lt;/author&gt;&lt;/authors&gt;&lt;/contributors&gt;&lt;auth-address&gt;Department of Psychiatry and Behavioral Sciences, Duke University Medical Center, Durham, NC, USA; Department of Medicine, Division of General Internal Medicine, Duke University Medical Center, Durham, NC, USA; Duke Clinical Research Institute, Duke University Medical Center, Durham, NC, USA; Center for Child and Family Policy, Sanford School of Public Policy, Duke University, Durham, NC, USA. Electronic address: litzy.wu@duke.edu.&amp;#xD;Department of Psychiatry and Behavioral Sciences, Duke University Medical Center, Durham, NC, USA.&lt;/auth-address&gt;&lt;titles&gt;&lt;title&gt;Treatment utilization among persons with opioid use disorder in the United States&lt;/title&gt;&lt;secondary-title&gt;Drug Alcohol Depend&lt;/secondary-title&gt;&lt;/titles&gt;&lt;periodical&gt;&lt;full-title&gt;Drug Alcohol Depend&lt;/full-title&gt;&lt;/periodical&gt;&lt;pages&gt;117-127&lt;/pages&gt;&lt;volume&gt;169&lt;/volume&gt;&lt;keywords&gt;&lt;keyword&gt;Heroin use disorder&lt;/keyword&gt;&lt;keyword&gt;Medication-assisted treatment&lt;/keyword&gt;&lt;keyword&gt;Opioid use disorder&lt;/keyword&gt;&lt;keyword&gt;Prescription opioid misuse&lt;/keyword&gt;&lt;keyword&gt;Substance use treatment&lt;/keyword&gt;&lt;/keywords&gt;&lt;dates&gt;&lt;year&gt;2016&lt;/year&gt;&lt;pub-dates&gt;&lt;date&gt;Dec 01&lt;/date&gt;&lt;/pub-dates&gt;&lt;/dates&gt;&lt;isbn&gt;1879-0046 (Electronic)&amp;#xD;0376-8716 (Linking)&lt;/isbn&gt;&lt;accession-num&gt;27810654&lt;/accession-num&gt;&lt;urls&gt;&lt;related-urls&gt;&lt;url&gt;https://www.ncbi.nlm.nih.gov/pubmed/27810654&lt;/url&gt;&lt;/related-urls&gt;&lt;/urls&gt;&lt;custom2&gt;PMC5223737&lt;/custom2&gt;&lt;electronic-resource-num&gt;10.1016/j.drugalcdep.2016.10.015&lt;/electronic-resource-num&gt;&lt;/record&gt;&lt;/Cite&gt;&lt;/EndNote&gt;</w:instrText>
      </w:r>
      <w:r w:rsidRPr="00590298">
        <w:rPr>
          <w:rFonts w:cstheme="minorHAnsi"/>
        </w:rPr>
        <w:fldChar w:fldCharType="end"/>
      </w:r>
      <w:r w:rsidRPr="00590298">
        <w:rPr>
          <w:rFonts w:cstheme="minorHAnsi"/>
        </w:rPr>
        <w:t xml:space="preserve"> therefore, this prevalence is likely underestimated. To more accurately estimate the prevalence of OUD in Massachusetts from 2011-2015</w:t>
      </w:r>
      <w:r>
        <w:rPr>
          <w:rFonts w:cstheme="minorHAnsi"/>
        </w:rPr>
        <w:t>,</w:t>
      </w:r>
      <w:r w:rsidRPr="00590298">
        <w:rPr>
          <w:rFonts w:cstheme="minorHAnsi"/>
        </w:rPr>
        <w:t xml:space="preserve"> we performed a capture-recapture analysis using data from the Public Health Data (PHD) Warehouse from 2011-2015. Using new methodology and the rich data from the PHD Warehouse, we estimated that approximately 4.4% of Massachusetts residents age 11 and older had an OUD in 2015, nearly four times higher than previous national prevalence estimates. The prevalence of OUD in Massachusetts among persons ages 11 and older increased from 2</w:t>
      </w:r>
      <w:r>
        <w:rPr>
          <w:rFonts w:cstheme="minorHAnsi"/>
        </w:rPr>
        <w:t xml:space="preserve">.72% in 2011 to 4.27% in 2015. </w:t>
      </w:r>
    </w:p>
    <w:p w:rsidR="00617750" w:rsidRDefault="00617750" w:rsidP="00617750">
      <w:pPr>
        <w:autoSpaceDE w:val="0"/>
        <w:autoSpaceDN w:val="0"/>
        <w:adjustRightInd w:val="0"/>
        <w:spacing w:after="200" w:line="276" w:lineRule="auto"/>
        <w:rPr>
          <w:rFonts w:cstheme="minorHAnsi"/>
        </w:rPr>
      </w:pPr>
      <w:r w:rsidRPr="00590298">
        <w:rPr>
          <w:rFonts w:cstheme="minorHAnsi"/>
        </w:rPr>
        <w:t xml:space="preserve">The opioid-related overdose death rate in Massachusetts has started to decline in recent years, falling an estimated 4% between 2016 and 2018 according to the latest quarterly opioid </w:t>
      </w:r>
      <w:hyperlink r:id="rId27" w:history="1">
        <w:r w:rsidRPr="00776D45">
          <w:rPr>
            <w:rStyle w:val="Hyperlink"/>
            <w:rFonts w:cstheme="minorHAnsi"/>
          </w:rPr>
          <w:t>report</w:t>
        </w:r>
      </w:hyperlink>
      <w:r w:rsidRPr="00590298">
        <w:rPr>
          <w:rFonts w:cstheme="minorHAnsi"/>
        </w:rPr>
        <w:t xml:space="preserve"> released by the MDPH. For the first six months of 2019, preliminary data shows 497 confirmed and estimated opioid-related overdose deaths.</w:t>
      </w:r>
      <w:r>
        <w:rPr>
          <w:rFonts w:cstheme="minorHAnsi"/>
        </w:rPr>
        <w:t xml:space="preserve"> This reflects an 11% decline over the same period in 2018.</w:t>
      </w:r>
    </w:p>
    <w:p w:rsidR="00617750" w:rsidRPr="001A5A1D" w:rsidRDefault="00617750" w:rsidP="00617750">
      <w:pPr>
        <w:pStyle w:val="PBody"/>
        <w:spacing w:after="200"/>
        <w:ind w:firstLine="0"/>
        <w:rPr>
          <w:rFonts w:cstheme="minorHAnsi"/>
          <w:b/>
        </w:rPr>
      </w:pPr>
      <w:r w:rsidRPr="00590298">
        <w:rPr>
          <w:rFonts w:cstheme="minorHAnsi"/>
        </w:rPr>
        <w:t xml:space="preserve">Contained within this report are descriptions of analyses providing the state with important insights into the profile of overdose-related deaths and nonfatal opioid-related overdoses and the relative risks faced by the Commonwealth’s diverse populations. This report is divided into </w:t>
      </w:r>
      <w:r>
        <w:rPr>
          <w:rFonts w:cstheme="minorHAnsi"/>
        </w:rPr>
        <w:t>two</w:t>
      </w:r>
      <w:r w:rsidRPr="00590298">
        <w:rPr>
          <w:rFonts w:cstheme="minorHAnsi"/>
        </w:rPr>
        <w:t xml:space="preserve"> sections: </w:t>
      </w:r>
    </w:p>
    <w:p w:rsidR="00617750" w:rsidRPr="001A5A1D" w:rsidRDefault="00617750" w:rsidP="00617750">
      <w:pPr>
        <w:pStyle w:val="PBody"/>
        <w:numPr>
          <w:ilvl w:val="0"/>
          <w:numId w:val="29"/>
        </w:numPr>
        <w:spacing w:after="200"/>
        <w:rPr>
          <w:rFonts w:cstheme="minorHAnsi"/>
        </w:rPr>
      </w:pPr>
      <w:r>
        <w:rPr>
          <w:rFonts w:cstheme="minorHAnsi"/>
          <w:b/>
        </w:rPr>
        <w:lastRenderedPageBreak/>
        <w:t>Populations at high risk</w:t>
      </w:r>
      <w:r w:rsidRPr="001A5A1D">
        <w:rPr>
          <w:rFonts w:cstheme="minorHAnsi"/>
        </w:rPr>
        <w:t>: In-depth a</w:t>
      </w:r>
      <w:r>
        <w:rPr>
          <w:rFonts w:cstheme="minorHAnsi"/>
        </w:rPr>
        <w:t>nalysis of populations at high</w:t>
      </w:r>
      <w:r w:rsidRPr="001A5A1D">
        <w:rPr>
          <w:rFonts w:cstheme="minorHAnsi"/>
        </w:rPr>
        <w:t xml:space="preserve"> risk and specific risk factors</w:t>
      </w:r>
      <w:r>
        <w:rPr>
          <w:rFonts w:cstheme="minorHAnsi"/>
        </w:rPr>
        <w:t xml:space="preserve"> for OUD and opioid overdoses. </w:t>
      </w:r>
    </w:p>
    <w:p w:rsidR="00617750" w:rsidRPr="00D92A0B" w:rsidRDefault="00617750" w:rsidP="00617750">
      <w:pPr>
        <w:pStyle w:val="PBody"/>
        <w:numPr>
          <w:ilvl w:val="0"/>
          <w:numId w:val="29"/>
        </w:numPr>
        <w:spacing w:after="200"/>
        <w:rPr>
          <w:rFonts w:cstheme="minorHAnsi"/>
        </w:rPr>
      </w:pPr>
      <w:r w:rsidRPr="001A5A1D">
        <w:rPr>
          <w:rFonts w:cstheme="minorHAnsi"/>
          <w:b/>
        </w:rPr>
        <w:t>Medications for Opioid Use Disorder (MOUD)</w:t>
      </w:r>
      <w:r w:rsidRPr="001A5A1D">
        <w:rPr>
          <w:rFonts w:cstheme="minorHAnsi"/>
        </w:rPr>
        <w:t>: A synthesis of the results from various analyses that have lo</w:t>
      </w:r>
      <w:r>
        <w:rPr>
          <w:rFonts w:cstheme="minorHAnsi"/>
        </w:rPr>
        <w:t>oked at MOUD across populations.</w:t>
      </w:r>
    </w:p>
    <w:p w:rsidR="00617750" w:rsidRPr="00B336EF" w:rsidRDefault="00617750" w:rsidP="00617750">
      <w:pPr>
        <w:pStyle w:val="PBody"/>
        <w:spacing w:after="200"/>
        <w:ind w:firstLine="0"/>
      </w:pPr>
      <w:r w:rsidRPr="00B336EF">
        <w:t>The Public Health Data</w:t>
      </w:r>
      <w:r>
        <w:t xml:space="preserve"> Warehouse</w:t>
      </w:r>
      <w:r w:rsidRPr="00B336EF">
        <w:t xml:space="preserve"> (PHD) was established in 2017 </w:t>
      </w:r>
      <w:r>
        <w:t xml:space="preserve">through legislation </w:t>
      </w:r>
      <w:r w:rsidRPr="00B336EF">
        <w:t xml:space="preserve">which authorized and required ongoing analysis of population health trends to guide policy development and programmatic decision-making in the Commonwealth. </w:t>
      </w:r>
      <w:r w:rsidRPr="00B336EF">
        <w:rPr>
          <w:color w:val="000000"/>
        </w:rPr>
        <w:t xml:space="preserve">The new law enabled linkage and analysis of data from more than 20 governmental administrative data systems to track trends in </w:t>
      </w:r>
      <w:r w:rsidRPr="00B336EF">
        <w:t>fatal and nonfatal opioid overdoses and other public health topics as prioritized by the Commissioner of the Massachusetts Department of Public Health (MDPH).</w:t>
      </w:r>
      <w:r w:rsidRPr="005F44D7">
        <w:rPr>
          <w:rStyle w:val="FootnoteReference"/>
          <w:rFonts w:eastAsiaTheme="majorEastAsia"/>
        </w:rPr>
        <w:footnoteReference w:id="10"/>
      </w:r>
      <w:r w:rsidRPr="00B336EF">
        <w:t xml:space="preserve"> Preceding the establishment of PHD, the passage of Chapter 55 of the Acts of 2015 by the Massachusetts Legislature and </w:t>
      </w:r>
      <w:r>
        <w:t xml:space="preserve">signed by </w:t>
      </w:r>
      <w:r w:rsidRPr="00B336EF">
        <w:t xml:space="preserve">Governor Charles D. Baker, and its re-authorization in Chapter 133 of the Acts of 2016, enabled MDPH to demonstrate the value of this innovative linked data approach. The “Chapter 55” findings, which are described in prior </w:t>
      </w:r>
      <w:hyperlink r:id="rId28" w:history="1">
        <w:r w:rsidRPr="00B336EF">
          <w:rPr>
            <w:rStyle w:val="Hyperlink"/>
          </w:rPr>
          <w:t>reports</w:t>
        </w:r>
      </w:hyperlink>
      <w:r w:rsidRPr="00B336EF">
        <w:t>, elucidated new information about the drivers and impacts of the opioid epidemic so action could be taken to prevent further morbidity and mortality from this devastating disease.</w:t>
      </w:r>
    </w:p>
    <w:p w:rsidR="00617750" w:rsidRDefault="00617750" w:rsidP="00617750">
      <w:pPr>
        <w:autoSpaceDE w:val="0"/>
        <w:autoSpaceDN w:val="0"/>
        <w:adjustRightInd w:val="0"/>
        <w:spacing w:after="200" w:line="276" w:lineRule="auto"/>
        <w:rPr>
          <w:rFonts w:cs="Arial"/>
        </w:rPr>
      </w:pPr>
      <w:r w:rsidRPr="00B336EF">
        <w:rPr>
          <w:rFonts w:cs="Arial"/>
        </w:rPr>
        <w:t xml:space="preserve">The PHD is </w:t>
      </w:r>
      <w:r>
        <w:rPr>
          <w:rFonts w:cs="Arial"/>
        </w:rPr>
        <w:t>a</w:t>
      </w:r>
      <w:r w:rsidRPr="00B336EF">
        <w:rPr>
          <w:rFonts w:cs="Arial"/>
        </w:rPr>
        <w:t xml:space="preserve"> nationally recognized innovation, proven as an effective tool for accelerating data analysis and dissemination of actionable information to guide the Commonwealth’s response to the opioid crisis. While its initial focus was the study of fatal and non-fatal opioid overdoses, the PHD has been expanded to include new data assets and more recent years of data, thereby enriching its utility for analysis of other emerging and persistent public health threats.</w:t>
      </w:r>
      <w:r>
        <w:rPr>
          <w:rFonts w:cs="Arial"/>
        </w:rPr>
        <w:t xml:space="preserve"> Going forward, the analytic agenda for PHD will continue to focus on fatal and nonfatal opioid overdoses in addition to a new topical area of focus: </w:t>
      </w:r>
      <w:r w:rsidRPr="00CA78AF">
        <w:rPr>
          <w:rFonts w:cs="Arial"/>
        </w:rPr>
        <w:t xml:space="preserve">maternal and child health (MCH). </w:t>
      </w:r>
    </w:p>
    <w:p w:rsidR="00617750" w:rsidRPr="00930567" w:rsidRDefault="00617750" w:rsidP="00617750">
      <w:pPr>
        <w:autoSpaceDE w:val="0"/>
        <w:autoSpaceDN w:val="0"/>
        <w:adjustRightInd w:val="0"/>
        <w:spacing w:after="200" w:line="276" w:lineRule="auto"/>
        <w:rPr>
          <w:rFonts w:cs="Arial"/>
        </w:rPr>
      </w:pPr>
      <w:r w:rsidRPr="00CA78AF">
        <w:rPr>
          <w:rFonts w:cs="Arial"/>
        </w:rPr>
        <w:t>MCH was identified as a</w:t>
      </w:r>
      <w:r>
        <w:rPr>
          <w:rFonts w:cs="Arial"/>
        </w:rPr>
        <w:t>n</w:t>
      </w:r>
      <w:r w:rsidRPr="00CA78AF">
        <w:rPr>
          <w:rFonts w:cs="Arial"/>
        </w:rPr>
        <w:t xml:space="preserve"> </w:t>
      </w:r>
      <w:r>
        <w:rPr>
          <w:rFonts w:cs="Arial"/>
        </w:rPr>
        <w:t>M</w:t>
      </w:r>
      <w:r w:rsidRPr="00CA78AF">
        <w:rPr>
          <w:rFonts w:cs="Arial"/>
        </w:rPr>
        <w:t>DPH priority following a data review which highlighted significant disparities and inequities in this area. Maternal mortality is a sentinel global</w:t>
      </w:r>
      <w:r>
        <w:rPr>
          <w:rFonts w:cs="Arial"/>
        </w:rPr>
        <w:t xml:space="preserve"> indicator</w:t>
      </w:r>
      <w:r w:rsidRPr="00CA78AF">
        <w:rPr>
          <w:rFonts w:cs="Arial"/>
        </w:rPr>
        <w:t xml:space="preserve"> </w:t>
      </w:r>
      <w:r>
        <w:rPr>
          <w:rFonts w:cs="Arial"/>
        </w:rPr>
        <w:t>for</w:t>
      </w:r>
      <w:r w:rsidRPr="00CA78AF">
        <w:rPr>
          <w:rFonts w:cs="Arial"/>
        </w:rPr>
        <w:t xml:space="preserve"> monitor</w:t>
      </w:r>
      <w:r>
        <w:rPr>
          <w:rFonts w:cs="Arial"/>
        </w:rPr>
        <w:t>ing</w:t>
      </w:r>
      <w:r w:rsidRPr="00CA78AF">
        <w:rPr>
          <w:rFonts w:cs="Arial"/>
        </w:rPr>
        <w:t xml:space="preserve"> maternal health and the general quality of reproductive health care. The World Health Organization (WHO) reports that maternal mortality rates have fallen globally by nearly 44% from 1990 to 2015; however, the maternal mortality rate has increased in the United States (U.S.). In 2015, the U.S. maternal mortality rate ranked 46th among 181 countries and one of the highest of developed countries. </w:t>
      </w:r>
      <w:r w:rsidRPr="00BA7EC5">
        <w:rPr>
          <w:rFonts w:eastAsia="Times New Roman" w:cs="Calibri Light"/>
        </w:rPr>
        <w:t xml:space="preserve">Maternal mortality is often </w:t>
      </w:r>
      <w:r>
        <w:rPr>
          <w:rFonts w:eastAsia="Times New Roman" w:cs="Calibri Light"/>
        </w:rPr>
        <w:t xml:space="preserve">described as </w:t>
      </w:r>
      <w:r w:rsidRPr="00BA7EC5">
        <w:rPr>
          <w:rFonts w:eastAsia="Times New Roman" w:cs="Calibri Light"/>
        </w:rPr>
        <w:t xml:space="preserve">the tip of the iceberg of adverse </w:t>
      </w:r>
      <w:r>
        <w:rPr>
          <w:rFonts w:eastAsia="Times New Roman" w:cs="Calibri Light"/>
        </w:rPr>
        <w:t xml:space="preserve">maternal </w:t>
      </w:r>
      <w:r w:rsidRPr="00BA7EC5">
        <w:rPr>
          <w:rFonts w:eastAsia="Times New Roman" w:cs="Calibri Light"/>
        </w:rPr>
        <w:t xml:space="preserve">outcomes and accounts for a small fraction of the burden of poor maternal health. For every maternal death, there are about 100 episodes of </w:t>
      </w:r>
      <w:r>
        <w:rPr>
          <w:rFonts w:eastAsia="Times New Roman" w:cs="Calibri Light"/>
        </w:rPr>
        <w:t>s</w:t>
      </w:r>
      <w:r w:rsidRPr="00BA7EC5">
        <w:rPr>
          <w:rFonts w:eastAsia="Times New Roman" w:cs="Calibri Light"/>
        </w:rPr>
        <w:t xml:space="preserve">evere </w:t>
      </w:r>
      <w:r>
        <w:rPr>
          <w:rFonts w:eastAsia="Times New Roman" w:cs="Calibri Light"/>
        </w:rPr>
        <w:t>m</w:t>
      </w:r>
      <w:r w:rsidRPr="00BA7EC5">
        <w:rPr>
          <w:rFonts w:eastAsia="Times New Roman" w:cs="Calibri Light"/>
        </w:rPr>
        <w:t xml:space="preserve">aternal </w:t>
      </w:r>
      <w:r>
        <w:rPr>
          <w:rFonts w:eastAsia="Times New Roman" w:cs="Calibri Light"/>
        </w:rPr>
        <w:t>m</w:t>
      </w:r>
      <w:r w:rsidRPr="00BA7EC5">
        <w:rPr>
          <w:rFonts w:eastAsia="Times New Roman" w:cs="Calibri Light"/>
        </w:rPr>
        <w:t xml:space="preserve">orbidity (SMM) affecting more than 50,000 women in the U.S. </w:t>
      </w:r>
      <w:r>
        <w:rPr>
          <w:rFonts w:eastAsia="Times New Roman" w:cs="Calibri Light"/>
        </w:rPr>
        <w:t>annually</w:t>
      </w:r>
      <w:r w:rsidRPr="00BA7EC5">
        <w:rPr>
          <w:rFonts w:eastAsia="Times New Roman" w:cs="Calibri Light"/>
        </w:rPr>
        <w:t>.  Recent research suggests that women with SMM after delivery are at increased risk of adverse events that extend into both the first six weeks and one year postpartum</w:t>
      </w:r>
      <w:r>
        <w:rPr>
          <w:rFonts w:eastAsia="Times New Roman" w:cs="Calibri Light"/>
        </w:rPr>
        <w:t>.</w:t>
      </w:r>
      <w:r w:rsidRPr="005F44D7">
        <w:rPr>
          <w:rStyle w:val="FootnoteReference"/>
        </w:rPr>
        <w:footnoteReference w:id="11"/>
      </w:r>
    </w:p>
    <w:p w:rsidR="00617750" w:rsidRPr="00BA7EC5" w:rsidRDefault="00617750" w:rsidP="00617750">
      <w:pPr>
        <w:spacing w:after="200" w:line="276" w:lineRule="auto"/>
        <w:rPr>
          <w:rFonts w:eastAsia="Times New Roman" w:cs="Calibri Light"/>
        </w:rPr>
      </w:pPr>
      <w:r w:rsidRPr="00CA78AF">
        <w:rPr>
          <w:rFonts w:cs="Arial"/>
        </w:rPr>
        <w:t xml:space="preserve">The </w:t>
      </w:r>
      <w:r>
        <w:rPr>
          <w:rFonts w:cs="Arial"/>
        </w:rPr>
        <w:t xml:space="preserve">MDPH </w:t>
      </w:r>
      <w:r w:rsidRPr="00CA78AF">
        <w:rPr>
          <w:rFonts w:cs="Arial"/>
        </w:rPr>
        <w:t>Office of Population Health</w:t>
      </w:r>
      <w:r>
        <w:rPr>
          <w:rFonts w:cs="Arial"/>
        </w:rPr>
        <w:t>,</w:t>
      </w:r>
      <w:r w:rsidRPr="00CA78AF">
        <w:rPr>
          <w:rFonts w:cs="Arial"/>
        </w:rPr>
        <w:t xml:space="preserve"> in collaboration with the Bureau of Family Health and Nutrition</w:t>
      </w:r>
      <w:r>
        <w:rPr>
          <w:rFonts w:cs="Arial"/>
        </w:rPr>
        <w:t>,</w:t>
      </w:r>
      <w:r w:rsidRPr="00CA78AF">
        <w:rPr>
          <w:rFonts w:cs="Arial"/>
        </w:rPr>
        <w:t xml:space="preserve"> </w:t>
      </w:r>
      <w:r>
        <w:rPr>
          <w:rFonts w:cs="Arial"/>
        </w:rPr>
        <w:t xml:space="preserve">recently </w:t>
      </w:r>
      <w:r w:rsidRPr="00CA78AF">
        <w:rPr>
          <w:rFonts w:cs="Arial"/>
        </w:rPr>
        <w:t>convened an internal workgroup with program</w:t>
      </w:r>
      <w:r>
        <w:rPr>
          <w:rFonts w:cs="Arial"/>
        </w:rPr>
        <w:t>matic</w:t>
      </w:r>
      <w:r w:rsidRPr="00CA78AF">
        <w:rPr>
          <w:rFonts w:cs="Arial"/>
        </w:rPr>
        <w:t xml:space="preserve"> a</w:t>
      </w:r>
      <w:r>
        <w:rPr>
          <w:rFonts w:cs="Arial"/>
        </w:rPr>
        <w:t>nd data experts from across MDPH</w:t>
      </w:r>
      <w:r w:rsidRPr="00CA78AF">
        <w:rPr>
          <w:rFonts w:cs="Arial"/>
        </w:rPr>
        <w:t xml:space="preserve"> to </w:t>
      </w:r>
      <w:r w:rsidRPr="00CA78AF">
        <w:rPr>
          <w:rFonts w:cs="Arial"/>
        </w:rPr>
        <w:lastRenderedPageBreak/>
        <w:t>work with public and private partners to</w:t>
      </w:r>
      <w:r>
        <w:rPr>
          <w:rFonts w:cs="Arial"/>
        </w:rPr>
        <w:t xml:space="preserve"> study differential outcomes and risks relative to MCH in the Commonwealth. </w:t>
      </w:r>
      <w:r>
        <w:rPr>
          <w:rFonts w:eastAsia="Times New Roman" w:cs="Calibri Light"/>
        </w:rPr>
        <w:t>The</w:t>
      </w:r>
      <w:r w:rsidRPr="00BA7EC5">
        <w:rPr>
          <w:rFonts w:eastAsia="Times New Roman" w:cs="Calibri Light"/>
        </w:rPr>
        <w:t xml:space="preserve"> following MCH topics </w:t>
      </w:r>
      <w:r>
        <w:rPr>
          <w:rFonts w:eastAsia="Times New Roman" w:cs="Calibri Light"/>
        </w:rPr>
        <w:t xml:space="preserve">will be examined using the PHD </w:t>
      </w:r>
      <w:r w:rsidRPr="00BA7EC5">
        <w:rPr>
          <w:rFonts w:eastAsia="Times New Roman" w:cs="Calibri Light"/>
        </w:rPr>
        <w:t xml:space="preserve">in three phases starting in </w:t>
      </w:r>
      <w:r>
        <w:rPr>
          <w:rFonts w:eastAsia="Times New Roman" w:cs="Calibri Light"/>
        </w:rPr>
        <w:t xml:space="preserve">late </w:t>
      </w:r>
      <w:r w:rsidRPr="00BA7EC5">
        <w:rPr>
          <w:rFonts w:eastAsia="Times New Roman" w:cs="Calibri Light"/>
        </w:rPr>
        <w:t>2019:</w:t>
      </w:r>
    </w:p>
    <w:p w:rsidR="00617750" w:rsidRPr="00BA7EC5" w:rsidRDefault="00617750" w:rsidP="00617750">
      <w:pPr>
        <w:numPr>
          <w:ilvl w:val="1"/>
          <w:numId w:val="15"/>
        </w:numPr>
        <w:spacing w:after="200" w:line="276" w:lineRule="auto"/>
        <w:contextualSpacing/>
        <w:rPr>
          <w:rFonts w:eastAsia="Times New Roman" w:cs="Calibri Light"/>
        </w:rPr>
      </w:pPr>
      <w:r w:rsidRPr="00BA7EC5">
        <w:rPr>
          <w:rFonts w:eastAsia="Times New Roman" w:cs="Calibri Light"/>
        </w:rPr>
        <w:t xml:space="preserve">Maternal </w:t>
      </w:r>
      <w:r>
        <w:rPr>
          <w:rFonts w:eastAsia="Times New Roman" w:cs="Calibri Light"/>
        </w:rPr>
        <w:t>m</w:t>
      </w:r>
      <w:r w:rsidRPr="00BA7EC5">
        <w:rPr>
          <w:rFonts w:eastAsia="Times New Roman" w:cs="Calibri Light"/>
        </w:rPr>
        <w:t xml:space="preserve">orbidity and </w:t>
      </w:r>
      <w:r>
        <w:rPr>
          <w:rFonts w:eastAsia="Times New Roman" w:cs="Calibri Light"/>
        </w:rPr>
        <w:t>m</w:t>
      </w:r>
      <w:r w:rsidRPr="00BA7EC5">
        <w:rPr>
          <w:rFonts w:eastAsia="Times New Roman" w:cs="Calibri Light"/>
        </w:rPr>
        <w:t xml:space="preserve">ortality – Phase 1 </w:t>
      </w:r>
    </w:p>
    <w:p w:rsidR="00617750" w:rsidRPr="00BA7EC5" w:rsidRDefault="00617750" w:rsidP="00617750">
      <w:pPr>
        <w:numPr>
          <w:ilvl w:val="1"/>
          <w:numId w:val="15"/>
        </w:numPr>
        <w:spacing w:after="200" w:line="276" w:lineRule="auto"/>
        <w:contextualSpacing/>
        <w:rPr>
          <w:rFonts w:eastAsia="Times New Roman" w:cs="Calibri Light"/>
        </w:rPr>
      </w:pPr>
      <w:r w:rsidRPr="00BA7EC5">
        <w:rPr>
          <w:rFonts w:eastAsia="Times New Roman" w:cs="Calibri Light"/>
        </w:rPr>
        <w:t xml:space="preserve">Preterm </w:t>
      </w:r>
      <w:r>
        <w:rPr>
          <w:rFonts w:eastAsia="Times New Roman" w:cs="Calibri Light"/>
        </w:rPr>
        <w:t>b</w:t>
      </w:r>
      <w:r w:rsidRPr="00BA7EC5">
        <w:rPr>
          <w:rFonts w:eastAsia="Times New Roman" w:cs="Calibri Light"/>
        </w:rPr>
        <w:t xml:space="preserve">irths and </w:t>
      </w:r>
      <w:r>
        <w:rPr>
          <w:rFonts w:eastAsia="Times New Roman" w:cs="Calibri Light"/>
        </w:rPr>
        <w:t>i</w:t>
      </w:r>
      <w:r w:rsidRPr="00BA7EC5">
        <w:rPr>
          <w:rFonts w:eastAsia="Times New Roman" w:cs="Calibri Light"/>
        </w:rPr>
        <w:t xml:space="preserve">nfant </w:t>
      </w:r>
      <w:r>
        <w:rPr>
          <w:rFonts w:eastAsia="Times New Roman" w:cs="Calibri Light"/>
        </w:rPr>
        <w:t>m</w:t>
      </w:r>
      <w:r w:rsidRPr="00BA7EC5">
        <w:rPr>
          <w:rFonts w:eastAsia="Times New Roman" w:cs="Calibri Light"/>
        </w:rPr>
        <w:t>ortality – Phase 2</w:t>
      </w:r>
    </w:p>
    <w:p w:rsidR="00617750" w:rsidRPr="00BA7EC5" w:rsidRDefault="00617750" w:rsidP="00617750">
      <w:pPr>
        <w:numPr>
          <w:ilvl w:val="1"/>
          <w:numId w:val="15"/>
        </w:numPr>
        <w:spacing w:after="200" w:line="276" w:lineRule="auto"/>
        <w:contextualSpacing/>
        <w:rPr>
          <w:rFonts w:cs="Calibri Light"/>
          <w:sz w:val="28"/>
          <w:szCs w:val="28"/>
        </w:rPr>
      </w:pPr>
      <w:r w:rsidRPr="00BA7EC5">
        <w:rPr>
          <w:rFonts w:eastAsia="Times New Roman" w:cs="Calibri Light"/>
        </w:rPr>
        <w:t xml:space="preserve">Adolescent </w:t>
      </w:r>
      <w:r>
        <w:rPr>
          <w:rFonts w:eastAsia="Times New Roman" w:cs="Calibri Light"/>
        </w:rPr>
        <w:t>w</w:t>
      </w:r>
      <w:r w:rsidRPr="00BA7EC5">
        <w:rPr>
          <w:rFonts w:eastAsia="Times New Roman" w:cs="Calibri Light"/>
        </w:rPr>
        <w:t xml:space="preserve">ellness and </w:t>
      </w:r>
      <w:r>
        <w:rPr>
          <w:rFonts w:eastAsia="Times New Roman" w:cs="Calibri Light"/>
        </w:rPr>
        <w:t>h</w:t>
      </w:r>
      <w:r w:rsidRPr="00BA7EC5">
        <w:rPr>
          <w:rFonts w:eastAsia="Times New Roman" w:cs="Calibri Light"/>
        </w:rPr>
        <w:t>ealth – Phase 3</w:t>
      </w:r>
    </w:p>
    <w:p w:rsidR="00CB2089" w:rsidRPr="00BA7EC5" w:rsidRDefault="00CB2089" w:rsidP="00776D45">
      <w:pPr>
        <w:ind w:left="1440"/>
        <w:contextualSpacing/>
        <w:rPr>
          <w:rFonts w:cs="Calibri Light"/>
          <w:sz w:val="28"/>
          <w:szCs w:val="28"/>
        </w:rPr>
      </w:pPr>
    </w:p>
    <w:p w:rsidR="00CB2089" w:rsidRPr="00CB2089" w:rsidRDefault="00CB2089" w:rsidP="00CB2089">
      <w:pPr>
        <w:spacing w:after="120" w:line="276" w:lineRule="auto"/>
        <w:ind w:firstLine="720"/>
        <w:rPr>
          <w:rFonts w:ascii="Calibri Light" w:eastAsia="Times New Roman" w:hAnsi="Calibri Light" w:cs="Calibri Light"/>
        </w:rPr>
      </w:pPr>
    </w:p>
    <w:p w:rsidR="007B0FD5" w:rsidRDefault="007B0FD5">
      <w:pPr>
        <w:spacing w:after="200" w:line="276" w:lineRule="auto"/>
        <w:rPr>
          <w:rFonts w:ascii="Times New Roman" w:hAnsi="Times New Roman" w:cs="Times New Roman"/>
          <w:b/>
          <w:i/>
          <w:color w:val="7030A0"/>
        </w:rPr>
      </w:pPr>
      <w:r>
        <w:rPr>
          <w:rFonts w:ascii="Times New Roman" w:hAnsi="Times New Roman" w:cs="Times New Roman"/>
          <w:b/>
          <w:i/>
          <w:color w:val="7030A0"/>
        </w:rPr>
        <w:br w:type="page"/>
      </w:r>
    </w:p>
    <w:p w:rsidR="005E70E9" w:rsidRPr="00D3478C" w:rsidRDefault="00154F3A" w:rsidP="00776D45">
      <w:pPr>
        <w:pStyle w:val="Heading1"/>
        <w:spacing w:before="0"/>
        <w:rPr>
          <w:sz w:val="44"/>
          <w:szCs w:val="44"/>
        </w:rPr>
      </w:pPr>
      <w:bookmarkStart w:id="6" w:name="_Toc20134875"/>
      <w:r w:rsidRPr="00D3478C">
        <w:rPr>
          <w:sz w:val="44"/>
          <w:szCs w:val="44"/>
        </w:rPr>
        <w:lastRenderedPageBreak/>
        <w:t>Section I</w:t>
      </w:r>
      <w:r w:rsidR="005E70E9" w:rsidRPr="00D3478C">
        <w:rPr>
          <w:sz w:val="44"/>
          <w:szCs w:val="44"/>
        </w:rPr>
        <w:t xml:space="preserve">. </w:t>
      </w:r>
      <w:r w:rsidR="00F825E8" w:rsidRPr="00D3478C">
        <w:rPr>
          <w:sz w:val="44"/>
          <w:szCs w:val="44"/>
        </w:rPr>
        <w:t>In-Depth Population and Subpopulation Analyses</w:t>
      </w:r>
      <w:bookmarkEnd w:id="6"/>
    </w:p>
    <w:p w:rsidR="00FC49D4" w:rsidRPr="00A1291D" w:rsidRDefault="00FC49D4" w:rsidP="00776D45">
      <w:pPr>
        <w:pStyle w:val="Heading2"/>
        <w:spacing w:before="0"/>
        <w:rPr>
          <w:sz w:val="18"/>
          <w:szCs w:val="18"/>
        </w:rPr>
      </w:pPr>
    </w:p>
    <w:p w:rsidR="001C5D84" w:rsidRPr="00D3478C" w:rsidRDefault="001C5D84" w:rsidP="001C5D84">
      <w:pPr>
        <w:pStyle w:val="Heading2"/>
        <w:rPr>
          <w:sz w:val="36"/>
          <w:szCs w:val="36"/>
        </w:rPr>
      </w:pPr>
      <w:bookmarkStart w:id="7" w:name="_Toc20134876"/>
      <w:r w:rsidRPr="00D3478C">
        <w:rPr>
          <w:sz w:val="36"/>
          <w:szCs w:val="36"/>
        </w:rPr>
        <w:t>Race/Ethnicity</w:t>
      </w:r>
      <w:bookmarkEnd w:id="7"/>
      <w:r w:rsidRPr="00D3478C">
        <w:rPr>
          <w:sz w:val="36"/>
          <w:szCs w:val="36"/>
        </w:rPr>
        <w:t xml:space="preserve"> </w:t>
      </w:r>
    </w:p>
    <w:p w:rsidR="001C5D84" w:rsidRPr="00A1291D" w:rsidRDefault="001C5D84" w:rsidP="001C5D84">
      <w:pPr>
        <w:rPr>
          <w:rFonts w:cs="Times New Roman"/>
          <w:b/>
          <w:i/>
          <w:color w:val="7030A0"/>
          <w:sz w:val="18"/>
          <w:szCs w:val="18"/>
        </w:rPr>
      </w:pPr>
    </w:p>
    <w:p w:rsidR="001C5D84" w:rsidRPr="0058265E" w:rsidRDefault="001C5D84" w:rsidP="001C5D84">
      <w:pPr>
        <w:rPr>
          <w:rFonts w:eastAsia="Times New Roman" w:cs="Times New Roman"/>
          <w:b/>
          <w:color w:val="000000"/>
        </w:rPr>
      </w:pPr>
      <w:r w:rsidRPr="0058265E">
        <w:rPr>
          <w:rFonts w:eastAsia="Times New Roman" w:cs="Times New Roman"/>
          <w:b/>
          <w:color w:val="000000"/>
        </w:rPr>
        <w:t xml:space="preserve">Background: </w:t>
      </w:r>
    </w:p>
    <w:p w:rsidR="001C5D84" w:rsidRPr="003A48FD" w:rsidRDefault="001C5D84" w:rsidP="001C5D84">
      <w:pPr>
        <w:spacing w:line="276" w:lineRule="auto"/>
        <w:rPr>
          <w:rFonts w:eastAsia="Times New Roman" w:cs="Times New Roman"/>
          <w:color w:val="000000"/>
        </w:rPr>
      </w:pPr>
      <w:r w:rsidRPr="0058265E">
        <w:rPr>
          <w:rFonts w:eastAsia="Times New Roman" w:cs="Times New Roman"/>
          <w:color w:val="000000"/>
        </w:rPr>
        <w:t xml:space="preserve">In 2000, the rate of </w:t>
      </w:r>
      <w:r w:rsidRPr="003A48FD">
        <w:rPr>
          <w:rFonts w:eastAsia="Times New Roman" w:cs="Times New Roman"/>
          <w:color w:val="000000"/>
        </w:rPr>
        <w:t xml:space="preserve">opioid-related fatal overdose was 6.0 per 100,000 people in Massachusetts, according to DPH data. By 2015, there were 25.0 fatal </w:t>
      </w:r>
      <w:r>
        <w:rPr>
          <w:rFonts w:eastAsia="Times New Roman" w:cs="Times New Roman"/>
          <w:color w:val="000000"/>
        </w:rPr>
        <w:t xml:space="preserve">opioid </w:t>
      </w:r>
      <w:r w:rsidRPr="003A48FD">
        <w:rPr>
          <w:rFonts w:eastAsia="Times New Roman" w:cs="Times New Roman"/>
          <w:color w:val="000000"/>
        </w:rPr>
        <w:t>overdoses for every 100,000 residents</w:t>
      </w:r>
      <w:r>
        <w:rPr>
          <w:rFonts w:eastAsia="Times New Roman" w:cs="Times New Roman"/>
          <w:color w:val="000000"/>
        </w:rPr>
        <w:t>.</w:t>
      </w:r>
      <w:r w:rsidRPr="005F44D7">
        <w:rPr>
          <w:rStyle w:val="FootnoteReference"/>
        </w:rPr>
        <w:footnoteReference w:id="12"/>
      </w:r>
      <w:r w:rsidRPr="003A48FD">
        <w:rPr>
          <w:rFonts w:eastAsia="Times New Roman" w:cs="Times New Roman"/>
          <w:color w:val="000000"/>
        </w:rPr>
        <w:t xml:space="preserve">  </w:t>
      </w:r>
      <w:r w:rsidR="00600100">
        <w:rPr>
          <w:rFonts w:eastAsia="Times New Roman" w:cs="Times New Roman"/>
          <w:color w:val="000000"/>
        </w:rPr>
        <w:t>While the majority of deaths are among non-Hispanic whites, the rate of death</w:t>
      </w:r>
      <w:r w:rsidRPr="003A48FD">
        <w:rPr>
          <w:rFonts w:eastAsia="Times New Roman" w:cs="Times New Roman"/>
          <w:color w:val="000000"/>
        </w:rPr>
        <w:t xml:space="preserve"> differs between racial and ethnic groups. </w:t>
      </w:r>
      <w:r w:rsidRPr="003A48FD">
        <w:t>Recent data have shown an overall decline in opioid-related overdose deaths except for black non-Hispanic men, which increased by 45% from 2016 to 2017.</w:t>
      </w:r>
    </w:p>
    <w:p w:rsidR="001C5D84" w:rsidRPr="003A48FD" w:rsidRDefault="001C5D84" w:rsidP="001C5D84">
      <w:pPr>
        <w:rPr>
          <w:rFonts w:eastAsia="Times New Roman" w:cs="Times New Roman"/>
          <w:color w:val="000000"/>
        </w:rPr>
      </w:pPr>
    </w:p>
    <w:p w:rsidR="001C5D84" w:rsidRPr="0090040E" w:rsidRDefault="001C5D84" w:rsidP="001C5D84">
      <w:pPr>
        <w:rPr>
          <w:rFonts w:eastAsia="Times New Roman" w:cs="Times New Roman"/>
          <w:b/>
          <w:color w:val="000000"/>
        </w:rPr>
      </w:pPr>
      <w:r w:rsidRPr="0090040E">
        <w:rPr>
          <w:rFonts w:eastAsia="Times New Roman" w:cs="Times New Roman"/>
          <w:b/>
          <w:color w:val="000000"/>
        </w:rPr>
        <w:t>Key Findings:</w:t>
      </w:r>
    </w:p>
    <w:p w:rsidR="00A1291D" w:rsidRDefault="00A1291D" w:rsidP="00A1291D">
      <w:pPr>
        <w:pStyle w:val="ListParagraph"/>
        <w:numPr>
          <w:ilvl w:val="0"/>
          <w:numId w:val="21"/>
        </w:numPr>
        <w:autoSpaceDE w:val="0"/>
        <w:autoSpaceDN w:val="0"/>
        <w:adjustRightInd w:val="0"/>
        <w:spacing w:after="120" w:line="276" w:lineRule="auto"/>
      </w:pPr>
      <w:r w:rsidRPr="001E4A27">
        <w:t xml:space="preserve">Between 2014 and 2015, an overwhelming majority of the opioid-related overdose deaths had either stimulants or another drug </w:t>
      </w:r>
      <w:r>
        <w:t>in toxicology analysis</w:t>
      </w:r>
      <w:r w:rsidRPr="001E4A27">
        <w:t xml:space="preserve"> at the time of death. </w:t>
      </w:r>
      <w:r>
        <w:t>Black</w:t>
      </w:r>
      <w:r w:rsidRPr="001E4A27">
        <w:t xml:space="preserve"> non-Hispanic residents were 2.6 times more likely than </w:t>
      </w:r>
      <w:r>
        <w:t xml:space="preserve">white </w:t>
      </w:r>
      <w:r w:rsidRPr="001E4A27">
        <w:t>non-Hispanic residents to die with stimulants and opioids than opioids alone (OR: 2.65, 95% CI 1.23-5.7)</w:t>
      </w:r>
      <w:r>
        <w:t>.</w:t>
      </w:r>
      <w:r w:rsidRPr="001E4A27">
        <w:t xml:space="preserve"> </w:t>
      </w:r>
    </w:p>
    <w:p w:rsidR="00A1291D" w:rsidRDefault="00A1291D" w:rsidP="00A1291D">
      <w:pPr>
        <w:pStyle w:val="ListParagraph"/>
        <w:autoSpaceDE w:val="0"/>
        <w:autoSpaceDN w:val="0"/>
        <w:adjustRightInd w:val="0"/>
        <w:spacing w:after="120" w:line="276" w:lineRule="auto"/>
        <w:ind w:left="360"/>
      </w:pPr>
    </w:p>
    <w:p w:rsidR="000065E6" w:rsidRDefault="007E70F2" w:rsidP="000065E6">
      <w:pPr>
        <w:pStyle w:val="ListParagraph"/>
        <w:numPr>
          <w:ilvl w:val="0"/>
          <w:numId w:val="21"/>
        </w:numPr>
        <w:autoSpaceDE w:val="0"/>
        <w:autoSpaceDN w:val="0"/>
        <w:adjustRightInd w:val="0"/>
        <w:spacing w:after="120" w:line="276" w:lineRule="auto"/>
      </w:pPr>
      <w:r w:rsidRPr="00976C18">
        <w:t>The rate of overdose deaths in</w:t>
      </w:r>
      <w:r w:rsidR="005E7535">
        <w:t>volving stimulants and opioids was</w:t>
      </w:r>
      <w:r w:rsidRPr="00976C18">
        <w:t xml:space="preserve"> highest among Hispanic residents (10.2 per 100,000). The rate among Hispanics increased by nearly 50% per year from 2012 to 2016. The rate among </w:t>
      </w:r>
      <w:r>
        <w:t>white non‐Hispanic</w:t>
      </w:r>
      <w:r w:rsidRPr="00976C18">
        <w:t>s increased a little over 30% per year from 2010‐2015. While the annual rates were the lowest</w:t>
      </w:r>
      <w:r>
        <w:t xml:space="preserve"> </w:t>
      </w:r>
      <w:r w:rsidRPr="00976C18">
        <w:t xml:space="preserve">among </w:t>
      </w:r>
      <w:r>
        <w:t>black non‐Hispanics</w:t>
      </w:r>
      <w:r w:rsidRPr="00976C18">
        <w:t>, they also saw increased rates of nearly 40% per year from 2012‐2016</w:t>
      </w:r>
      <w:r w:rsidRPr="005F44D7">
        <w:rPr>
          <w:rStyle w:val="FootnoteReference"/>
        </w:rPr>
        <w:footnoteReference w:id="13"/>
      </w:r>
      <w:r w:rsidR="002A5F39">
        <w:t>(Figure 1).</w:t>
      </w:r>
    </w:p>
    <w:p w:rsidR="007E70F2" w:rsidRDefault="007E70F2" w:rsidP="007E70F2">
      <w:pPr>
        <w:pStyle w:val="Caption"/>
        <w:spacing w:after="0"/>
        <w:ind w:firstLine="360"/>
        <w:rPr>
          <w:color w:val="auto"/>
          <w:sz w:val="22"/>
          <w:szCs w:val="22"/>
        </w:rPr>
      </w:pPr>
      <w:r w:rsidRPr="00976C18">
        <w:rPr>
          <w:color w:val="auto"/>
          <w:sz w:val="22"/>
          <w:szCs w:val="22"/>
        </w:rPr>
        <w:t xml:space="preserve">Figure </w:t>
      </w:r>
      <w:r w:rsidRPr="00976C18">
        <w:rPr>
          <w:color w:val="auto"/>
          <w:sz w:val="22"/>
          <w:szCs w:val="22"/>
        </w:rPr>
        <w:fldChar w:fldCharType="begin"/>
      </w:r>
      <w:r w:rsidRPr="00976C18">
        <w:rPr>
          <w:color w:val="auto"/>
          <w:sz w:val="22"/>
          <w:szCs w:val="22"/>
        </w:rPr>
        <w:instrText xml:space="preserve"> SEQ Figure \* ARABIC </w:instrText>
      </w:r>
      <w:r w:rsidRPr="00976C18">
        <w:rPr>
          <w:color w:val="auto"/>
          <w:sz w:val="22"/>
          <w:szCs w:val="22"/>
        </w:rPr>
        <w:fldChar w:fldCharType="separate"/>
      </w:r>
      <w:r w:rsidR="002B3BC3">
        <w:rPr>
          <w:noProof/>
          <w:color w:val="auto"/>
          <w:sz w:val="22"/>
          <w:szCs w:val="22"/>
        </w:rPr>
        <w:t>1</w:t>
      </w:r>
      <w:r w:rsidRPr="00976C18">
        <w:rPr>
          <w:color w:val="auto"/>
          <w:sz w:val="22"/>
          <w:szCs w:val="22"/>
        </w:rPr>
        <w:fldChar w:fldCharType="end"/>
      </w:r>
      <w:r w:rsidRPr="00976C18">
        <w:rPr>
          <w:color w:val="auto"/>
          <w:sz w:val="22"/>
          <w:szCs w:val="22"/>
        </w:rPr>
        <w:t>. Rate of Stimulants in Combination with</w:t>
      </w:r>
      <w:r>
        <w:rPr>
          <w:color w:val="auto"/>
          <w:sz w:val="22"/>
          <w:szCs w:val="22"/>
        </w:rPr>
        <w:t xml:space="preserve"> Any Opioid by Race/Ethnicity, </w:t>
      </w:r>
      <w:r w:rsidRPr="00976C18">
        <w:rPr>
          <w:color w:val="auto"/>
          <w:sz w:val="22"/>
          <w:szCs w:val="22"/>
        </w:rPr>
        <w:t>MA: 2000-2016</w:t>
      </w:r>
    </w:p>
    <w:p w:rsidR="001C5D84" w:rsidRPr="0090040E" w:rsidRDefault="007E70F2" w:rsidP="001C5D84">
      <w:pPr>
        <w:autoSpaceDE w:val="0"/>
        <w:autoSpaceDN w:val="0"/>
        <w:adjustRightInd w:val="0"/>
        <w:rPr>
          <w:b/>
        </w:rPr>
      </w:pPr>
      <w:r>
        <w:rPr>
          <w:noProof/>
        </w:rPr>
        <w:drawing>
          <wp:inline distT="0" distB="0" distL="0" distR="0" wp14:anchorId="6D5D51B5" wp14:editId="3014858A">
            <wp:extent cx="5943600" cy="241935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17D60" w:rsidRPr="005A786A" w:rsidRDefault="001C5D84" w:rsidP="005A786A">
      <w:pPr>
        <w:pStyle w:val="ListParagraph"/>
        <w:numPr>
          <w:ilvl w:val="0"/>
          <w:numId w:val="21"/>
        </w:numPr>
        <w:autoSpaceDE w:val="0"/>
        <w:autoSpaceDN w:val="0"/>
        <w:adjustRightInd w:val="0"/>
        <w:spacing w:after="120" w:line="276" w:lineRule="auto"/>
        <w:rPr>
          <w:rFonts w:cs="Times New Roman"/>
          <w:bCs/>
          <w:i/>
          <w:kern w:val="32"/>
        </w:rPr>
      </w:pPr>
      <w:r w:rsidRPr="008F3ECD">
        <w:lastRenderedPageBreak/>
        <w:t xml:space="preserve">Black </w:t>
      </w:r>
      <w:r>
        <w:t xml:space="preserve">non-Hispanic </w:t>
      </w:r>
      <w:r w:rsidRPr="008F3ECD">
        <w:t>residents in Massachusetts</w:t>
      </w:r>
      <w:r>
        <w:t>,</w:t>
      </w:r>
      <w:r w:rsidRPr="008F3ECD">
        <w:t xml:space="preserve"> and in Boston specifically, were less likely to receive substance use treatment following hospital‐related care for opioid overdos</w:t>
      </w:r>
      <w:r>
        <w:t>e compared with White non-Hispanic residents</w:t>
      </w:r>
      <w:r w:rsidR="002A5F39">
        <w:t xml:space="preserve"> (Figure </w:t>
      </w:r>
      <w:r w:rsidR="00042910">
        <w:t>2</w:t>
      </w:r>
      <w:r w:rsidR="002A5F39">
        <w:t>).</w:t>
      </w:r>
    </w:p>
    <w:p w:rsidR="005A786A" w:rsidRPr="005A786A" w:rsidRDefault="005A786A" w:rsidP="005A786A">
      <w:pPr>
        <w:pStyle w:val="ListParagraph"/>
        <w:autoSpaceDE w:val="0"/>
        <w:autoSpaceDN w:val="0"/>
        <w:adjustRightInd w:val="0"/>
        <w:spacing w:after="120" w:line="276" w:lineRule="auto"/>
        <w:ind w:left="360"/>
        <w:rPr>
          <w:rFonts w:cs="Times New Roman"/>
          <w:bCs/>
          <w:i/>
          <w:kern w:val="32"/>
          <w:sz w:val="14"/>
          <w:szCs w:val="14"/>
        </w:rPr>
      </w:pPr>
    </w:p>
    <w:p w:rsidR="001C5D84" w:rsidRDefault="001C5D84" w:rsidP="001C5D84">
      <w:pPr>
        <w:pStyle w:val="ListParagraph"/>
        <w:rPr>
          <w:b/>
          <w:bCs/>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2</w:t>
      </w:r>
      <w:r w:rsidRPr="00CC16FA">
        <w:rPr>
          <w:b/>
        </w:rPr>
        <w:fldChar w:fldCharType="end"/>
      </w:r>
      <w:r w:rsidRPr="00CC16FA">
        <w:rPr>
          <w:b/>
        </w:rPr>
        <w:t xml:space="preserve">. </w:t>
      </w:r>
      <w:r w:rsidRPr="00AE7F37">
        <w:rPr>
          <w:b/>
          <w:bCs/>
        </w:rPr>
        <w:t>Percentage of Hospital Patient Encounters for Opioid-</w:t>
      </w:r>
      <w:r>
        <w:rPr>
          <w:b/>
          <w:bCs/>
        </w:rPr>
        <w:t>R</w:t>
      </w:r>
      <w:r w:rsidRPr="00AE7F37">
        <w:rPr>
          <w:b/>
          <w:bCs/>
        </w:rPr>
        <w:t xml:space="preserve">elated Overdose Resulting in Substance </w:t>
      </w:r>
      <w:r>
        <w:rPr>
          <w:b/>
          <w:bCs/>
        </w:rPr>
        <w:t>Addiction</w:t>
      </w:r>
      <w:r w:rsidRPr="00AE7F37">
        <w:rPr>
          <w:b/>
          <w:bCs/>
        </w:rPr>
        <w:t xml:space="preserve"> Treatment in 30 Days, by Race/Ethnicity</w:t>
      </w:r>
      <w:r>
        <w:rPr>
          <w:b/>
          <w:bCs/>
        </w:rPr>
        <w:t xml:space="preserve"> </w:t>
      </w:r>
      <w:r w:rsidRPr="00903B49">
        <w:rPr>
          <w:b/>
          <w:bCs/>
        </w:rPr>
        <w:t>and Location</w:t>
      </w:r>
      <w:r>
        <w:rPr>
          <w:b/>
          <w:bCs/>
        </w:rPr>
        <w:t>, MA: 2011-2015</w:t>
      </w:r>
    </w:p>
    <w:p w:rsidR="001C5D84" w:rsidRPr="00D94FE7" w:rsidRDefault="001C5D84" w:rsidP="001C5D84">
      <w:pPr>
        <w:rPr>
          <w:b/>
          <w:bCs/>
        </w:rPr>
      </w:pPr>
    </w:p>
    <w:p w:rsidR="001C5D84" w:rsidRPr="00CF1DFB" w:rsidRDefault="001C5D84" w:rsidP="001C5D84">
      <w:pPr>
        <w:ind w:left="360"/>
        <w:rPr>
          <w:rFonts w:cs="Times New Roman"/>
          <w:bCs/>
          <w:i/>
          <w:kern w:val="32"/>
          <w:sz w:val="8"/>
          <w:szCs w:val="8"/>
        </w:rPr>
      </w:pPr>
      <w:r>
        <w:rPr>
          <w:noProof/>
        </w:rPr>
        <w:drawing>
          <wp:inline distT="0" distB="0" distL="0" distR="0" wp14:anchorId="1E53D17B" wp14:editId="10982711">
            <wp:extent cx="5476875" cy="2762250"/>
            <wp:effectExtent l="0" t="0" r="0" b="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1291D" w:rsidRDefault="00A1291D" w:rsidP="002A5F39">
      <w:pPr>
        <w:pStyle w:val="PlainText"/>
        <w:rPr>
          <w:rFonts w:cs="Arial"/>
          <w:bCs/>
          <w:kern w:val="32"/>
          <w:szCs w:val="22"/>
        </w:rPr>
      </w:pPr>
    </w:p>
    <w:p w:rsidR="005A786A" w:rsidRPr="005A786A" w:rsidRDefault="00A5727E" w:rsidP="005A786A">
      <w:pPr>
        <w:pStyle w:val="PlainText"/>
        <w:numPr>
          <w:ilvl w:val="0"/>
          <w:numId w:val="21"/>
        </w:numPr>
        <w:rPr>
          <w:rFonts w:cs="Arial"/>
          <w:bCs/>
          <w:kern w:val="32"/>
          <w:szCs w:val="22"/>
        </w:rPr>
      </w:pPr>
      <w:r w:rsidRPr="00C61798">
        <w:rPr>
          <w:rFonts w:cs="Arial"/>
          <w:bCs/>
          <w:kern w:val="32"/>
        </w:rPr>
        <w:t>Black non-Hispanic and Hispanic residents in Massachusetts were 24% and 22%, respectively, less likely to receive substance use disorder treatment within 30 days following hospital-relat</w:t>
      </w:r>
      <w:r>
        <w:rPr>
          <w:rFonts w:cs="Arial"/>
          <w:bCs/>
          <w:kern w:val="32"/>
        </w:rPr>
        <w:t>ed care for opioid overdoses than white non-Hispanic residents</w:t>
      </w:r>
      <w:r w:rsidR="001C5D84" w:rsidRPr="00924C98">
        <w:rPr>
          <w:rFonts w:cs="Arial"/>
          <w:bCs/>
          <w:kern w:val="32"/>
          <w:szCs w:val="22"/>
        </w:rPr>
        <w:t xml:space="preserve">, while </w:t>
      </w:r>
      <w:r w:rsidR="001C5D84">
        <w:rPr>
          <w:rFonts w:cs="Arial"/>
          <w:bCs/>
          <w:kern w:val="32"/>
          <w:szCs w:val="22"/>
        </w:rPr>
        <w:t>b</w:t>
      </w:r>
      <w:r w:rsidR="001C5D84" w:rsidRPr="00924C98">
        <w:rPr>
          <w:rFonts w:cs="Arial"/>
          <w:bCs/>
          <w:kern w:val="32"/>
          <w:szCs w:val="22"/>
        </w:rPr>
        <w:t xml:space="preserve">lack </w:t>
      </w:r>
      <w:r w:rsidR="001C5D84">
        <w:rPr>
          <w:rFonts w:cs="Arial"/>
          <w:bCs/>
          <w:kern w:val="32"/>
          <w:szCs w:val="22"/>
        </w:rPr>
        <w:t xml:space="preserve">non-Hispanic </w:t>
      </w:r>
      <w:r w:rsidR="001C5D84" w:rsidRPr="00924C98">
        <w:rPr>
          <w:rFonts w:cs="Arial"/>
          <w:bCs/>
          <w:kern w:val="32"/>
          <w:szCs w:val="22"/>
        </w:rPr>
        <w:t xml:space="preserve">and Hispanic residents in Boston were </w:t>
      </w:r>
      <w:r w:rsidR="001C5D84">
        <w:rPr>
          <w:rFonts w:cs="Arial"/>
          <w:bCs/>
          <w:kern w:val="32"/>
          <w:szCs w:val="22"/>
        </w:rPr>
        <w:t>49</w:t>
      </w:r>
      <w:r w:rsidR="001C5D84" w:rsidRPr="00924C98">
        <w:rPr>
          <w:rFonts w:cs="Arial"/>
          <w:bCs/>
          <w:kern w:val="32"/>
          <w:szCs w:val="22"/>
        </w:rPr>
        <w:t>% and 3</w:t>
      </w:r>
      <w:r w:rsidR="001C5D84">
        <w:rPr>
          <w:rFonts w:cs="Arial"/>
          <w:bCs/>
          <w:kern w:val="32"/>
          <w:szCs w:val="22"/>
        </w:rPr>
        <w:t>1</w:t>
      </w:r>
      <w:r w:rsidR="001C5D84" w:rsidRPr="00924C98">
        <w:rPr>
          <w:rFonts w:cs="Arial"/>
          <w:bCs/>
          <w:kern w:val="32"/>
          <w:szCs w:val="22"/>
        </w:rPr>
        <w:t xml:space="preserve">%, respectively, less likely </w:t>
      </w:r>
      <w:r>
        <w:rPr>
          <w:rFonts w:cs="Arial"/>
          <w:bCs/>
          <w:kern w:val="32"/>
          <w:szCs w:val="22"/>
        </w:rPr>
        <w:t>to received similar treatment compared</w:t>
      </w:r>
      <w:r w:rsidR="001C5D84" w:rsidRPr="00924C98">
        <w:rPr>
          <w:rFonts w:cs="Arial"/>
          <w:bCs/>
          <w:kern w:val="32"/>
          <w:szCs w:val="22"/>
        </w:rPr>
        <w:t xml:space="preserve"> with </w:t>
      </w:r>
      <w:r w:rsidR="001C5D84">
        <w:rPr>
          <w:rFonts w:cs="Arial"/>
          <w:bCs/>
          <w:kern w:val="32"/>
          <w:szCs w:val="22"/>
        </w:rPr>
        <w:t>w</w:t>
      </w:r>
      <w:r w:rsidR="001C5D84" w:rsidRPr="00924C98">
        <w:rPr>
          <w:rFonts w:cs="Arial"/>
          <w:bCs/>
          <w:kern w:val="32"/>
          <w:szCs w:val="22"/>
        </w:rPr>
        <w:t xml:space="preserve">hite </w:t>
      </w:r>
      <w:r w:rsidR="001C5D84">
        <w:rPr>
          <w:rFonts w:cs="Arial"/>
          <w:bCs/>
          <w:kern w:val="32"/>
          <w:szCs w:val="22"/>
        </w:rPr>
        <w:t xml:space="preserve">non-Hispanic </w:t>
      </w:r>
      <w:r w:rsidR="002A5F39">
        <w:rPr>
          <w:rFonts w:cs="Arial"/>
          <w:bCs/>
          <w:kern w:val="32"/>
          <w:szCs w:val="22"/>
        </w:rPr>
        <w:t>residents</w:t>
      </w:r>
      <w:r w:rsidR="002A5F39" w:rsidRPr="002A5F39">
        <w:t xml:space="preserve"> </w:t>
      </w:r>
      <w:r w:rsidR="002A5F39">
        <w:t xml:space="preserve">(Figure </w:t>
      </w:r>
      <w:r w:rsidR="00042910">
        <w:t>3</w:t>
      </w:r>
      <w:r w:rsidR="002A5F39">
        <w:t>).</w:t>
      </w:r>
    </w:p>
    <w:p w:rsidR="004B1F8B" w:rsidRPr="002A5F39" w:rsidRDefault="004B1F8B" w:rsidP="001C5D84">
      <w:pPr>
        <w:pStyle w:val="ListParagraph"/>
        <w:autoSpaceDE w:val="0"/>
        <w:autoSpaceDN w:val="0"/>
        <w:adjustRightInd w:val="0"/>
        <w:ind w:left="360"/>
        <w:rPr>
          <w:rFonts w:cs="Times New Roman"/>
          <w:bCs/>
          <w:kern w:val="32"/>
          <w:sz w:val="8"/>
          <w:szCs w:val="8"/>
        </w:rPr>
      </w:pPr>
    </w:p>
    <w:p w:rsidR="001C5D84" w:rsidRDefault="001C5D84" w:rsidP="005A786A">
      <w:pPr>
        <w:pStyle w:val="Caption"/>
        <w:spacing w:after="0"/>
        <w:ind w:left="720"/>
        <w:rPr>
          <w:color w:val="auto"/>
          <w:sz w:val="22"/>
          <w:szCs w:val="22"/>
        </w:rPr>
      </w:pPr>
      <w:r w:rsidRPr="008F3ECD">
        <w:rPr>
          <w:color w:val="auto"/>
          <w:sz w:val="22"/>
          <w:szCs w:val="22"/>
        </w:rPr>
        <w:t xml:space="preserve">Figure </w:t>
      </w:r>
      <w:r w:rsidRPr="008F3ECD">
        <w:rPr>
          <w:color w:val="auto"/>
          <w:sz w:val="22"/>
          <w:szCs w:val="22"/>
        </w:rPr>
        <w:fldChar w:fldCharType="begin"/>
      </w:r>
      <w:r w:rsidRPr="008F3ECD">
        <w:rPr>
          <w:color w:val="auto"/>
          <w:sz w:val="22"/>
          <w:szCs w:val="22"/>
        </w:rPr>
        <w:instrText xml:space="preserve"> SEQ Figure \* ARABIC </w:instrText>
      </w:r>
      <w:r w:rsidRPr="008F3ECD">
        <w:rPr>
          <w:color w:val="auto"/>
          <w:sz w:val="22"/>
          <w:szCs w:val="22"/>
        </w:rPr>
        <w:fldChar w:fldCharType="separate"/>
      </w:r>
      <w:r w:rsidR="002B3BC3">
        <w:rPr>
          <w:noProof/>
          <w:color w:val="auto"/>
          <w:sz w:val="22"/>
          <w:szCs w:val="22"/>
        </w:rPr>
        <w:t>3</w:t>
      </w:r>
      <w:r w:rsidRPr="008F3ECD">
        <w:rPr>
          <w:color w:val="auto"/>
          <w:sz w:val="22"/>
          <w:szCs w:val="22"/>
        </w:rPr>
        <w:fldChar w:fldCharType="end"/>
      </w:r>
      <w:r w:rsidRPr="008F3ECD">
        <w:rPr>
          <w:color w:val="auto"/>
          <w:sz w:val="22"/>
          <w:szCs w:val="22"/>
        </w:rPr>
        <w:t xml:space="preserve">. Odds of </w:t>
      </w:r>
      <w:r>
        <w:rPr>
          <w:color w:val="auto"/>
          <w:sz w:val="22"/>
          <w:szCs w:val="22"/>
        </w:rPr>
        <w:t>R</w:t>
      </w:r>
      <w:r w:rsidRPr="008F3ECD">
        <w:rPr>
          <w:color w:val="auto"/>
          <w:sz w:val="22"/>
          <w:szCs w:val="22"/>
        </w:rPr>
        <w:t xml:space="preserve">eceiving </w:t>
      </w:r>
      <w:r>
        <w:rPr>
          <w:color w:val="auto"/>
          <w:sz w:val="22"/>
          <w:szCs w:val="22"/>
        </w:rPr>
        <w:t>S</w:t>
      </w:r>
      <w:r w:rsidRPr="008F3ECD">
        <w:rPr>
          <w:color w:val="auto"/>
          <w:sz w:val="22"/>
          <w:szCs w:val="22"/>
        </w:rPr>
        <w:t xml:space="preserve">ubsequent </w:t>
      </w:r>
      <w:r>
        <w:rPr>
          <w:color w:val="auto"/>
          <w:sz w:val="22"/>
          <w:szCs w:val="22"/>
        </w:rPr>
        <w:t>S</w:t>
      </w:r>
      <w:r w:rsidRPr="008F3ECD">
        <w:rPr>
          <w:color w:val="auto"/>
          <w:sz w:val="22"/>
          <w:szCs w:val="22"/>
        </w:rPr>
        <w:t xml:space="preserve">ubstance </w:t>
      </w:r>
      <w:r>
        <w:rPr>
          <w:color w:val="auto"/>
          <w:sz w:val="22"/>
          <w:szCs w:val="22"/>
        </w:rPr>
        <w:t>U</w:t>
      </w:r>
      <w:r w:rsidRPr="008F3ECD">
        <w:rPr>
          <w:color w:val="auto"/>
          <w:sz w:val="22"/>
          <w:szCs w:val="22"/>
        </w:rPr>
        <w:t>se</w:t>
      </w:r>
      <w:r>
        <w:rPr>
          <w:color w:val="auto"/>
          <w:sz w:val="22"/>
          <w:szCs w:val="22"/>
        </w:rPr>
        <w:t xml:space="preserve"> Disorder</w:t>
      </w:r>
      <w:r w:rsidRPr="008F3ECD">
        <w:rPr>
          <w:color w:val="auto"/>
          <w:sz w:val="22"/>
          <w:szCs w:val="22"/>
        </w:rPr>
        <w:t xml:space="preserve"> </w:t>
      </w:r>
      <w:r>
        <w:rPr>
          <w:color w:val="auto"/>
          <w:sz w:val="22"/>
          <w:szCs w:val="22"/>
        </w:rPr>
        <w:t>T</w:t>
      </w:r>
      <w:r w:rsidRPr="008F3ECD">
        <w:rPr>
          <w:color w:val="auto"/>
          <w:sz w:val="22"/>
          <w:szCs w:val="22"/>
        </w:rPr>
        <w:t xml:space="preserve">reatment within 30 days </w:t>
      </w:r>
      <w:r>
        <w:rPr>
          <w:color w:val="auto"/>
          <w:sz w:val="22"/>
          <w:szCs w:val="22"/>
        </w:rPr>
        <w:t>F</w:t>
      </w:r>
      <w:r w:rsidRPr="008F3ECD">
        <w:rPr>
          <w:color w:val="auto"/>
          <w:sz w:val="22"/>
          <w:szCs w:val="22"/>
        </w:rPr>
        <w:t xml:space="preserve">ollowing a </w:t>
      </w:r>
      <w:r>
        <w:rPr>
          <w:color w:val="auto"/>
          <w:sz w:val="22"/>
          <w:szCs w:val="22"/>
        </w:rPr>
        <w:t>H</w:t>
      </w:r>
      <w:r w:rsidRPr="008F3ECD">
        <w:rPr>
          <w:color w:val="auto"/>
          <w:sz w:val="22"/>
          <w:szCs w:val="22"/>
        </w:rPr>
        <w:t xml:space="preserve">ospital </w:t>
      </w:r>
      <w:r>
        <w:rPr>
          <w:color w:val="auto"/>
          <w:sz w:val="22"/>
          <w:szCs w:val="22"/>
        </w:rPr>
        <w:t>P</w:t>
      </w:r>
      <w:r w:rsidRPr="008F3ECD">
        <w:rPr>
          <w:color w:val="auto"/>
          <w:sz w:val="22"/>
          <w:szCs w:val="22"/>
        </w:rPr>
        <w:t xml:space="preserve">atient </w:t>
      </w:r>
      <w:r>
        <w:rPr>
          <w:color w:val="auto"/>
          <w:sz w:val="22"/>
          <w:szCs w:val="22"/>
        </w:rPr>
        <w:t>E</w:t>
      </w:r>
      <w:r w:rsidRPr="008F3ECD">
        <w:rPr>
          <w:color w:val="auto"/>
          <w:sz w:val="22"/>
          <w:szCs w:val="22"/>
        </w:rPr>
        <w:t xml:space="preserve">ncounter for </w:t>
      </w:r>
      <w:r>
        <w:rPr>
          <w:color w:val="auto"/>
          <w:sz w:val="22"/>
          <w:szCs w:val="22"/>
        </w:rPr>
        <w:t>O</w:t>
      </w:r>
      <w:r w:rsidRPr="008F3ECD">
        <w:rPr>
          <w:color w:val="auto"/>
          <w:sz w:val="22"/>
          <w:szCs w:val="22"/>
        </w:rPr>
        <w:t xml:space="preserve">pioid </w:t>
      </w:r>
      <w:r>
        <w:rPr>
          <w:color w:val="auto"/>
          <w:sz w:val="22"/>
          <w:szCs w:val="22"/>
        </w:rPr>
        <w:t>O</w:t>
      </w:r>
      <w:r w:rsidRPr="008F3ECD">
        <w:rPr>
          <w:color w:val="auto"/>
          <w:sz w:val="22"/>
          <w:szCs w:val="22"/>
        </w:rPr>
        <w:t>verdose</w:t>
      </w:r>
      <w:r>
        <w:rPr>
          <w:color w:val="auto"/>
          <w:sz w:val="22"/>
          <w:szCs w:val="22"/>
        </w:rPr>
        <w:t>, MA</w:t>
      </w:r>
      <w:r w:rsidRPr="008F3ECD">
        <w:rPr>
          <w:color w:val="auto"/>
          <w:sz w:val="22"/>
          <w:szCs w:val="22"/>
        </w:rPr>
        <w:t>: 2011-2015</w:t>
      </w:r>
    </w:p>
    <w:p w:rsidR="001C5D84" w:rsidRPr="008F3ECD" w:rsidRDefault="00367BF3" w:rsidP="00851D4D">
      <w:pPr>
        <w:rPr>
          <w:rFonts w:cs="Times New Roman"/>
          <w:kern w:val="32"/>
        </w:rPr>
      </w:pPr>
      <w:r>
        <w:rPr>
          <w:noProof/>
        </w:rPr>
        <w:drawing>
          <wp:inline distT="0" distB="0" distL="0" distR="0" wp14:anchorId="381F6050" wp14:editId="26BEAC30">
            <wp:extent cx="5848350" cy="218122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E6E55" w:rsidRPr="003E6E55" w:rsidRDefault="003E6E55" w:rsidP="00455F94">
      <w:pPr>
        <w:pStyle w:val="PlainText"/>
        <w:rPr>
          <w:rFonts w:cs="Arial"/>
          <w:bCs/>
          <w:kern w:val="32"/>
          <w:szCs w:val="22"/>
        </w:rPr>
      </w:pPr>
    </w:p>
    <w:p w:rsidR="005A786A" w:rsidRPr="00127992" w:rsidRDefault="005A786A" w:rsidP="005A786A">
      <w:pPr>
        <w:pStyle w:val="PlainText"/>
        <w:numPr>
          <w:ilvl w:val="0"/>
          <w:numId w:val="21"/>
        </w:numPr>
        <w:rPr>
          <w:rFonts w:cs="Arial"/>
          <w:bCs/>
          <w:kern w:val="32"/>
          <w:szCs w:val="22"/>
        </w:rPr>
      </w:pPr>
      <w:r>
        <w:t xml:space="preserve">For more information on inequities in the SUD treatment cascade by race and Hispanic ethnicity, please see Section on People Already in Treatment on page </w:t>
      </w:r>
      <w:r w:rsidR="000962DC">
        <w:t>38</w:t>
      </w:r>
      <w:r>
        <w:t>.</w:t>
      </w:r>
    </w:p>
    <w:p w:rsidR="001C5D84" w:rsidRPr="00D3478C" w:rsidRDefault="001C5D84" w:rsidP="001C5D84">
      <w:pPr>
        <w:pStyle w:val="Heading2"/>
        <w:rPr>
          <w:sz w:val="36"/>
          <w:szCs w:val="36"/>
        </w:rPr>
      </w:pPr>
      <w:r w:rsidRPr="008F3ECD">
        <w:rPr>
          <w:kern w:val="32"/>
        </w:rPr>
        <w:br w:type="page"/>
      </w:r>
      <w:bookmarkStart w:id="8" w:name="_Toc20134877"/>
      <w:r w:rsidRPr="00D3478C">
        <w:rPr>
          <w:sz w:val="36"/>
          <w:szCs w:val="36"/>
        </w:rPr>
        <w:lastRenderedPageBreak/>
        <w:t>Women</w:t>
      </w:r>
      <w:bookmarkEnd w:id="8"/>
      <w:r w:rsidRPr="00D3478C">
        <w:rPr>
          <w:sz w:val="36"/>
          <w:szCs w:val="36"/>
        </w:rPr>
        <w:tab/>
      </w:r>
    </w:p>
    <w:p w:rsidR="001C5D84" w:rsidRPr="002123FC" w:rsidRDefault="001C5D84" w:rsidP="001C5D84"/>
    <w:p w:rsidR="001C5D84" w:rsidRPr="00342AD4" w:rsidRDefault="001C5D84" w:rsidP="001C5D84">
      <w:pPr>
        <w:rPr>
          <w:rFonts w:cs="Times New Roman"/>
          <w:b/>
        </w:rPr>
      </w:pPr>
      <w:r>
        <w:rPr>
          <w:rFonts w:cs="Times New Roman"/>
          <w:b/>
        </w:rPr>
        <w:t xml:space="preserve">Background: </w:t>
      </w:r>
    </w:p>
    <w:p w:rsidR="001C5D84" w:rsidRPr="00342AD4" w:rsidRDefault="005F44D7" w:rsidP="001C5D84">
      <w:pPr>
        <w:autoSpaceDE w:val="0"/>
        <w:autoSpaceDN w:val="0"/>
        <w:adjustRightInd w:val="0"/>
        <w:rPr>
          <w:rFonts w:cs="AdvOTa54b5d5d"/>
        </w:rPr>
      </w:pPr>
      <w:r w:rsidRPr="004A4821">
        <w:rPr>
          <w:rFonts w:cs="Times New Roman"/>
        </w:rPr>
        <w:t>Opioid-related overdose deaths have more than quadrupled over the past 15 years, representing a public health emergency</w:t>
      </w:r>
      <w:r>
        <w:rPr>
          <w:rFonts w:cs="Times New Roman"/>
        </w:rPr>
        <w:t>.</w:t>
      </w:r>
      <w:r w:rsidRPr="005F44D7">
        <w:rPr>
          <w:rStyle w:val="FootnoteReference"/>
        </w:rPr>
        <w:footnoteReference w:id="14"/>
      </w:r>
      <w:r w:rsidRPr="004A4821">
        <w:rPr>
          <w:rFonts w:cs="Times New Roman"/>
          <w:vertAlign w:val="superscript"/>
        </w:rPr>
        <w:t>,</w:t>
      </w:r>
      <w:r w:rsidRPr="005F44D7">
        <w:rPr>
          <w:rStyle w:val="FootnoteReference"/>
        </w:rPr>
        <w:footnoteReference w:id="15"/>
      </w:r>
      <w:r>
        <w:rPr>
          <w:rFonts w:ascii="Calibri" w:hAnsi="Calibri"/>
        </w:rPr>
        <w:t xml:space="preserve"> </w:t>
      </w:r>
      <w:hyperlink r:id="rId32" w:history="1">
        <w:r w:rsidRPr="00B0004B">
          <w:rPr>
            <w:rStyle w:val="Hyperlink"/>
            <w:rFonts w:ascii="Calibri" w:hAnsi="Calibri" w:cstheme="minorBidi"/>
          </w:rPr>
          <w:t>Previous findings</w:t>
        </w:r>
      </w:hyperlink>
      <w:r>
        <w:rPr>
          <w:rFonts w:ascii="Calibri" w:hAnsi="Calibri"/>
        </w:rPr>
        <w:t xml:space="preserve"> indicate</w:t>
      </w:r>
      <w:r w:rsidRPr="004A4821">
        <w:rPr>
          <w:rFonts w:ascii="Calibri" w:hAnsi="Calibri"/>
        </w:rPr>
        <w:t xml:space="preserve"> that </w:t>
      </w:r>
      <w:r>
        <w:rPr>
          <w:rFonts w:ascii="Calibri" w:hAnsi="Calibri" w:cs="Arial"/>
        </w:rPr>
        <w:t>w</w:t>
      </w:r>
      <w:r w:rsidRPr="004A4821">
        <w:rPr>
          <w:rFonts w:ascii="Calibri" w:hAnsi="Calibri" w:cs="Arial"/>
        </w:rPr>
        <w:t xml:space="preserve">omen are significantly more likely than men to receive Schedule II and III opioids from </w:t>
      </w:r>
      <w:r>
        <w:rPr>
          <w:rFonts w:ascii="Calibri" w:hAnsi="Calibri" w:cs="Arial"/>
        </w:rPr>
        <w:t>three</w:t>
      </w:r>
      <w:r w:rsidRPr="004A4821">
        <w:rPr>
          <w:rFonts w:ascii="Calibri" w:hAnsi="Calibri" w:cs="Arial"/>
        </w:rPr>
        <w:t xml:space="preserve"> or more prescribers and obtain them from </w:t>
      </w:r>
      <w:r>
        <w:rPr>
          <w:rFonts w:ascii="Calibri" w:hAnsi="Calibri" w:cs="Arial"/>
        </w:rPr>
        <w:t>three</w:t>
      </w:r>
      <w:r w:rsidRPr="004A4821">
        <w:rPr>
          <w:rFonts w:ascii="Calibri" w:hAnsi="Calibri" w:cs="Arial"/>
        </w:rPr>
        <w:t xml:space="preserve"> or more pharmacies. </w:t>
      </w:r>
      <w:r w:rsidR="001C5D84" w:rsidRPr="004A4821">
        <w:rPr>
          <w:rFonts w:ascii="Calibri" w:hAnsi="Calibri" w:cs="Arial"/>
        </w:rPr>
        <w:t>Obtaining Schedule II and III opioid prescriptions from multiple prescribers and filling them at multiple pharmacies are significant risk factors for subsequent opioid-related death.</w:t>
      </w:r>
      <w:r w:rsidR="001C5D84" w:rsidRPr="004A4821">
        <w:rPr>
          <w:rFonts w:ascii="AdvOTa54b5d5d" w:hAnsi="AdvOTa54b5d5d" w:cs="AdvOTa54b5d5d"/>
          <w:sz w:val="20"/>
          <w:szCs w:val="20"/>
        </w:rPr>
        <w:t xml:space="preserve"> </w:t>
      </w:r>
      <w:r w:rsidR="001C5D84" w:rsidRPr="004A4821">
        <w:rPr>
          <w:rFonts w:cs="AdvOTa54b5d5d"/>
        </w:rPr>
        <w:t xml:space="preserve">The rates of heroin use and prescription opioid-related overdose deaths are </w:t>
      </w:r>
      <w:r w:rsidR="001C5D84">
        <w:rPr>
          <w:rFonts w:cs="AdvOTa54b5d5d"/>
        </w:rPr>
        <w:t>rising</w:t>
      </w:r>
      <w:r w:rsidR="001C5D84" w:rsidRPr="004A4821">
        <w:rPr>
          <w:rFonts w:cs="AdvOTa54b5d5d"/>
        </w:rPr>
        <w:t xml:space="preserve"> faster in women than in men, particularly</w:t>
      </w:r>
      <w:r w:rsidR="001C5D84">
        <w:rPr>
          <w:rFonts w:cs="AdvOTa54b5d5d"/>
        </w:rPr>
        <w:t xml:space="preserve"> </w:t>
      </w:r>
      <w:r w:rsidR="001C5D84" w:rsidRPr="004A4821">
        <w:rPr>
          <w:rFonts w:cs="AdvOTa54b5d5d"/>
        </w:rPr>
        <w:t>women of reproductive age</w:t>
      </w:r>
      <w:r w:rsidR="001C5D84">
        <w:rPr>
          <w:rFonts w:cs="AdvOTa54b5d5d"/>
        </w:rPr>
        <w:t>.</w:t>
      </w:r>
      <w:r w:rsidR="001C5D84" w:rsidRPr="005F44D7">
        <w:rPr>
          <w:rStyle w:val="FootnoteReference"/>
        </w:rPr>
        <w:footnoteReference w:id="16"/>
      </w:r>
      <w:r w:rsidR="001C5D84" w:rsidRPr="00342AD4">
        <w:rPr>
          <w:rFonts w:cs="AdvOTa54b5d5d"/>
          <w:vertAlign w:val="superscript"/>
        </w:rPr>
        <w:t>,</w:t>
      </w:r>
      <w:r w:rsidR="001C5D84" w:rsidRPr="005F44D7">
        <w:rPr>
          <w:rStyle w:val="FootnoteReference"/>
        </w:rPr>
        <w:footnoteReference w:id="17"/>
      </w:r>
    </w:p>
    <w:p w:rsidR="001C5D84" w:rsidRDefault="001C5D84" w:rsidP="001C5D84">
      <w:pPr>
        <w:rPr>
          <w:rFonts w:ascii="Calibri" w:hAnsi="Calibri"/>
        </w:rPr>
      </w:pPr>
    </w:p>
    <w:p w:rsidR="001C5D84" w:rsidRPr="004A4821" w:rsidRDefault="001C5D84" w:rsidP="001C5D84">
      <w:pPr>
        <w:rPr>
          <w:rFonts w:eastAsia="Times New Roman" w:cs="Times New Roman"/>
          <w:color w:val="000000"/>
        </w:rPr>
      </w:pPr>
      <w:r w:rsidRPr="004A4821">
        <w:rPr>
          <w:rFonts w:ascii="Calibri" w:hAnsi="Calibri"/>
        </w:rPr>
        <w:t>Opioid-related overdose has been identified as a major contributor to pregnancy-associated deaths (i.e. deaths during or in the year after pregnancy) nationally and in Massachusetts</w:t>
      </w:r>
      <w:r>
        <w:rPr>
          <w:rFonts w:ascii="Calibri" w:hAnsi="Calibri"/>
        </w:rPr>
        <w:t>.</w:t>
      </w:r>
      <w:r w:rsidRPr="005F44D7">
        <w:rPr>
          <w:rStyle w:val="FootnoteReference"/>
        </w:rPr>
        <w:footnoteReference w:id="18"/>
      </w:r>
      <w:r w:rsidRPr="004A4821">
        <w:rPr>
          <w:rFonts w:cs="Times New Roman"/>
        </w:rPr>
        <w:t xml:space="preserve"> Among all pregnancy associated deaths, 11</w:t>
      </w:r>
      <w:r>
        <w:rPr>
          <w:rFonts w:cs="Times New Roman"/>
        </w:rPr>
        <w:t>-</w:t>
      </w:r>
      <w:r w:rsidRPr="004A4821">
        <w:rPr>
          <w:rFonts w:cs="Times New Roman"/>
        </w:rPr>
        <w:t>20% were the result of opioid overdose</w:t>
      </w:r>
      <w:r>
        <w:rPr>
          <w:rFonts w:cs="Times New Roman"/>
        </w:rPr>
        <w:t>.</w:t>
      </w:r>
      <w:r w:rsidRPr="005F44D7">
        <w:rPr>
          <w:rStyle w:val="FootnoteReference"/>
        </w:rPr>
        <w:footnoteReference w:id="19"/>
      </w:r>
      <w:r w:rsidRPr="004A4821">
        <w:rPr>
          <w:rFonts w:cs="Times New Roman"/>
          <w:vertAlign w:val="superscript"/>
        </w:rPr>
        <w:t>,</w:t>
      </w:r>
      <w:r w:rsidRPr="005F44D7">
        <w:rPr>
          <w:rStyle w:val="FootnoteReference"/>
        </w:rPr>
        <w:footnoteReference w:id="20"/>
      </w:r>
      <w:r w:rsidRPr="004A4821">
        <w:rPr>
          <w:rFonts w:cs="Times New Roman"/>
          <w:vertAlign w:val="superscript"/>
        </w:rPr>
        <w:t>,</w:t>
      </w:r>
      <w:r w:rsidRPr="005F44D7">
        <w:rPr>
          <w:rStyle w:val="FootnoteReference"/>
        </w:rPr>
        <w:footnoteReference w:id="21"/>
      </w:r>
      <w:r w:rsidRPr="004A4821">
        <w:rPr>
          <w:rFonts w:cs="Times New Roman"/>
        </w:rPr>
        <w:t xml:space="preserve"> Recent estimates of opioid use disorder (OUD) range from 0.4 to 0.8% during pregnancy to 2% among women of reproductive age</w:t>
      </w:r>
      <w:r>
        <w:rPr>
          <w:rFonts w:cs="Times New Roman"/>
        </w:rPr>
        <w:t>.</w:t>
      </w:r>
      <w:r w:rsidRPr="005F44D7">
        <w:rPr>
          <w:rStyle w:val="FootnoteReference"/>
        </w:rPr>
        <w:footnoteReference w:id="22"/>
      </w:r>
      <w:r w:rsidRPr="004A4821">
        <w:rPr>
          <w:rFonts w:cs="Times New Roman"/>
        </w:rPr>
        <w:t xml:space="preserve">  Pregnancy is often seen as a motivating time for women to reduce substance use and begin substance use treatment; </w:t>
      </w:r>
      <w:r w:rsidRPr="004A4821">
        <w:rPr>
          <w:rFonts w:ascii="Calibri" w:hAnsi="Calibri"/>
        </w:rPr>
        <w:t xml:space="preserve">however, the postpartum period can also be a stressful time when women are at increased risk of </w:t>
      </w:r>
      <w:r>
        <w:rPr>
          <w:rFonts w:ascii="Calibri" w:hAnsi="Calibri"/>
        </w:rPr>
        <w:t xml:space="preserve">opioid </w:t>
      </w:r>
      <w:r w:rsidRPr="004A4821">
        <w:rPr>
          <w:rFonts w:ascii="Calibri" w:hAnsi="Calibri"/>
        </w:rPr>
        <w:t>overdose</w:t>
      </w:r>
      <w:r>
        <w:rPr>
          <w:rFonts w:ascii="Calibri" w:hAnsi="Calibri"/>
        </w:rPr>
        <w:t>.</w:t>
      </w:r>
      <w:r w:rsidRPr="005F44D7">
        <w:rPr>
          <w:rStyle w:val="FootnoteReference"/>
        </w:rPr>
        <w:footnoteReference w:id="23"/>
      </w:r>
      <w:r w:rsidRPr="004A4821">
        <w:rPr>
          <w:rFonts w:cs="Times New Roman"/>
          <w:vertAlign w:val="superscript"/>
        </w:rPr>
        <w:t>,</w:t>
      </w:r>
      <w:r w:rsidRPr="005F44D7">
        <w:rPr>
          <w:rStyle w:val="FootnoteReference"/>
        </w:rPr>
        <w:footnoteReference w:id="24"/>
      </w:r>
      <w:r w:rsidRPr="004A4821">
        <w:rPr>
          <w:rFonts w:ascii="Calibri" w:hAnsi="Calibri"/>
        </w:rPr>
        <w:t xml:space="preserve"> There is a need for more information</w:t>
      </w:r>
      <w:r>
        <w:rPr>
          <w:rFonts w:ascii="Calibri" w:hAnsi="Calibri"/>
        </w:rPr>
        <w:t xml:space="preserve"> on</w:t>
      </w:r>
      <w:r w:rsidRPr="004A4821">
        <w:rPr>
          <w:rFonts w:ascii="Calibri" w:hAnsi="Calibri"/>
        </w:rPr>
        <w:t xml:space="preserve"> subgroups of women who are most likely to experience an opioid-related overdose, to allow healthcare providers and policy makers to provide additional supports.</w:t>
      </w:r>
    </w:p>
    <w:p w:rsidR="001C5D84" w:rsidRDefault="001C5D84" w:rsidP="001C5D84">
      <w:pPr>
        <w:rPr>
          <w:rFonts w:eastAsia="Times New Roman" w:cs="Times New Roman"/>
          <w:b/>
          <w:color w:val="000000"/>
        </w:rPr>
      </w:pPr>
    </w:p>
    <w:p w:rsidR="001C5D84" w:rsidRPr="00604E29" w:rsidRDefault="001C5D84" w:rsidP="001C5D84">
      <w:pPr>
        <w:rPr>
          <w:rFonts w:eastAsia="Times New Roman" w:cs="Times New Roman"/>
          <w:b/>
          <w:color w:val="000000"/>
        </w:rPr>
      </w:pPr>
      <w:r>
        <w:rPr>
          <w:rFonts w:eastAsia="Times New Roman" w:cs="Times New Roman"/>
          <w:b/>
          <w:color w:val="000000"/>
        </w:rPr>
        <w:t xml:space="preserve">Key Findings: </w:t>
      </w:r>
      <w:r w:rsidRPr="00604E29">
        <w:rPr>
          <w:rFonts w:eastAsia="Times New Roman" w:cs="Times New Roman"/>
          <w:b/>
          <w:color w:val="000000"/>
        </w:rPr>
        <w:t>Overall Women</w:t>
      </w:r>
    </w:p>
    <w:p w:rsidR="007E70F2" w:rsidRPr="005F44D7" w:rsidRDefault="007E70F2" w:rsidP="007E70F2">
      <w:pPr>
        <w:pStyle w:val="ListParagraph"/>
        <w:numPr>
          <w:ilvl w:val="0"/>
          <w:numId w:val="20"/>
        </w:numPr>
        <w:rPr>
          <w:i/>
        </w:rPr>
      </w:pPr>
      <w:r w:rsidRPr="0090040E">
        <w:rPr>
          <w:rFonts w:cs="AdvOTa54b5d5d"/>
        </w:rPr>
        <w:t xml:space="preserve">Compared </w:t>
      </w:r>
      <w:r w:rsidRPr="0090040E">
        <w:t>with all women who delivered a live birth</w:t>
      </w:r>
      <w:r w:rsidRPr="0090040E">
        <w:rPr>
          <w:rFonts w:cs="AdvOTa54b5d5d"/>
        </w:rPr>
        <w:t xml:space="preserve"> and all women with evidence of </w:t>
      </w:r>
      <w:r>
        <w:rPr>
          <w:rFonts w:cs="AdvOTa54b5d5d"/>
        </w:rPr>
        <w:t>Opioid Use Disorder (</w:t>
      </w:r>
      <w:r w:rsidRPr="0090040E">
        <w:rPr>
          <w:rFonts w:cs="AdvOTa54b5d5d"/>
        </w:rPr>
        <w:t>OUD</w:t>
      </w:r>
      <w:r>
        <w:rPr>
          <w:rFonts w:cs="AdvOTa54b5d5d"/>
        </w:rPr>
        <w:t>)</w:t>
      </w:r>
      <w:r w:rsidRPr="0090040E">
        <w:rPr>
          <w:rFonts w:cs="AdvOTa54b5d5d"/>
        </w:rPr>
        <w:t xml:space="preserve"> who had no overdose events, women with an overdos</w:t>
      </w:r>
      <w:r>
        <w:rPr>
          <w:rFonts w:cs="AdvOTa54b5d5d"/>
        </w:rPr>
        <w:t>e event were more likely to be w</w:t>
      </w:r>
      <w:r w:rsidRPr="0090040E">
        <w:rPr>
          <w:rFonts w:cs="AdvOTa54b5d5d"/>
        </w:rPr>
        <w:t xml:space="preserve">hite non-Hispanics: </w:t>
      </w:r>
      <w:r w:rsidRPr="0090040E">
        <w:t xml:space="preserve">87% of women </w:t>
      </w:r>
      <w:r w:rsidRPr="0090040E">
        <w:rPr>
          <w:rFonts w:cs="AdvOTa54b5d5d"/>
        </w:rPr>
        <w:t xml:space="preserve">with evidence of OUD and </w:t>
      </w:r>
      <w:r w:rsidRPr="0090040E">
        <w:t xml:space="preserve">with an opioid overdose event were </w:t>
      </w:r>
      <w:r w:rsidRPr="0090040E">
        <w:lastRenderedPageBreak/>
        <w:t>white non-Hispanics compared with 62% of women who delivered a live birth without OUD</w:t>
      </w:r>
      <w:r w:rsidRPr="005F44D7">
        <w:rPr>
          <w:rStyle w:val="FootnoteReference"/>
        </w:rPr>
        <w:footnoteReference w:id="25"/>
      </w:r>
      <w:r w:rsidRPr="0090040E">
        <w:t xml:space="preserve"> </w:t>
      </w:r>
      <w:r w:rsidR="002A5F39">
        <w:t xml:space="preserve">(Figure </w:t>
      </w:r>
      <w:r w:rsidR="00042910">
        <w:t>4</w:t>
      </w:r>
      <w:r w:rsidR="002A5F39">
        <w:t>).</w:t>
      </w:r>
    </w:p>
    <w:p w:rsidR="005F44D7" w:rsidRDefault="005F44D7" w:rsidP="005F44D7">
      <w:pPr>
        <w:pStyle w:val="ListParagraph"/>
        <w:ind w:left="360"/>
        <w:rPr>
          <w:i/>
        </w:rPr>
      </w:pPr>
    </w:p>
    <w:p w:rsidR="004472F6" w:rsidRPr="007E70F2" w:rsidRDefault="004472F6" w:rsidP="005F44D7">
      <w:pPr>
        <w:pStyle w:val="ListParagraph"/>
        <w:ind w:left="360"/>
        <w:rPr>
          <w:i/>
        </w:rPr>
      </w:pPr>
    </w:p>
    <w:p w:rsidR="007E70F2" w:rsidRPr="007E70F2" w:rsidRDefault="007E70F2" w:rsidP="007E70F2">
      <w:pPr>
        <w:pStyle w:val="ListParagraph"/>
        <w:autoSpaceDE w:val="0"/>
        <w:autoSpaceDN w:val="0"/>
        <w:adjustRightInd w:val="0"/>
        <w:ind w:left="360"/>
        <w:rPr>
          <w:rFonts w:cs="AdvPSA538"/>
          <w:b/>
        </w:rPr>
      </w:pPr>
      <w:r w:rsidRPr="007E70F2">
        <w:rPr>
          <w:b/>
        </w:rPr>
        <w:t xml:space="preserve">Figure </w:t>
      </w:r>
      <w:r w:rsidRPr="007E70F2">
        <w:rPr>
          <w:b/>
        </w:rPr>
        <w:fldChar w:fldCharType="begin"/>
      </w:r>
      <w:r w:rsidRPr="007E70F2">
        <w:rPr>
          <w:b/>
        </w:rPr>
        <w:instrText xml:space="preserve"> SEQ Figure \* ARABIC </w:instrText>
      </w:r>
      <w:r w:rsidRPr="007E70F2">
        <w:rPr>
          <w:b/>
        </w:rPr>
        <w:fldChar w:fldCharType="separate"/>
      </w:r>
      <w:r w:rsidR="002B3BC3">
        <w:rPr>
          <w:b/>
          <w:noProof/>
        </w:rPr>
        <w:t>4</w:t>
      </w:r>
      <w:r w:rsidRPr="007E70F2">
        <w:rPr>
          <w:b/>
        </w:rPr>
        <w:fldChar w:fldCharType="end"/>
      </w:r>
      <w:r w:rsidRPr="007E70F2">
        <w:rPr>
          <w:b/>
        </w:rPr>
        <w:t xml:space="preserve">. </w:t>
      </w:r>
      <w:r w:rsidRPr="007E70F2">
        <w:rPr>
          <w:rFonts w:cs="AdvPSA538"/>
          <w:b/>
        </w:rPr>
        <w:t>White non-Hispanic Mothers by Maternal Overdose Event During the 12 Months Before or After Delivery, MA: January 1, 2012 to September 30, 2014</w:t>
      </w:r>
    </w:p>
    <w:p w:rsidR="007E70F2" w:rsidRPr="005F44D7" w:rsidRDefault="00A5727E" w:rsidP="00A5727E">
      <w:pPr>
        <w:pStyle w:val="ListParagraph"/>
        <w:ind w:left="360"/>
        <w:jc w:val="center"/>
        <w:rPr>
          <w:i/>
        </w:rPr>
      </w:pPr>
      <w:r>
        <w:rPr>
          <w:noProof/>
        </w:rPr>
        <w:drawing>
          <wp:inline distT="0" distB="0" distL="0" distR="0" wp14:anchorId="7BE08014" wp14:editId="6E9E8CE1">
            <wp:extent cx="5591175" cy="2343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07FCC" w:rsidRDefault="00507FCC" w:rsidP="00507FCC">
      <w:pPr>
        <w:pStyle w:val="ListParagraph"/>
        <w:ind w:left="360"/>
        <w:rPr>
          <w:rFonts w:eastAsia="Times New Roman" w:cs="Times New Roman"/>
          <w:color w:val="000000"/>
        </w:rPr>
      </w:pPr>
    </w:p>
    <w:p w:rsidR="00507FCC" w:rsidRPr="00A5727E" w:rsidRDefault="00507FCC" w:rsidP="00A5727E">
      <w:pPr>
        <w:rPr>
          <w:rFonts w:eastAsia="Times New Roman" w:cs="Times New Roman"/>
          <w:color w:val="000000"/>
        </w:rPr>
      </w:pPr>
    </w:p>
    <w:p w:rsidR="001C5D84" w:rsidRDefault="001C5D84" w:rsidP="001C5D84">
      <w:pPr>
        <w:pStyle w:val="ListParagraph"/>
        <w:numPr>
          <w:ilvl w:val="0"/>
          <w:numId w:val="20"/>
        </w:numPr>
        <w:rPr>
          <w:rFonts w:eastAsia="Times New Roman" w:cs="Times New Roman"/>
          <w:color w:val="000000"/>
        </w:rPr>
      </w:pPr>
      <w:r w:rsidRPr="001D4F30">
        <w:rPr>
          <w:rFonts w:eastAsia="Times New Roman" w:cs="Times New Roman"/>
          <w:color w:val="000000"/>
        </w:rPr>
        <w:t xml:space="preserve">Between 2014 and 2015, an overwhelming majority </w:t>
      </w:r>
      <w:r>
        <w:rPr>
          <w:rFonts w:eastAsia="Times New Roman" w:cs="Times New Roman"/>
          <w:color w:val="000000"/>
        </w:rPr>
        <w:t xml:space="preserve">(almost 80%) </w:t>
      </w:r>
      <w:r w:rsidRPr="001D4F30">
        <w:rPr>
          <w:rFonts w:eastAsia="Times New Roman" w:cs="Times New Roman"/>
          <w:color w:val="000000"/>
        </w:rPr>
        <w:t xml:space="preserve">of the opioid-related overdose deaths had either stimulants or another drug </w:t>
      </w:r>
      <w:r>
        <w:rPr>
          <w:rFonts w:eastAsia="Times New Roman" w:cs="Times New Roman"/>
          <w:color w:val="000000"/>
        </w:rPr>
        <w:t>in</w:t>
      </w:r>
      <w:r w:rsidRPr="001D4F30">
        <w:rPr>
          <w:rFonts w:eastAsia="Times New Roman" w:cs="Times New Roman"/>
          <w:color w:val="000000"/>
        </w:rPr>
        <w:t xml:space="preserve"> toxicology </w:t>
      </w:r>
      <w:r>
        <w:rPr>
          <w:rFonts w:eastAsia="Times New Roman" w:cs="Times New Roman"/>
          <w:color w:val="000000"/>
        </w:rPr>
        <w:t xml:space="preserve">analysis </w:t>
      </w:r>
      <w:r w:rsidRPr="001D4F30">
        <w:rPr>
          <w:rFonts w:eastAsia="Times New Roman" w:cs="Times New Roman"/>
          <w:color w:val="000000"/>
        </w:rPr>
        <w:t xml:space="preserve">at the time of death. </w:t>
      </w:r>
      <w:r>
        <w:rPr>
          <w:rFonts w:eastAsia="Times New Roman" w:cs="Times New Roman"/>
          <w:color w:val="000000"/>
        </w:rPr>
        <w:t>Women</w:t>
      </w:r>
      <w:r w:rsidRPr="001D4F30">
        <w:rPr>
          <w:rFonts w:eastAsia="Times New Roman" w:cs="Times New Roman"/>
          <w:color w:val="000000"/>
        </w:rPr>
        <w:t xml:space="preserve"> were almost 1.5 times more likely than men to overdose with a combination of opioids, stimulants, and another drug in their system than opioids alone (OR: </w:t>
      </w:r>
      <w:r>
        <w:rPr>
          <w:rFonts w:eastAsia="Times New Roman" w:cs="Times New Roman"/>
          <w:color w:val="000000"/>
        </w:rPr>
        <w:t>1.43, 95% CI: 1.06-1.93).</w:t>
      </w:r>
      <w:r w:rsidRPr="001D4F30">
        <w:rPr>
          <w:rFonts w:eastAsia="Times New Roman" w:cs="Times New Roman"/>
          <w:color w:val="000000"/>
        </w:rPr>
        <w:t xml:space="preserve"> </w:t>
      </w:r>
    </w:p>
    <w:p w:rsidR="008524B6" w:rsidRDefault="008524B6" w:rsidP="008524B6">
      <w:pPr>
        <w:pStyle w:val="ListParagraph"/>
        <w:ind w:left="360"/>
        <w:rPr>
          <w:rFonts w:eastAsia="Times New Roman" w:cs="Times New Roman"/>
          <w:color w:val="000000"/>
        </w:rPr>
      </w:pPr>
    </w:p>
    <w:p w:rsidR="001C5D84" w:rsidRPr="00604E29" w:rsidRDefault="001C5D84" w:rsidP="001C5D84">
      <w:pPr>
        <w:pStyle w:val="ListParagraph"/>
        <w:numPr>
          <w:ilvl w:val="0"/>
          <w:numId w:val="20"/>
        </w:numPr>
        <w:rPr>
          <w:rFonts w:eastAsia="Times New Roman" w:cs="Times New Roman"/>
          <w:color w:val="000000"/>
        </w:rPr>
      </w:pPr>
      <w:r w:rsidRPr="00324E8F">
        <w:rPr>
          <w:rFonts w:eastAsia="Times New Roman" w:cs="Times New Roman"/>
          <w:color w:val="000000"/>
        </w:rPr>
        <w:t xml:space="preserve">Between 2012 and 2014, </w:t>
      </w:r>
      <w:r>
        <w:rPr>
          <w:rFonts w:eastAsia="Times New Roman" w:cs="Times New Roman"/>
          <w:color w:val="000000"/>
        </w:rPr>
        <w:t xml:space="preserve">adolescents (ages 11-17) </w:t>
      </w:r>
      <w:r w:rsidRPr="00604E29">
        <w:rPr>
          <w:rFonts w:eastAsia="Times New Roman" w:cs="Times New Roman"/>
          <w:color w:val="000000"/>
        </w:rPr>
        <w:t xml:space="preserve">experiencing non-fatal </w:t>
      </w:r>
      <w:r>
        <w:rPr>
          <w:rFonts w:eastAsia="Times New Roman" w:cs="Times New Roman"/>
          <w:color w:val="000000"/>
        </w:rPr>
        <w:t xml:space="preserve">opioid </w:t>
      </w:r>
      <w:r w:rsidRPr="00604E29">
        <w:rPr>
          <w:rFonts w:eastAsia="Times New Roman" w:cs="Times New Roman"/>
          <w:color w:val="000000"/>
        </w:rPr>
        <w:t>overdose</w:t>
      </w:r>
      <w:r>
        <w:rPr>
          <w:rFonts w:eastAsia="Times New Roman" w:cs="Times New Roman"/>
          <w:color w:val="000000"/>
        </w:rPr>
        <w:t xml:space="preserve"> were more likely to be female (52% vs. </w:t>
      </w:r>
      <w:r w:rsidRPr="00324E8F">
        <w:rPr>
          <w:rFonts w:eastAsia="Times New Roman" w:cs="Times New Roman"/>
          <w:color w:val="000000"/>
        </w:rPr>
        <w:t>38% of ad</w:t>
      </w:r>
      <w:r>
        <w:rPr>
          <w:rFonts w:eastAsia="Times New Roman" w:cs="Times New Roman"/>
          <w:color w:val="000000"/>
        </w:rPr>
        <w:t>ults).</w:t>
      </w:r>
      <w:r w:rsidRPr="005F44D7">
        <w:rPr>
          <w:rStyle w:val="FootnoteReference"/>
        </w:rPr>
        <w:footnoteReference w:id="26"/>
      </w:r>
      <w:r>
        <w:rPr>
          <w:rFonts w:eastAsia="Times New Roman" w:cs="Times New Roman"/>
          <w:color w:val="000000"/>
        </w:rPr>
        <w:t xml:space="preserve"> </w:t>
      </w:r>
    </w:p>
    <w:p w:rsidR="001C5D84" w:rsidRPr="00604E29" w:rsidRDefault="001C5D84" w:rsidP="008524B6">
      <w:pPr>
        <w:pStyle w:val="ListParagraph"/>
        <w:spacing w:line="276" w:lineRule="auto"/>
        <w:ind w:left="360"/>
        <w:rPr>
          <w:rFonts w:eastAsia="Times New Roman" w:cs="Times New Roman"/>
          <w:color w:val="000000"/>
        </w:rPr>
      </w:pPr>
    </w:p>
    <w:p w:rsidR="001C5D84" w:rsidRDefault="001C5D84" w:rsidP="001C5D84">
      <w:pPr>
        <w:pStyle w:val="ListParagraph"/>
        <w:numPr>
          <w:ilvl w:val="0"/>
          <w:numId w:val="20"/>
        </w:numPr>
        <w:rPr>
          <w:rFonts w:eastAsia="Times New Roman" w:cs="Times New Roman"/>
          <w:color w:val="000000"/>
        </w:rPr>
      </w:pPr>
      <w:r>
        <w:rPr>
          <w:rFonts w:eastAsia="Times New Roman" w:cs="Times New Roman"/>
          <w:color w:val="000000"/>
        </w:rPr>
        <w:t>Potentially inappropriate opioid prescribing (PIP) was more common among females from 2011 to 2</w:t>
      </w:r>
      <w:r w:rsidR="008524B6">
        <w:rPr>
          <w:rFonts w:eastAsia="Times New Roman" w:cs="Times New Roman"/>
          <w:color w:val="000000"/>
        </w:rPr>
        <w:t>015 (58.8% vs. 41.2% for males)</w:t>
      </w:r>
      <w:r w:rsidRPr="005F44D7">
        <w:rPr>
          <w:rStyle w:val="FootnoteReference"/>
        </w:rPr>
        <w:footnoteReference w:id="27"/>
      </w:r>
      <w:r>
        <w:rPr>
          <w:rFonts w:eastAsia="Times New Roman" w:cs="Times New Roman"/>
          <w:color w:val="000000"/>
        </w:rPr>
        <w:t xml:space="preserve"> </w:t>
      </w:r>
      <w:r w:rsidR="008524B6">
        <w:rPr>
          <w:rFonts w:eastAsia="Times New Roman" w:cs="Times New Roman"/>
          <w:color w:val="000000"/>
        </w:rPr>
        <w:t xml:space="preserve">(Figure </w:t>
      </w:r>
      <w:r w:rsidR="00042910">
        <w:rPr>
          <w:rFonts w:eastAsia="Times New Roman" w:cs="Times New Roman"/>
          <w:color w:val="000000"/>
        </w:rPr>
        <w:t>5</w:t>
      </w:r>
      <w:r w:rsidR="008524B6">
        <w:rPr>
          <w:rFonts w:eastAsia="Times New Roman" w:cs="Times New Roman"/>
          <w:color w:val="000000"/>
        </w:rPr>
        <w:t>).</w:t>
      </w:r>
    </w:p>
    <w:p w:rsidR="001C5D84" w:rsidRDefault="001C5D84"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5F44D7" w:rsidRDefault="005F44D7" w:rsidP="001C5D84">
      <w:pPr>
        <w:pStyle w:val="ListParagraph"/>
        <w:rPr>
          <w:rFonts w:eastAsia="Times New Roman" w:cs="Times New Roman"/>
          <w:color w:val="000000"/>
        </w:rPr>
      </w:pPr>
    </w:p>
    <w:p w:rsidR="001C5D84" w:rsidRPr="00342AD4" w:rsidRDefault="001C5D84" w:rsidP="001C5D84">
      <w:pPr>
        <w:autoSpaceDE w:val="0"/>
        <w:autoSpaceDN w:val="0"/>
        <w:adjustRightInd w:val="0"/>
        <w:ind w:left="720"/>
        <w:rPr>
          <w:rFonts w:cs="LvdrbbAdvTTb8864ccf.B"/>
          <w:b/>
          <w:color w:val="131413"/>
        </w:rPr>
      </w:pPr>
      <w:r w:rsidRPr="00841678">
        <w:rPr>
          <w:b/>
        </w:rPr>
        <w:lastRenderedPageBreak/>
        <w:t xml:space="preserve">Figure </w:t>
      </w:r>
      <w:r w:rsidRPr="00841678">
        <w:rPr>
          <w:b/>
        </w:rPr>
        <w:fldChar w:fldCharType="begin"/>
      </w:r>
      <w:r w:rsidRPr="00841678">
        <w:rPr>
          <w:b/>
        </w:rPr>
        <w:instrText xml:space="preserve"> SEQ Figure \* ARABIC </w:instrText>
      </w:r>
      <w:r w:rsidRPr="00841678">
        <w:rPr>
          <w:b/>
        </w:rPr>
        <w:fldChar w:fldCharType="separate"/>
      </w:r>
      <w:r w:rsidR="002B3BC3">
        <w:rPr>
          <w:b/>
          <w:noProof/>
        </w:rPr>
        <w:t>5</w:t>
      </w:r>
      <w:r w:rsidRPr="00841678">
        <w:rPr>
          <w:b/>
        </w:rPr>
        <w:fldChar w:fldCharType="end"/>
      </w:r>
      <w:r w:rsidRPr="00841678">
        <w:rPr>
          <w:b/>
        </w:rPr>
        <w:t xml:space="preserve">. </w:t>
      </w:r>
      <w:r>
        <w:rPr>
          <w:rFonts w:cs="LvdrbbAdvTTb8864ccf.B"/>
          <w:b/>
          <w:color w:val="131413"/>
        </w:rPr>
        <w:t>Gender Differences</w:t>
      </w:r>
      <w:r w:rsidRPr="00841678">
        <w:rPr>
          <w:rFonts w:cs="LvdrbbAdvTTb8864ccf.B"/>
          <w:b/>
          <w:color w:val="131413"/>
        </w:rPr>
        <w:t xml:space="preserve"> between Patients Receiving Any PIP vs. No PIP, Among Massachusetts Adults Who Received Prescribed Opioids at Least Once</w:t>
      </w:r>
      <w:r>
        <w:rPr>
          <w:rFonts w:cs="LvdrbbAdvTTb8864ccf.B"/>
          <w:b/>
          <w:color w:val="131413"/>
        </w:rPr>
        <w:t>, MA:</w:t>
      </w:r>
      <w:r w:rsidRPr="00841678">
        <w:rPr>
          <w:rFonts w:cs="LvdrbbAdvTTb8864ccf.B"/>
          <w:b/>
          <w:color w:val="131413"/>
        </w:rPr>
        <w:t xml:space="preserve"> 2011</w:t>
      </w:r>
      <w:r>
        <w:rPr>
          <w:rFonts w:cs="LvdrbbAdvTTb8864ccf.B"/>
          <w:b/>
          <w:color w:val="131413"/>
        </w:rPr>
        <w:t>-</w:t>
      </w:r>
      <w:r w:rsidRPr="00841678">
        <w:rPr>
          <w:rFonts w:cs="LvdrbbAdvTTb8864ccf.B"/>
          <w:b/>
          <w:color w:val="131413"/>
        </w:rPr>
        <w:t xml:space="preserve">2015 </w:t>
      </w:r>
    </w:p>
    <w:p w:rsidR="001C5D84" w:rsidRPr="00776D45" w:rsidRDefault="00367BF3" w:rsidP="001C5D84">
      <w:pPr>
        <w:rPr>
          <w:rFonts w:cs="Times New Roman"/>
          <w:i/>
        </w:rPr>
      </w:pPr>
      <w:r>
        <w:rPr>
          <w:noProof/>
        </w:rPr>
        <w:drawing>
          <wp:inline distT="0" distB="0" distL="0" distR="0" wp14:anchorId="538F791E" wp14:editId="42264499">
            <wp:extent cx="5343525" cy="21431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07FCC" w:rsidRPr="00507FCC" w:rsidRDefault="00507FCC" w:rsidP="00507FCC">
      <w:pPr>
        <w:pStyle w:val="ListParagraph"/>
        <w:ind w:left="360"/>
        <w:rPr>
          <w:rFonts w:cs="Times New Roman"/>
          <w:i/>
        </w:rPr>
      </w:pPr>
    </w:p>
    <w:p w:rsidR="001C5D84" w:rsidRDefault="001C5D84" w:rsidP="001C5D84">
      <w:pPr>
        <w:rPr>
          <w:rFonts w:eastAsia="Times New Roman" w:cs="Times New Roman"/>
          <w:b/>
          <w:color w:val="000000"/>
        </w:rPr>
      </w:pPr>
      <w:r>
        <w:rPr>
          <w:rFonts w:eastAsia="Times New Roman" w:cs="Times New Roman"/>
          <w:b/>
          <w:color w:val="000000"/>
        </w:rPr>
        <w:t>Key Findings:</w:t>
      </w:r>
      <w:r w:rsidRPr="00604E29">
        <w:rPr>
          <w:rFonts w:eastAsia="Times New Roman" w:cs="Times New Roman"/>
          <w:b/>
          <w:color w:val="000000"/>
        </w:rPr>
        <w:t xml:space="preserve"> Women</w:t>
      </w:r>
      <w:r>
        <w:rPr>
          <w:rFonts w:eastAsia="Times New Roman" w:cs="Times New Roman"/>
          <w:b/>
          <w:color w:val="000000"/>
        </w:rPr>
        <w:t xml:space="preserve"> Giving Birth</w:t>
      </w:r>
      <w:r w:rsidRPr="005F44D7">
        <w:rPr>
          <w:rStyle w:val="FootnoteReference"/>
        </w:rPr>
        <w:footnoteReference w:id="28"/>
      </w:r>
    </w:p>
    <w:p w:rsidR="00BD64D7" w:rsidRPr="00A7286E" w:rsidRDefault="00BD64D7" w:rsidP="001C5D84">
      <w:pPr>
        <w:rPr>
          <w:rFonts w:cs="Times New Roman"/>
          <w:i/>
        </w:rPr>
      </w:pPr>
    </w:p>
    <w:p w:rsidR="001C5D84" w:rsidRPr="00C74431" w:rsidRDefault="001C5D84" w:rsidP="001C5D84">
      <w:pPr>
        <w:pStyle w:val="ListParagraph"/>
        <w:numPr>
          <w:ilvl w:val="0"/>
          <w:numId w:val="5"/>
        </w:numPr>
        <w:rPr>
          <w:rFonts w:eastAsia="Times New Roman" w:cs="Times New Roman"/>
          <w:color w:val="000000"/>
        </w:rPr>
      </w:pPr>
      <w:r w:rsidRPr="00C74431">
        <w:rPr>
          <w:rFonts w:eastAsia="Times New Roman" w:cs="Times New Roman"/>
          <w:color w:val="000000"/>
        </w:rPr>
        <w:t xml:space="preserve">Among women who had a live birth delivery and experienced a postpartum </w:t>
      </w:r>
      <w:r>
        <w:rPr>
          <w:rFonts w:eastAsia="Times New Roman" w:cs="Times New Roman"/>
          <w:color w:val="000000"/>
        </w:rPr>
        <w:t>opioid overdose (</w:t>
      </w:r>
      <w:r w:rsidRPr="00C74431">
        <w:rPr>
          <w:rFonts w:eastAsia="Times New Roman" w:cs="Times New Roman"/>
          <w:color w:val="000000"/>
        </w:rPr>
        <w:t>OD</w:t>
      </w:r>
      <w:r>
        <w:rPr>
          <w:rFonts w:eastAsia="Times New Roman" w:cs="Times New Roman"/>
          <w:color w:val="000000"/>
        </w:rPr>
        <w:t>)</w:t>
      </w:r>
      <w:r w:rsidRPr="00C74431">
        <w:rPr>
          <w:rFonts w:eastAsia="Times New Roman" w:cs="Times New Roman"/>
          <w:color w:val="000000"/>
        </w:rPr>
        <w:t xml:space="preserve">, 58% experienced an </w:t>
      </w:r>
      <w:r>
        <w:rPr>
          <w:rFonts w:eastAsia="Times New Roman" w:cs="Times New Roman"/>
          <w:color w:val="000000"/>
        </w:rPr>
        <w:t>opioid overdose</w:t>
      </w:r>
      <w:r w:rsidRPr="00C74431">
        <w:rPr>
          <w:rFonts w:eastAsia="Times New Roman" w:cs="Times New Roman"/>
          <w:color w:val="000000"/>
        </w:rPr>
        <w:t xml:space="preserve"> more than 180 days following delivery.</w:t>
      </w:r>
    </w:p>
    <w:p w:rsidR="001C5D84" w:rsidRDefault="001C5D84" w:rsidP="001C5D84">
      <w:pPr>
        <w:pStyle w:val="ListParagraph"/>
        <w:ind w:left="360"/>
        <w:rPr>
          <w:rFonts w:cs="Times New Roman"/>
        </w:rPr>
      </w:pPr>
    </w:p>
    <w:p w:rsidR="001C5D84" w:rsidRPr="005F44D7" w:rsidRDefault="001C5D84" w:rsidP="005F44D7">
      <w:pPr>
        <w:pStyle w:val="ListParagraph"/>
        <w:numPr>
          <w:ilvl w:val="0"/>
          <w:numId w:val="5"/>
        </w:numPr>
        <w:rPr>
          <w:rFonts w:eastAsia="Times New Roman" w:cs="Times New Roman"/>
          <w:color w:val="000000"/>
        </w:rPr>
      </w:pPr>
      <w:r w:rsidRPr="00C74431">
        <w:rPr>
          <w:rFonts w:eastAsia="Times New Roman" w:cs="Times New Roman"/>
          <w:color w:val="000000"/>
        </w:rPr>
        <w:t xml:space="preserve">3.9% of deliveries were to women with evidence of </w:t>
      </w:r>
      <w:r>
        <w:rPr>
          <w:rFonts w:eastAsia="Times New Roman" w:cs="Times New Roman"/>
          <w:color w:val="000000"/>
        </w:rPr>
        <w:t>opioid use disorder (</w:t>
      </w:r>
      <w:r w:rsidRPr="00C74431">
        <w:rPr>
          <w:rFonts w:eastAsia="Times New Roman" w:cs="Times New Roman"/>
          <w:color w:val="000000"/>
        </w:rPr>
        <w:t>OUD</w:t>
      </w:r>
      <w:r>
        <w:rPr>
          <w:rFonts w:eastAsia="Times New Roman" w:cs="Times New Roman"/>
          <w:color w:val="000000"/>
        </w:rPr>
        <w:t>)</w:t>
      </w:r>
      <w:r w:rsidRPr="00C74431">
        <w:rPr>
          <w:rFonts w:eastAsia="Times New Roman" w:cs="Times New Roman"/>
          <w:color w:val="000000"/>
        </w:rPr>
        <w:t xml:space="preserve"> documented any time from 2011 to 2015 and 2.8%</w:t>
      </w:r>
      <w:r>
        <w:rPr>
          <w:rFonts w:eastAsia="Times New Roman" w:cs="Times New Roman"/>
          <w:color w:val="000000"/>
        </w:rPr>
        <w:t xml:space="preserve"> </w:t>
      </w:r>
      <w:r w:rsidRPr="00C74431">
        <w:rPr>
          <w:rFonts w:eastAsia="Times New Roman" w:cs="Times New Roman"/>
          <w:color w:val="000000"/>
        </w:rPr>
        <w:t>were to women with evidence of OUD in the year before or post-delivery.</w:t>
      </w:r>
    </w:p>
    <w:p w:rsidR="00BD64D7" w:rsidRPr="005F44D7" w:rsidRDefault="001C5D84" w:rsidP="00BD64D7">
      <w:pPr>
        <w:pStyle w:val="ListParagraph"/>
        <w:numPr>
          <w:ilvl w:val="0"/>
          <w:numId w:val="5"/>
        </w:numPr>
        <w:rPr>
          <w:rFonts w:cs="Times New Roman"/>
        </w:rPr>
      </w:pPr>
      <w:r w:rsidRPr="00C74431">
        <w:rPr>
          <w:rFonts w:cs="Times New Roman"/>
        </w:rPr>
        <w:t xml:space="preserve">A total of 242 </w:t>
      </w:r>
      <w:r>
        <w:rPr>
          <w:rFonts w:cs="Times New Roman"/>
        </w:rPr>
        <w:t xml:space="preserve">opioid </w:t>
      </w:r>
      <w:r w:rsidRPr="00C74431">
        <w:rPr>
          <w:rFonts w:cs="Times New Roman"/>
        </w:rPr>
        <w:t>overdose events (231 nonfatal and 11 fatal) occurred among 184 deliveries from January 2012 to September 2014. In 25% of those deliveries, a woman experienced multiple overdose events (up to 4) within the year before or after delivery</w:t>
      </w:r>
      <w:r w:rsidR="00BD64D7">
        <w:rPr>
          <w:rFonts w:cs="Times New Roman"/>
        </w:rPr>
        <w:t xml:space="preserve"> </w:t>
      </w:r>
      <w:r w:rsidR="00BD64D7">
        <w:rPr>
          <w:rFonts w:eastAsia="Times New Roman" w:cs="Times New Roman"/>
          <w:color w:val="000000"/>
        </w:rPr>
        <w:t xml:space="preserve">(Figure </w:t>
      </w:r>
      <w:r w:rsidR="002B3BC3">
        <w:rPr>
          <w:rFonts w:eastAsia="Times New Roman" w:cs="Times New Roman"/>
          <w:color w:val="000000"/>
        </w:rPr>
        <w:t>6</w:t>
      </w:r>
      <w:r w:rsidR="00BD64D7">
        <w:rPr>
          <w:rFonts w:eastAsia="Times New Roman" w:cs="Times New Roman"/>
          <w:color w:val="000000"/>
        </w:rPr>
        <w:t>)</w:t>
      </w:r>
      <w:r w:rsidRPr="00C74431">
        <w:rPr>
          <w:rFonts w:cs="Times New Roman"/>
        </w:rPr>
        <w:t>.</w:t>
      </w:r>
    </w:p>
    <w:p w:rsidR="001C5D84" w:rsidRPr="00696F36" w:rsidRDefault="001C5D84" w:rsidP="00696F36">
      <w:pPr>
        <w:rPr>
          <w:b/>
        </w:rPr>
      </w:pPr>
    </w:p>
    <w:p w:rsidR="001C5D84" w:rsidRPr="002B3BC3" w:rsidRDefault="002B3BC3" w:rsidP="002B3BC3">
      <w:pPr>
        <w:pStyle w:val="Caption"/>
        <w:ind w:left="360"/>
        <w:rPr>
          <w:rFonts w:cs="AdvOTa54b5d5d"/>
          <w:color w:val="auto"/>
          <w:sz w:val="22"/>
          <w:szCs w:val="22"/>
        </w:rPr>
      </w:pPr>
      <w:r w:rsidRPr="002B3BC3">
        <w:rPr>
          <w:color w:val="auto"/>
          <w:sz w:val="22"/>
          <w:szCs w:val="22"/>
        </w:rPr>
        <w:t xml:space="preserve">Figure </w:t>
      </w:r>
      <w:r w:rsidRPr="002B3BC3">
        <w:rPr>
          <w:color w:val="auto"/>
          <w:sz w:val="22"/>
          <w:szCs w:val="22"/>
        </w:rPr>
        <w:fldChar w:fldCharType="begin"/>
      </w:r>
      <w:r w:rsidRPr="002B3BC3">
        <w:rPr>
          <w:color w:val="auto"/>
          <w:sz w:val="22"/>
          <w:szCs w:val="22"/>
        </w:rPr>
        <w:instrText xml:space="preserve"> SEQ Figure \* ARABIC </w:instrText>
      </w:r>
      <w:r w:rsidRPr="002B3BC3">
        <w:rPr>
          <w:color w:val="auto"/>
          <w:sz w:val="22"/>
          <w:szCs w:val="22"/>
        </w:rPr>
        <w:fldChar w:fldCharType="separate"/>
      </w:r>
      <w:r w:rsidRPr="002B3BC3">
        <w:rPr>
          <w:noProof/>
          <w:color w:val="auto"/>
          <w:sz w:val="22"/>
          <w:szCs w:val="22"/>
        </w:rPr>
        <w:t>6</w:t>
      </w:r>
      <w:r w:rsidRPr="002B3BC3">
        <w:rPr>
          <w:color w:val="auto"/>
          <w:sz w:val="22"/>
          <w:szCs w:val="22"/>
        </w:rPr>
        <w:fldChar w:fldCharType="end"/>
      </w:r>
      <w:r w:rsidRPr="002B3BC3">
        <w:rPr>
          <w:color w:val="auto"/>
          <w:sz w:val="22"/>
          <w:szCs w:val="22"/>
        </w:rPr>
        <w:t xml:space="preserve">. </w:t>
      </w:r>
      <w:r w:rsidR="001C5D84" w:rsidRPr="002B3BC3">
        <w:rPr>
          <w:rFonts w:cs="AdvOTa54b5d5d"/>
          <w:color w:val="auto"/>
          <w:sz w:val="22"/>
          <w:szCs w:val="22"/>
        </w:rPr>
        <w:t>Cascade of Deliveries by Residents, MA: January 2012 to September 2014</w:t>
      </w:r>
    </w:p>
    <w:p w:rsidR="001C5D84" w:rsidRPr="005F44D7" w:rsidRDefault="001C5D84" w:rsidP="005F44D7">
      <w:pPr>
        <w:pStyle w:val="ListParagraph"/>
        <w:autoSpaceDE w:val="0"/>
        <w:autoSpaceDN w:val="0"/>
        <w:adjustRightInd w:val="0"/>
        <w:ind w:left="1080"/>
        <w:jc w:val="center"/>
        <w:rPr>
          <w:rFonts w:ascii="AdvOTa54b5d5d" w:hAnsi="AdvOTa54b5d5d" w:cs="AdvOTa54b5d5d"/>
          <w:sz w:val="20"/>
          <w:szCs w:val="20"/>
        </w:rPr>
      </w:pPr>
      <w:r w:rsidRPr="00204EB8">
        <w:rPr>
          <w:noProof/>
        </w:rPr>
        <w:drawing>
          <wp:inline distT="0" distB="0" distL="0" distR="0" wp14:anchorId="51226D1C" wp14:editId="30C0A89C">
            <wp:extent cx="3876675" cy="2695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76675" cy="2695575"/>
                    </a:xfrm>
                    <a:prstGeom prst="rect">
                      <a:avLst/>
                    </a:prstGeom>
                    <a:noFill/>
                    <a:ln>
                      <a:noFill/>
                    </a:ln>
                  </pic:spPr>
                </pic:pic>
              </a:graphicData>
            </a:graphic>
          </wp:inline>
        </w:drawing>
      </w:r>
    </w:p>
    <w:p w:rsidR="001C5D84" w:rsidRPr="003E6E55" w:rsidRDefault="001C5D84" w:rsidP="003E6E55">
      <w:pPr>
        <w:pStyle w:val="ListParagraph"/>
        <w:numPr>
          <w:ilvl w:val="0"/>
          <w:numId w:val="5"/>
        </w:numPr>
        <w:spacing w:line="276" w:lineRule="auto"/>
        <w:rPr>
          <w:b/>
        </w:rPr>
      </w:pPr>
      <w:r w:rsidRPr="00871009">
        <w:rPr>
          <w:rFonts w:cs="Times New Roman"/>
        </w:rPr>
        <w:lastRenderedPageBreak/>
        <w:t xml:space="preserve">Compared with women with evidence of OUD who had no </w:t>
      </w:r>
      <w:r>
        <w:rPr>
          <w:rFonts w:cs="Times New Roman"/>
        </w:rPr>
        <w:t xml:space="preserve">opioid </w:t>
      </w:r>
      <w:r w:rsidRPr="00871009">
        <w:rPr>
          <w:rFonts w:cs="Times New Roman"/>
        </w:rPr>
        <w:t xml:space="preserve">overdose events and all women who delivered a live birth, women with an </w:t>
      </w:r>
      <w:r>
        <w:rPr>
          <w:rFonts w:cs="Times New Roman"/>
        </w:rPr>
        <w:t xml:space="preserve">opioid </w:t>
      </w:r>
      <w:r w:rsidRPr="00871009">
        <w:rPr>
          <w:rFonts w:cs="Times New Roman"/>
        </w:rPr>
        <w:t>overdose event were more likely to be younger, single, unemployed, lacking a high school degree, receiving public insurance, and receiving inadequate prenatal care</w:t>
      </w:r>
      <w:r w:rsidR="00BD64D7">
        <w:rPr>
          <w:rFonts w:cs="Times New Roman"/>
        </w:rPr>
        <w:t xml:space="preserve"> (Figure </w:t>
      </w:r>
      <w:r w:rsidR="002B3BC3">
        <w:rPr>
          <w:rFonts w:cs="Times New Roman"/>
        </w:rPr>
        <w:t>7</w:t>
      </w:r>
      <w:r w:rsidR="00BD64D7">
        <w:rPr>
          <w:rFonts w:cs="Times New Roman"/>
        </w:rPr>
        <w:t>)</w:t>
      </w:r>
      <w:r w:rsidRPr="00871009">
        <w:rPr>
          <w:rFonts w:cs="Times New Roman"/>
        </w:rPr>
        <w:t>.</w:t>
      </w:r>
    </w:p>
    <w:p w:rsidR="003E6E55" w:rsidRPr="003E6E55" w:rsidRDefault="003E6E55" w:rsidP="003E6E55">
      <w:pPr>
        <w:pStyle w:val="ListParagraph"/>
        <w:spacing w:line="276" w:lineRule="auto"/>
        <w:ind w:left="360"/>
        <w:rPr>
          <w:b/>
          <w:sz w:val="8"/>
          <w:szCs w:val="8"/>
        </w:rPr>
      </w:pPr>
    </w:p>
    <w:p w:rsidR="001C5D84" w:rsidRPr="00696F36" w:rsidRDefault="001C5D84" w:rsidP="00696F36">
      <w:pPr>
        <w:autoSpaceDE w:val="0"/>
        <w:autoSpaceDN w:val="0"/>
        <w:adjustRightInd w:val="0"/>
        <w:ind w:left="720"/>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7</w:t>
      </w:r>
      <w:r w:rsidRPr="00CC16FA">
        <w:rPr>
          <w:b/>
        </w:rPr>
        <w:fldChar w:fldCharType="end"/>
      </w:r>
      <w:r w:rsidRPr="00CC16FA">
        <w:rPr>
          <w:b/>
        </w:rPr>
        <w:t xml:space="preserve">.  </w:t>
      </w:r>
      <w:r w:rsidRPr="00903B49">
        <w:rPr>
          <w:b/>
        </w:rPr>
        <w:t>Characteristics of Deliveries, Stratified</w:t>
      </w:r>
      <w:r>
        <w:rPr>
          <w:b/>
        </w:rPr>
        <w:t xml:space="preserve"> </w:t>
      </w:r>
      <w:r w:rsidRPr="00C56623">
        <w:rPr>
          <w:b/>
        </w:rPr>
        <w:t>By</w:t>
      </w:r>
      <w:r w:rsidRPr="00776D45">
        <w:rPr>
          <w:b/>
        </w:rPr>
        <w:t xml:space="preserve"> Maternal Overdose Event </w:t>
      </w:r>
      <w:r>
        <w:rPr>
          <w:b/>
        </w:rPr>
        <w:t>D</w:t>
      </w:r>
      <w:r w:rsidRPr="00C56623">
        <w:rPr>
          <w:b/>
        </w:rPr>
        <w:t>uring</w:t>
      </w:r>
      <w:r w:rsidRPr="00776D45">
        <w:rPr>
          <w:b/>
        </w:rPr>
        <w:t xml:space="preserve"> the 12 Months </w:t>
      </w:r>
      <w:r>
        <w:rPr>
          <w:b/>
        </w:rPr>
        <w:t>B</w:t>
      </w:r>
      <w:r w:rsidRPr="00C56623">
        <w:rPr>
          <w:b/>
        </w:rPr>
        <w:t>efore</w:t>
      </w:r>
      <w:r w:rsidRPr="00776D45">
        <w:rPr>
          <w:b/>
        </w:rPr>
        <w:t xml:space="preserve"> or </w:t>
      </w:r>
      <w:r>
        <w:rPr>
          <w:b/>
        </w:rPr>
        <w:t>A</w:t>
      </w:r>
      <w:r w:rsidRPr="00776D45">
        <w:rPr>
          <w:b/>
        </w:rPr>
        <w:t>fter Delivery, MA: Januar</w:t>
      </w:r>
      <w:r w:rsidR="00696F36">
        <w:rPr>
          <w:b/>
        </w:rPr>
        <w:t>y 1, 2012 to September 30, 2014</w:t>
      </w:r>
    </w:p>
    <w:p w:rsidR="001C5D84" w:rsidRDefault="00280412" w:rsidP="00BE2673">
      <w:pPr>
        <w:pStyle w:val="ListParagraph"/>
        <w:ind w:left="1080" w:hanging="720"/>
      </w:pPr>
      <w:r>
        <w:rPr>
          <w:noProof/>
        </w:rPr>
        <w:drawing>
          <wp:inline distT="0" distB="0" distL="0" distR="0" wp14:anchorId="6A112F8D" wp14:editId="305A2DFB">
            <wp:extent cx="5943600" cy="2196465"/>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F44D7" w:rsidRDefault="005F44D7" w:rsidP="00BD64D7">
      <w:pPr>
        <w:pStyle w:val="ListParagraph"/>
        <w:ind w:left="1080" w:hanging="450"/>
      </w:pPr>
    </w:p>
    <w:p w:rsidR="00BE2673" w:rsidRPr="002B3BC3" w:rsidRDefault="00BE2673" w:rsidP="00BE2673">
      <w:pPr>
        <w:pStyle w:val="ListParagraph"/>
        <w:spacing w:after="200" w:line="276" w:lineRule="auto"/>
        <w:ind w:left="360"/>
        <w:rPr>
          <w:rFonts w:cs="Times New Roman"/>
          <w:sz w:val="8"/>
          <w:szCs w:val="8"/>
        </w:rPr>
      </w:pPr>
    </w:p>
    <w:p w:rsidR="00BD64D7" w:rsidRPr="005F44D7" w:rsidRDefault="001C5D84" w:rsidP="005F44D7">
      <w:pPr>
        <w:pStyle w:val="ListParagraph"/>
        <w:numPr>
          <w:ilvl w:val="0"/>
          <w:numId w:val="5"/>
        </w:numPr>
        <w:spacing w:after="200" w:line="276" w:lineRule="auto"/>
        <w:rPr>
          <w:rFonts w:cs="Times New Roman"/>
        </w:rPr>
      </w:pPr>
      <w:r w:rsidRPr="00F448B1">
        <w:rPr>
          <w:rFonts w:cs="Times New Roman"/>
        </w:rPr>
        <w:t xml:space="preserve">Women experiencing a postpartum </w:t>
      </w:r>
      <w:r>
        <w:rPr>
          <w:rFonts w:cs="Times New Roman"/>
        </w:rPr>
        <w:t xml:space="preserve">OD </w:t>
      </w:r>
      <w:r w:rsidRPr="00F448B1">
        <w:rPr>
          <w:rFonts w:cs="Times New Roman"/>
        </w:rPr>
        <w:t>were more likely to have public insurance (9</w:t>
      </w:r>
      <w:r>
        <w:rPr>
          <w:rFonts w:cs="Times New Roman"/>
        </w:rPr>
        <w:t>2</w:t>
      </w:r>
      <w:r w:rsidRPr="00F448B1">
        <w:rPr>
          <w:rFonts w:cs="Times New Roman"/>
        </w:rPr>
        <w:t>% v</w:t>
      </w:r>
      <w:r>
        <w:rPr>
          <w:rFonts w:cs="Times New Roman"/>
        </w:rPr>
        <w:t>s</w:t>
      </w:r>
      <w:r w:rsidRPr="00F448B1">
        <w:rPr>
          <w:rFonts w:cs="Times New Roman"/>
        </w:rPr>
        <w:t>. 4</w:t>
      </w:r>
      <w:r>
        <w:rPr>
          <w:rFonts w:cs="Times New Roman"/>
        </w:rPr>
        <w:t>2</w:t>
      </w:r>
      <w:r w:rsidRPr="00F448B1">
        <w:rPr>
          <w:rFonts w:cs="Times New Roman"/>
        </w:rPr>
        <w:t>%), deliver a preterm or low birth weight infant (20.6% v. 6.5%) as well as less likely to be breastfeeding at discharge (4</w:t>
      </w:r>
      <w:r>
        <w:rPr>
          <w:rFonts w:cs="Times New Roman"/>
        </w:rPr>
        <w:t>8</w:t>
      </w:r>
      <w:r w:rsidRPr="00F448B1">
        <w:rPr>
          <w:rFonts w:cs="Times New Roman"/>
        </w:rPr>
        <w:t>% v</w:t>
      </w:r>
      <w:r>
        <w:rPr>
          <w:rFonts w:cs="Times New Roman"/>
        </w:rPr>
        <w:t>s</w:t>
      </w:r>
      <w:r w:rsidRPr="00F448B1">
        <w:rPr>
          <w:rFonts w:cs="Times New Roman"/>
        </w:rPr>
        <w:t>. 83</w:t>
      </w:r>
      <w:r>
        <w:rPr>
          <w:rFonts w:cs="Times New Roman"/>
        </w:rPr>
        <w:t>%).</w:t>
      </w:r>
      <w:r w:rsidRPr="00B53773">
        <w:rPr>
          <w:rFonts w:cs="Times New Roman"/>
        </w:rPr>
        <w:t xml:space="preserve"> </w:t>
      </w:r>
      <w:r w:rsidRPr="00E95C21">
        <w:rPr>
          <w:rFonts w:cs="Times New Roman"/>
        </w:rPr>
        <w:t xml:space="preserve">In the 12 months before delivery, women experiencing a postpartum </w:t>
      </w:r>
      <w:r>
        <w:rPr>
          <w:rFonts w:cs="Times New Roman"/>
        </w:rPr>
        <w:t>OD</w:t>
      </w:r>
      <w:r w:rsidRPr="00E95C21">
        <w:rPr>
          <w:rFonts w:cs="Times New Roman"/>
        </w:rPr>
        <w:t xml:space="preserve"> were more likely to have increased emergency department (ED) usage (4</w:t>
      </w:r>
      <w:r>
        <w:rPr>
          <w:rFonts w:cs="Times New Roman"/>
        </w:rPr>
        <w:t>1</w:t>
      </w:r>
      <w:r w:rsidRPr="00E95C21">
        <w:rPr>
          <w:rFonts w:cs="Times New Roman"/>
        </w:rPr>
        <w:t>% v</w:t>
      </w:r>
      <w:r>
        <w:rPr>
          <w:rFonts w:cs="Times New Roman"/>
        </w:rPr>
        <w:t>s</w:t>
      </w:r>
      <w:r w:rsidRPr="00E95C21">
        <w:rPr>
          <w:rFonts w:cs="Times New Roman"/>
        </w:rPr>
        <w:t>. 5</w:t>
      </w:r>
      <w:r>
        <w:rPr>
          <w:rFonts w:cs="Times New Roman"/>
        </w:rPr>
        <w:t xml:space="preserve">%) </w:t>
      </w:r>
      <w:r w:rsidRPr="00E95C21">
        <w:rPr>
          <w:rFonts w:cs="Times New Roman"/>
        </w:rPr>
        <w:t>or be incarcerated (</w:t>
      </w:r>
      <w:r>
        <w:rPr>
          <w:rFonts w:cs="Times New Roman"/>
        </w:rPr>
        <w:t>10</w:t>
      </w:r>
      <w:r w:rsidRPr="00E95C21">
        <w:rPr>
          <w:rFonts w:cs="Times New Roman"/>
        </w:rPr>
        <w:t>% v</w:t>
      </w:r>
      <w:r>
        <w:rPr>
          <w:rFonts w:cs="Times New Roman"/>
        </w:rPr>
        <w:t>s</w:t>
      </w:r>
      <w:r w:rsidRPr="00E95C21">
        <w:rPr>
          <w:rFonts w:cs="Times New Roman"/>
        </w:rPr>
        <w:t>. 0%)</w:t>
      </w:r>
      <w:r w:rsidR="00BD64D7">
        <w:rPr>
          <w:rFonts w:cs="Times New Roman"/>
        </w:rPr>
        <w:t xml:space="preserve"> (Figure </w:t>
      </w:r>
      <w:r w:rsidR="002B3BC3">
        <w:rPr>
          <w:rFonts w:cs="Times New Roman"/>
        </w:rPr>
        <w:t>8</w:t>
      </w:r>
      <w:r w:rsidR="00BD64D7">
        <w:rPr>
          <w:rFonts w:cs="Times New Roman"/>
        </w:rPr>
        <w:t>)</w:t>
      </w:r>
      <w:r w:rsidRPr="00E95C21">
        <w:rPr>
          <w:rFonts w:cs="Times New Roman"/>
        </w:rPr>
        <w:t xml:space="preserve">. </w:t>
      </w:r>
    </w:p>
    <w:p w:rsidR="001C5D84" w:rsidRDefault="001C5D84" w:rsidP="001C5D84">
      <w:pPr>
        <w:autoSpaceDE w:val="0"/>
        <w:autoSpaceDN w:val="0"/>
        <w:adjustRightInd w:val="0"/>
        <w:ind w:left="720"/>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8</w:t>
      </w:r>
      <w:r w:rsidRPr="00CC16FA">
        <w:rPr>
          <w:b/>
        </w:rPr>
        <w:fldChar w:fldCharType="end"/>
      </w:r>
      <w:r w:rsidRPr="00CC16FA">
        <w:rPr>
          <w:b/>
        </w:rPr>
        <w:t xml:space="preserve">. </w:t>
      </w:r>
      <w:r w:rsidRPr="00B84534">
        <w:rPr>
          <w:b/>
        </w:rPr>
        <w:t>Characteristics of Deliveries, Stratified by Maternal Overdose Event During the 12 Months Before or After Delivery, MA: January 1, 2012 to September 30, 2014</w:t>
      </w:r>
    </w:p>
    <w:p w:rsidR="001C5D84" w:rsidRPr="00696F36" w:rsidRDefault="001C5D84" w:rsidP="001C5D84">
      <w:pPr>
        <w:autoSpaceDE w:val="0"/>
        <w:autoSpaceDN w:val="0"/>
        <w:adjustRightInd w:val="0"/>
        <w:ind w:left="720"/>
        <w:jc w:val="center"/>
        <w:rPr>
          <w:b/>
          <w:sz w:val="8"/>
          <w:szCs w:val="8"/>
        </w:rPr>
      </w:pPr>
    </w:p>
    <w:p w:rsidR="001C5D84" w:rsidRDefault="00280412" w:rsidP="001C5D84">
      <w:pPr>
        <w:pStyle w:val="ListParagraph"/>
        <w:ind w:left="0"/>
        <w:rPr>
          <w:rFonts w:cs="Times New Roman"/>
        </w:rPr>
      </w:pPr>
      <w:r>
        <w:rPr>
          <w:noProof/>
        </w:rPr>
        <w:drawing>
          <wp:inline distT="0" distB="0" distL="0" distR="0" wp14:anchorId="0EA2D665" wp14:editId="18079CDD">
            <wp:extent cx="5448300" cy="24193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5727E" w:rsidRPr="00903B49" w:rsidRDefault="00A5727E" w:rsidP="001C5D84">
      <w:pPr>
        <w:pStyle w:val="ListParagraph"/>
        <w:ind w:left="0"/>
        <w:rPr>
          <w:rFonts w:cs="Times New Roman"/>
        </w:rPr>
      </w:pPr>
    </w:p>
    <w:p w:rsidR="00BD64D7" w:rsidRPr="005F44D7" w:rsidRDefault="001C5D84" w:rsidP="003E6E55">
      <w:pPr>
        <w:pStyle w:val="ListParagraph"/>
        <w:numPr>
          <w:ilvl w:val="0"/>
          <w:numId w:val="5"/>
        </w:numPr>
        <w:spacing w:after="240" w:line="276" w:lineRule="auto"/>
        <w:rPr>
          <w:rFonts w:cs="Times New Roman"/>
        </w:rPr>
      </w:pPr>
      <w:r w:rsidRPr="00EE483A">
        <w:rPr>
          <w:rFonts w:cs="Times New Roman"/>
        </w:rPr>
        <w:t xml:space="preserve">Women with an opioid overdose event had significantly higher co-occurring homelessness and psychiatric conditions: 79% of women with an opioid overdose event had some evidence of </w:t>
      </w:r>
      <w:r w:rsidRPr="00EE483A">
        <w:rPr>
          <w:rFonts w:cs="Times New Roman"/>
        </w:rPr>
        <w:lastRenderedPageBreak/>
        <w:t>homelessness compared with 34% of women with OUD but no opioid overdose and 2% of women who delivered a live birth without OUD</w:t>
      </w:r>
      <w:r w:rsidR="00BD64D7">
        <w:rPr>
          <w:rFonts w:cs="Times New Roman"/>
        </w:rPr>
        <w:t xml:space="preserve"> (Figure </w:t>
      </w:r>
      <w:r w:rsidR="002B3BC3">
        <w:rPr>
          <w:rFonts w:cs="Times New Roman"/>
        </w:rPr>
        <w:t>9</w:t>
      </w:r>
      <w:r w:rsidR="00BD64D7">
        <w:rPr>
          <w:rFonts w:cs="Times New Roman"/>
        </w:rPr>
        <w:t>)</w:t>
      </w:r>
      <w:r w:rsidR="00BD64D7" w:rsidRPr="00E95C21">
        <w:rPr>
          <w:rFonts w:cs="Times New Roman"/>
        </w:rPr>
        <w:t>.</w:t>
      </w:r>
    </w:p>
    <w:p w:rsidR="003E6E55" w:rsidRDefault="003E6E55" w:rsidP="003E6E55">
      <w:pPr>
        <w:autoSpaceDE w:val="0"/>
        <w:autoSpaceDN w:val="0"/>
        <w:adjustRightInd w:val="0"/>
        <w:jc w:val="both"/>
        <w:rPr>
          <w:b/>
        </w:rPr>
      </w:pPr>
    </w:p>
    <w:p w:rsidR="001C5D84" w:rsidRDefault="001C5D84" w:rsidP="001C5D84">
      <w:pPr>
        <w:autoSpaceDE w:val="0"/>
        <w:autoSpaceDN w:val="0"/>
        <w:adjustRightInd w:val="0"/>
        <w:ind w:left="720"/>
        <w:jc w:val="both"/>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9</w:t>
      </w:r>
      <w:r w:rsidRPr="00CC16FA">
        <w:rPr>
          <w:b/>
        </w:rPr>
        <w:fldChar w:fldCharType="end"/>
      </w:r>
      <w:r w:rsidRPr="00CC16FA">
        <w:rPr>
          <w:b/>
        </w:rPr>
        <w:t xml:space="preserve">. </w:t>
      </w:r>
      <w:r w:rsidRPr="00903B49">
        <w:rPr>
          <w:b/>
        </w:rPr>
        <w:t>Characteristics of Deliveries</w:t>
      </w:r>
      <w:r>
        <w:rPr>
          <w:b/>
        </w:rPr>
        <w:t>,</w:t>
      </w:r>
      <w:r w:rsidRPr="00903B49">
        <w:rPr>
          <w:b/>
        </w:rPr>
        <w:t xml:space="preserve"> Stratified</w:t>
      </w:r>
      <w:r>
        <w:rPr>
          <w:b/>
        </w:rPr>
        <w:t xml:space="preserve"> </w:t>
      </w:r>
      <w:r w:rsidR="00D16322">
        <w:rPr>
          <w:b/>
        </w:rPr>
        <w:t>b</w:t>
      </w:r>
      <w:r w:rsidRPr="00EE483A">
        <w:rPr>
          <w:b/>
        </w:rPr>
        <w:t>y Maternal Overdose Event During the 12 Months Before or After Delivery</w:t>
      </w:r>
      <w:r>
        <w:rPr>
          <w:b/>
        </w:rPr>
        <w:t xml:space="preserve">, MA: </w:t>
      </w:r>
      <w:r w:rsidRPr="00903B49">
        <w:rPr>
          <w:b/>
        </w:rPr>
        <w:t>January 1, 2012 to September 30, 2014</w:t>
      </w:r>
    </w:p>
    <w:p w:rsidR="003E6E55" w:rsidRPr="00EE483A" w:rsidRDefault="003E6E55" w:rsidP="001C5D84">
      <w:pPr>
        <w:autoSpaceDE w:val="0"/>
        <w:autoSpaceDN w:val="0"/>
        <w:adjustRightInd w:val="0"/>
        <w:ind w:left="720"/>
        <w:jc w:val="both"/>
        <w:rPr>
          <w:rFonts w:cs="Times New Roman"/>
        </w:rPr>
      </w:pPr>
    </w:p>
    <w:p w:rsidR="000E2CCC" w:rsidRPr="00BD64D7" w:rsidRDefault="00280412" w:rsidP="00BD64D7">
      <w:pPr>
        <w:pStyle w:val="ListParagraph"/>
        <w:ind w:hanging="360"/>
      </w:pPr>
      <w:r>
        <w:rPr>
          <w:noProof/>
        </w:rPr>
        <w:drawing>
          <wp:inline distT="0" distB="0" distL="0" distR="0" wp14:anchorId="7719784A" wp14:editId="27289CF4">
            <wp:extent cx="5943600" cy="2914015"/>
            <wp:effectExtent l="0" t="0" r="0" b="63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E6E55" w:rsidRDefault="003E6E55" w:rsidP="003E6E55">
      <w:pPr>
        <w:pStyle w:val="ListParagraph"/>
        <w:spacing w:after="200" w:line="276" w:lineRule="auto"/>
        <w:ind w:left="360"/>
        <w:rPr>
          <w:rFonts w:cs="Times New Roman"/>
        </w:rPr>
      </w:pPr>
    </w:p>
    <w:p w:rsidR="00881123" w:rsidRDefault="001C5D84" w:rsidP="00881123">
      <w:pPr>
        <w:pStyle w:val="ListParagraph"/>
        <w:numPr>
          <w:ilvl w:val="0"/>
          <w:numId w:val="5"/>
        </w:numPr>
        <w:spacing w:after="200" w:line="276" w:lineRule="auto"/>
        <w:rPr>
          <w:rFonts w:cs="Times New Roman"/>
        </w:rPr>
      </w:pPr>
      <w:r w:rsidRPr="00E95C21">
        <w:rPr>
          <w:rFonts w:cs="Times New Roman"/>
        </w:rPr>
        <w:t xml:space="preserve">Women with an </w:t>
      </w:r>
      <w:r>
        <w:rPr>
          <w:rFonts w:cs="Times New Roman"/>
        </w:rPr>
        <w:t xml:space="preserve">opioid </w:t>
      </w:r>
      <w:r w:rsidRPr="00E95C21">
        <w:rPr>
          <w:rFonts w:cs="Times New Roman"/>
        </w:rPr>
        <w:t>overdose event were significantly more likely to have evidence of anxiety (82% with overdose vs</w:t>
      </w:r>
      <w:r>
        <w:rPr>
          <w:rFonts w:cs="Times New Roman"/>
        </w:rPr>
        <w:t>.</w:t>
      </w:r>
      <w:r w:rsidRPr="00E95C21">
        <w:rPr>
          <w:rFonts w:cs="Times New Roman"/>
        </w:rPr>
        <w:t xml:space="preserve"> 60% with OUD but no </w:t>
      </w:r>
      <w:r>
        <w:rPr>
          <w:rFonts w:cs="Times New Roman"/>
        </w:rPr>
        <w:t xml:space="preserve">opioid </w:t>
      </w:r>
      <w:r w:rsidRPr="00E95C21">
        <w:rPr>
          <w:rFonts w:cs="Times New Roman"/>
        </w:rPr>
        <w:t>overdose vs 18% of deliveries without OUD</w:t>
      </w:r>
      <w:r>
        <w:rPr>
          <w:rFonts w:cs="Times New Roman"/>
        </w:rPr>
        <w:t>)</w:t>
      </w:r>
      <w:r w:rsidRPr="00E95C21">
        <w:rPr>
          <w:rFonts w:cs="Times New Roman"/>
        </w:rPr>
        <w:t xml:space="preserve"> and depression (85% with overdose vs 61% with OUD but no </w:t>
      </w:r>
      <w:r>
        <w:rPr>
          <w:rFonts w:cs="Times New Roman"/>
        </w:rPr>
        <w:t xml:space="preserve">opioid </w:t>
      </w:r>
      <w:r w:rsidRPr="00E95C21">
        <w:rPr>
          <w:rFonts w:cs="Times New Roman"/>
        </w:rPr>
        <w:t>overdose v</w:t>
      </w:r>
      <w:r>
        <w:rPr>
          <w:rFonts w:cs="Times New Roman"/>
        </w:rPr>
        <w:t>s 19% of deliveries without OUD). And, o</w:t>
      </w:r>
      <w:r w:rsidRPr="00ED554A">
        <w:rPr>
          <w:rFonts w:cs="Times New Roman"/>
        </w:rPr>
        <w:t xml:space="preserve">verall, 64% of women with evidence of OUD </w:t>
      </w:r>
      <w:r>
        <w:rPr>
          <w:rFonts w:cs="Times New Roman"/>
        </w:rPr>
        <w:t xml:space="preserve">who delivered babies </w:t>
      </w:r>
      <w:r w:rsidRPr="00ED554A">
        <w:rPr>
          <w:rFonts w:cs="Times New Roman"/>
        </w:rPr>
        <w:t>received any pharmacotherapy in the year before delivery.</w:t>
      </w:r>
    </w:p>
    <w:p w:rsidR="005F44D7" w:rsidRPr="00881123" w:rsidRDefault="001C5D84" w:rsidP="00881123">
      <w:pPr>
        <w:pStyle w:val="ListParagraph"/>
        <w:numPr>
          <w:ilvl w:val="0"/>
          <w:numId w:val="5"/>
        </w:numPr>
        <w:spacing w:after="200" w:line="276" w:lineRule="auto"/>
        <w:rPr>
          <w:rFonts w:cs="Times New Roman"/>
        </w:rPr>
      </w:pPr>
      <w:r w:rsidRPr="00881123">
        <w:rPr>
          <w:rFonts w:cs="Times New Roman"/>
        </w:rPr>
        <w:t xml:space="preserve">The overall rate of opioid-related overdose events in the cohort was 8.0 per 100,000 person-days. </w:t>
      </w:r>
      <w:r w:rsidR="00881123" w:rsidRPr="00881123">
        <w:rPr>
          <w:rFonts w:cs="Times New Roman"/>
        </w:rPr>
        <w:t xml:space="preserve">Overdoses decreased as women progressed through pregnancy. They were lowest in the third trimester and then increased in the postpartum period. In the period from pregnancy to one year postpartum, </w:t>
      </w:r>
      <w:r w:rsidR="00881123">
        <w:t>t</w:t>
      </w:r>
      <w:r w:rsidR="00881123" w:rsidRPr="00285AEF">
        <w:t>he highest risk of overdose occurred 7-12 months after delivery</w:t>
      </w:r>
      <w:r w:rsidR="00881123">
        <w:t xml:space="preserve">, accounting for 58% of all overdoses during this period. </w:t>
      </w:r>
      <w:r w:rsidR="00BD64D7">
        <w:t xml:space="preserve"> (Figure 1</w:t>
      </w:r>
      <w:r w:rsidR="002B3BC3">
        <w:t>0</w:t>
      </w:r>
      <w:r w:rsidR="00BD64D7">
        <w:t>)</w:t>
      </w:r>
      <w:r>
        <w:t>.</w:t>
      </w: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881123" w:rsidRDefault="00881123"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3E6E55" w:rsidRDefault="003E6E55" w:rsidP="001C5D84">
      <w:pPr>
        <w:autoSpaceDE w:val="0"/>
        <w:autoSpaceDN w:val="0"/>
        <w:adjustRightInd w:val="0"/>
        <w:ind w:left="720"/>
        <w:rPr>
          <w:b/>
        </w:rPr>
      </w:pPr>
    </w:p>
    <w:p w:rsidR="001C5D84" w:rsidRPr="004F6F4E" w:rsidRDefault="001C5D84" w:rsidP="001C5D84">
      <w:pPr>
        <w:autoSpaceDE w:val="0"/>
        <w:autoSpaceDN w:val="0"/>
        <w:adjustRightInd w:val="0"/>
        <w:ind w:left="720"/>
        <w:rPr>
          <w:b/>
        </w:rPr>
      </w:pPr>
      <w:r w:rsidRPr="00CC16FA">
        <w:rPr>
          <w:b/>
        </w:rPr>
        <w:lastRenderedPageBreak/>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10</w:t>
      </w:r>
      <w:r w:rsidRPr="00CC16FA">
        <w:rPr>
          <w:b/>
        </w:rPr>
        <w:fldChar w:fldCharType="end"/>
      </w:r>
      <w:r>
        <w:rPr>
          <w:b/>
        </w:rPr>
        <w:t xml:space="preserve">. </w:t>
      </w:r>
      <w:r w:rsidRPr="004F6F4E">
        <w:rPr>
          <w:b/>
        </w:rPr>
        <w:t>Opioid Overdose Rates Among Pregnant and Parenting Wo</w:t>
      </w:r>
      <w:r>
        <w:rPr>
          <w:b/>
        </w:rPr>
        <w:t xml:space="preserve">men with Evidence of Opioid Use </w:t>
      </w:r>
      <w:r w:rsidRPr="004F6F4E">
        <w:rPr>
          <w:b/>
        </w:rPr>
        <w:t>Disorder in the Year Before Delivery</w:t>
      </w:r>
      <w:r>
        <w:rPr>
          <w:b/>
        </w:rPr>
        <w:t xml:space="preserve">, MA: </w:t>
      </w:r>
      <w:r w:rsidRPr="00903B49">
        <w:rPr>
          <w:b/>
        </w:rPr>
        <w:t>January 1, 2012 to September 30, 2014</w:t>
      </w:r>
    </w:p>
    <w:p w:rsidR="000E2CCC" w:rsidRPr="00BD64D7" w:rsidRDefault="001C5D84" w:rsidP="00BD64D7">
      <w:pPr>
        <w:pStyle w:val="ListParagraph"/>
        <w:ind w:left="360"/>
        <w:rPr>
          <w:rFonts w:cs="Times New Roman"/>
        </w:rPr>
      </w:pPr>
      <w:r>
        <w:rPr>
          <w:noProof/>
        </w:rPr>
        <w:drawing>
          <wp:inline distT="0" distB="0" distL="0" distR="0" wp14:anchorId="5C1A1009" wp14:editId="6EE6097A">
            <wp:extent cx="5829300" cy="2000250"/>
            <wp:effectExtent l="0" t="0" r="0" 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E6E55" w:rsidRDefault="003E6E55" w:rsidP="003E6E55">
      <w:pPr>
        <w:pStyle w:val="ListParagraph"/>
        <w:spacing w:after="240" w:line="276" w:lineRule="auto"/>
        <w:ind w:left="360"/>
        <w:rPr>
          <w:rFonts w:cs="Times New Roman"/>
        </w:rPr>
      </w:pPr>
    </w:p>
    <w:p w:rsidR="001C5D84" w:rsidRPr="00367BF3" w:rsidRDefault="001C5D84" w:rsidP="001C5D84">
      <w:pPr>
        <w:pStyle w:val="ListParagraph"/>
        <w:numPr>
          <w:ilvl w:val="0"/>
          <w:numId w:val="5"/>
        </w:numPr>
        <w:spacing w:after="240" w:line="276" w:lineRule="auto"/>
        <w:rPr>
          <w:rFonts w:cs="Times New Roman"/>
        </w:rPr>
      </w:pPr>
      <w:r w:rsidRPr="006A04A1">
        <w:rPr>
          <w:rFonts w:cs="Times New Roman"/>
        </w:rPr>
        <w:t>Overall,</w:t>
      </w:r>
      <w:r>
        <w:rPr>
          <w:rFonts w:cs="Times New Roman"/>
        </w:rPr>
        <w:t xml:space="preserve"> opioid</w:t>
      </w:r>
      <w:r w:rsidRPr="006A04A1">
        <w:rPr>
          <w:rFonts w:cs="Times New Roman"/>
        </w:rPr>
        <w:t xml:space="preserve"> overdose </w:t>
      </w:r>
      <w:r>
        <w:rPr>
          <w:rFonts w:cs="Times New Roman"/>
        </w:rPr>
        <w:t xml:space="preserve">rates among women receiving </w:t>
      </w:r>
      <w:r w:rsidRPr="006A04A1">
        <w:rPr>
          <w:rFonts w:cs="Times New Roman"/>
        </w:rPr>
        <w:t>pharmacotherapy</w:t>
      </w:r>
      <w:r w:rsidRPr="005F44D7">
        <w:rPr>
          <w:rStyle w:val="FootnoteReference"/>
        </w:rPr>
        <w:footnoteReference w:id="29"/>
      </w:r>
      <w:r w:rsidRPr="006A04A1">
        <w:rPr>
          <w:rFonts w:cs="Times New Roman"/>
        </w:rPr>
        <w:t xml:space="preserve"> in the month of overdose were significantly lower compared with those not receiving pharmacotherapy.</w:t>
      </w:r>
      <w:r>
        <w:rPr>
          <w:rFonts w:cs="Times New Roman"/>
        </w:rPr>
        <w:t xml:space="preserve"> </w:t>
      </w:r>
      <w:r w:rsidRPr="008C3C35">
        <w:rPr>
          <w:rFonts w:cs="Times New Roman"/>
        </w:rPr>
        <w:t xml:space="preserve">When comparing opioid overdose rates by receipt of pharmacotherapy, rates on treatment are lower than rates off treatment in every time period except </w:t>
      </w:r>
      <w:r>
        <w:rPr>
          <w:rFonts w:cs="Times New Roman"/>
        </w:rPr>
        <w:t>the</w:t>
      </w:r>
      <w:r w:rsidRPr="008C3C35">
        <w:rPr>
          <w:rFonts w:cs="Times New Roman"/>
        </w:rPr>
        <w:t xml:space="preserve"> third trimester, when the number of events was low in both groups</w:t>
      </w:r>
      <w:r>
        <w:rPr>
          <w:rFonts w:cs="Times New Roman"/>
        </w:rPr>
        <w:t>. Rates</w:t>
      </w:r>
      <w:r w:rsidRPr="008C3C35">
        <w:rPr>
          <w:rFonts w:cs="Times New Roman"/>
        </w:rPr>
        <w:t xml:space="preserve"> reached statistical significance 4</w:t>
      </w:r>
      <w:r>
        <w:rPr>
          <w:rFonts w:cs="Times New Roman"/>
        </w:rPr>
        <w:t>-</w:t>
      </w:r>
      <w:r w:rsidRPr="008C3C35">
        <w:rPr>
          <w:rFonts w:cs="Times New Roman"/>
        </w:rPr>
        <w:t>6 months post-delivery (1.3/100,000 person-days on pharmacotherapy [95% CI 0.16–4.74] vs 10.7/100,000 person-days for those not on pharmacotherapy [95% CI 6.84–15.88]. At 7</w:t>
      </w:r>
      <w:r>
        <w:rPr>
          <w:rFonts w:cs="Times New Roman"/>
        </w:rPr>
        <w:t>-</w:t>
      </w:r>
      <w:r w:rsidRPr="008C3C35">
        <w:rPr>
          <w:rFonts w:cs="Times New Roman"/>
        </w:rPr>
        <w:t>12 months postpartum, the opioid overdose rates increased for both women receiving pharmacotherapy and those not receiving treatment</w:t>
      </w:r>
      <w:r w:rsidR="00BD64D7">
        <w:rPr>
          <w:rFonts w:cs="Times New Roman"/>
        </w:rPr>
        <w:t xml:space="preserve"> (Figure 1</w:t>
      </w:r>
      <w:r w:rsidR="002B3BC3">
        <w:rPr>
          <w:rFonts w:cs="Times New Roman"/>
        </w:rPr>
        <w:t>1</w:t>
      </w:r>
      <w:r w:rsidR="00BD64D7">
        <w:rPr>
          <w:rFonts w:cs="Times New Roman"/>
        </w:rPr>
        <w:t>)</w:t>
      </w:r>
      <w:r>
        <w:rPr>
          <w:rFonts w:cs="Times New Roman"/>
        </w:rPr>
        <w:t>.</w:t>
      </w:r>
    </w:p>
    <w:p w:rsidR="001C5D84" w:rsidRPr="00CB2D0C" w:rsidRDefault="001C5D84" w:rsidP="001C5D84">
      <w:pPr>
        <w:pStyle w:val="ListParagraph"/>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11</w:t>
      </w:r>
      <w:r w:rsidRPr="00CC16FA">
        <w:rPr>
          <w:b/>
        </w:rPr>
        <w:fldChar w:fldCharType="end"/>
      </w:r>
      <w:r>
        <w:rPr>
          <w:b/>
        </w:rPr>
        <w:t>. Overdose Ev</w:t>
      </w:r>
      <w:r w:rsidRPr="0049265D">
        <w:rPr>
          <w:b/>
        </w:rPr>
        <w:t xml:space="preserve">ents </w:t>
      </w:r>
      <w:r>
        <w:rPr>
          <w:b/>
        </w:rPr>
        <w:t>by</w:t>
      </w:r>
      <w:r w:rsidRPr="0049265D">
        <w:rPr>
          <w:b/>
        </w:rPr>
        <w:t xml:space="preserve"> </w:t>
      </w:r>
      <w:r>
        <w:rPr>
          <w:b/>
        </w:rPr>
        <w:t>P</w:t>
      </w:r>
      <w:r w:rsidRPr="0049265D">
        <w:rPr>
          <w:b/>
        </w:rPr>
        <w:t>harmacotherapy</w:t>
      </w:r>
      <w:r>
        <w:rPr>
          <w:b/>
        </w:rPr>
        <w:t xml:space="preserve">, MA: </w:t>
      </w:r>
      <w:r w:rsidRPr="00903B49">
        <w:rPr>
          <w:b/>
        </w:rPr>
        <w:t>January 1, 2012 to September 30, 2014</w:t>
      </w:r>
    </w:p>
    <w:p w:rsidR="001C5D84" w:rsidRPr="000663E7" w:rsidRDefault="001C5D84" w:rsidP="001C5D84">
      <w:pPr>
        <w:pStyle w:val="ListParagraph"/>
        <w:ind w:left="1530" w:hanging="1080"/>
        <w:rPr>
          <w:rFonts w:cs="Times New Roman"/>
        </w:rPr>
      </w:pPr>
      <w:r>
        <w:rPr>
          <w:noProof/>
        </w:rPr>
        <w:drawing>
          <wp:inline distT="0" distB="0" distL="0" distR="0" wp14:anchorId="0A066FDB" wp14:editId="33FDD2A4">
            <wp:extent cx="5305425" cy="2886075"/>
            <wp:effectExtent l="0" t="0" r="0" 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3198D" w:rsidRPr="00D3478C" w:rsidRDefault="001C5D84" w:rsidP="001C5D84">
      <w:pPr>
        <w:pStyle w:val="Heading2"/>
        <w:spacing w:before="0"/>
        <w:rPr>
          <w:sz w:val="36"/>
          <w:szCs w:val="36"/>
        </w:rPr>
      </w:pPr>
      <w:r>
        <w:br w:type="page"/>
      </w:r>
      <w:bookmarkStart w:id="9" w:name="_Toc20134878"/>
      <w:r w:rsidR="005E70E9" w:rsidRPr="00D3478C">
        <w:rPr>
          <w:sz w:val="36"/>
          <w:szCs w:val="36"/>
        </w:rPr>
        <w:lastRenderedPageBreak/>
        <w:t>Criminal Justice-Inmates recently released from prisons/jails</w:t>
      </w:r>
      <w:bookmarkEnd w:id="9"/>
    </w:p>
    <w:p w:rsidR="003E2D0F" w:rsidRDefault="003E2D0F" w:rsidP="00FC49D4">
      <w:pPr>
        <w:rPr>
          <w:rFonts w:cs="Times New Roman"/>
          <w:b/>
        </w:rPr>
      </w:pPr>
    </w:p>
    <w:p w:rsidR="000515C7" w:rsidRDefault="00F12DCB" w:rsidP="00FC49D4">
      <w:pPr>
        <w:rPr>
          <w:rFonts w:cs="Times New Roman"/>
          <w:b/>
        </w:rPr>
      </w:pPr>
      <w:r>
        <w:rPr>
          <w:rFonts w:cs="Times New Roman"/>
          <w:b/>
        </w:rPr>
        <w:t xml:space="preserve">Background: </w:t>
      </w:r>
    </w:p>
    <w:p w:rsidR="005E70E9" w:rsidRDefault="005E70E9" w:rsidP="00776D45">
      <w:pPr>
        <w:rPr>
          <w:rFonts w:cs="Times New Roman"/>
        </w:rPr>
      </w:pPr>
      <w:r w:rsidRPr="00F448B1">
        <w:rPr>
          <w:rFonts w:cs="Times New Roman"/>
        </w:rPr>
        <w:t xml:space="preserve">There is a large overlap between people involved in the criminal justice system and people who </w:t>
      </w:r>
      <w:r>
        <w:rPr>
          <w:rFonts w:cs="Times New Roman"/>
        </w:rPr>
        <w:t>mis</w:t>
      </w:r>
      <w:r w:rsidRPr="00F448B1">
        <w:rPr>
          <w:rFonts w:cs="Times New Roman"/>
        </w:rPr>
        <w:t>use substances. In a survey of State and Federal prisoners, the Department of Justice’s (DOJ) Bureau of Justice Statistics (BJS) estimates that about half of the prisoners in the U</w:t>
      </w:r>
      <w:r w:rsidR="00F34359">
        <w:rPr>
          <w:rFonts w:cs="Times New Roman"/>
        </w:rPr>
        <w:t>.</w:t>
      </w:r>
      <w:r w:rsidRPr="00F448B1">
        <w:rPr>
          <w:rFonts w:cs="Times New Roman"/>
        </w:rPr>
        <w:t>S</w:t>
      </w:r>
      <w:r w:rsidR="00F34359">
        <w:rPr>
          <w:rFonts w:cs="Times New Roman"/>
        </w:rPr>
        <w:t>.</w:t>
      </w:r>
      <w:r w:rsidRPr="00F448B1">
        <w:rPr>
          <w:rFonts w:cs="Times New Roman"/>
        </w:rPr>
        <w:t xml:space="preserve"> meet Diagnostic and Statistical Manual for Mental Disorders (DSM) criteria for substance use disorders,</w:t>
      </w:r>
      <w:r w:rsidR="00D06504">
        <w:rPr>
          <w:rFonts w:cs="Times New Roman"/>
        </w:rPr>
        <w:t xml:space="preserve"> </w:t>
      </w:r>
      <w:r w:rsidRPr="00F448B1">
        <w:rPr>
          <w:rFonts w:cs="Times New Roman"/>
        </w:rPr>
        <w:t xml:space="preserve">yet fewer than </w:t>
      </w:r>
      <w:r>
        <w:rPr>
          <w:rFonts w:cs="Times New Roman"/>
        </w:rPr>
        <w:t>20%</w:t>
      </w:r>
      <w:r w:rsidRPr="00F448B1">
        <w:rPr>
          <w:rFonts w:cs="Times New Roman"/>
        </w:rPr>
        <w:t xml:space="preserve"> who need treatment receive it.</w:t>
      </w:r>
      <w:r w:rsidRPr="005F44D7">
        <w:rPr>
          <w:rStyle w:val="FootnoteReference"/>
        </w:rPr>
        <w:footnoteReference w:id="30"/>
      </w:r>
      <w:r w:rsidRPr="00F448B1">
        <w:rPr>
          <w:rFonts w:cs="Times New Roman"/>
          <w:vertAlign w:val="superscript"/>
        </w:rPr>
        <w:t>,</w:t>
      </w:r>
      <w:r w:rsidRPr="005F44D7">
        <w:rPr>
          <w:rStyle w:val="FootnoteReference"/>
        </w:rPr>
        <w:footnoteReference w:id="31"/>
      </w:r>
      <w:r>
        <w:rPr>
          <w:rFonts w:cs="Times New Roman"/>
        </w:rPr>
        <w:t xml:space="preserve"> Of those surveyed, 14.8% of State and 17.4% </w:t>
      </w:r>
      <w:r w:rsidRPr="00F448B1">
        <w:rPr>
          <w:rFonts w:cs="Times New Roman"/>
        </w:rPr>
        <w:t>of Federal prisoners reported having received drug treatment since admission.</w:t>
      </w:r>
      <w:r w:rsidRPr="005F44D7">
        <w:rPr>
          <w:rStyle w:val="FootnoteReference"/>
        </w:rPr>
        <w:footnoteReference w:id="32"/>
      </w:r>
    </w:p>
    <w:p w:rsidR="00FC49D4" w:rsidRPr="00F448B1" w:rsidRDefault="00FC49D4" w:rsidP="00776D45">
      <w:pPr>
        <w:rPr>
          <w:rFonts w:cs="Times New Roman"/>
        </w:rPr>
      </w:pPr>
    </w:p>
    <w:p w:rsidR="005E70E9" w:rsidRDefault="005E70E9" w:rsidP="00776D45">
      <w:pPr>
        <w:rPr>
          <w:rFonts w:cs="Times New Roman"/>
          <w:b/>
          <w:i/>
          <w:color w:val="7030A0"/>
        </w:rPr>
      </w:pPr>
      <w:r w:rsidRPr="00F448B1">
        <w:rPr>
          <w:rFonts w:cs="Times New Roman"/>
        </w:rPr>
        <w:t>Inmates released from correctional facilities are a</w:t>
      </w:r>
      <w:r>
        <w:rPr>
          <w:rFonts w:cs="Times New Roman"/>
        </w:rPr>
        <w:t>t an increased risk of overdose</w:t>
      </w:r>
      <w:r w:rsidR="00F44B92">
        <w:rPr>
          <w:rFonts w:cs="Times New Roman"/>
        </w:rPr>
        <w:t>.</w:t>
      </w:r>
      <w:r w:rsidRPr="005F44D7">
        <w:rPr>
          <w:rStyle w:val="FootnoteReference"/>
        </w:rPr>
        <w:footnoteReference w:id="33"/>
      </w:r>
      <w:r>
        <w:rPr>
          <w:rFonts w:cs="Times New Roman"/>
        </w:rPr>
        <w:t xml:space="preserve"> </w:t>
      </w:r>
      <w:r w:rsidRPr="00F448B1">
        <w:rPr>
          <w:rFonts w:cs="Times New Roman"/>
        </w:rPr>
        <w:t xml:space="preserve"> </w:t>
      </w:r>
      <w:hyperlink r:id="rId41" w:history="1">
        <w:r w:rsidR="00B0004B" w:rsidRPr="00B0004B">
          <w:rPr>
            <w:rStyle w:val="Hyperlink"/>
          </w:rPr>
          <w:t>Previous findings</w:t>
        </w:r>
      </w:hyperlink>
      <w:r w:rsidR="00B0004B">
        <w:rPr>
          <w:rFonts w:cs="Times New Roman"/>
        </w:rPr>
        <w:t xml:space="preserve"> </w:t>
      </w:r>
      <w:r w:rsidR="00045627">
        <w:rPr>
          <w:rFonts w:cs="Times New Roman"/>
        </w:rPr>
        <w:t xml:space="preserve">concluded </w:t>
      </w:r>
      <w:r w:rsidR="00D06504" w:rsidRPr="0053198D">
        <w:rPr>
          <w:rFonts w:cs="Times New Roman"/>
        </w:rPr>
        <w:t xml:space="preserve">that individuals recently released from Massachusetts prisons were 56 </w:t>
      </w:r>
      <w:r w:rsidR="00660C40">
        <w:rPr>
          <w:rFonts w:cs="Times New Roman"/>
        </w:rPr>
        <w:t xml:space="preserve">times </w:t>
      </w:r>
      <w:r w:rsidR="00D06504" w:rsidRPr="0053198D">
        <w:rPr>
          <w:rFonts w:cs="Times New Roman"/>
        </w:rPr>
        <w:t>more likely to die from an opioid-related overdose.</w:t>
      </w:r>
      <w:r w:rsidR="00D06504">
        <w:rPr>
          <w:rFonts w:cs="Times New Roman"/>
        </w:rPr>
        <w:t xml:space="preserve"> </w:t>
      </w:r>
      <w:r>
        <w:rPr>
          <w:rFonts w:cs="Times New Roman"/>
        </w:rPr>
        <w:t xml:space="preserve">Many factors can contribute to </w:t>
      </w:r>
      <w:r w:rsidRPr="00F448B1">
        <w:rPr>
          <w:rFonts w:cs="Times New Roman"/>
        </w:rPr>
        <w:t xml:space="preserve">this increased risk </w:t>
      </w:r>
      <w:r>
        <w:rPr>
          <w:rFonts w:cs="Times New Roman"/>
        </w:rPr>
        <w:t>including that</w:t>
      </w:r>
      <w:r w:rsidRPr="00F448B1">
        <w:rPr>
          <w:rFonts w:cs="Times New Roman"/>
        </w:rPr>
        <w:t xml:space="preserve"> evidence</w:t>
      </w:r>
      <w:r w:rsidR="00660C40">
        <w:rPr>
          <w:rFonts w:cs="Times New Roman"/>
        </w:rPr>
        <w:t>-</w:t>
      </w:r>
      <w:r w:rsidRPr="00F448B1">
        <w:rPr>
          <w:rFonts w:cs="Times New Roman"/>
        </w:rPr>
        <w:t xml:space="preserve">based, individualized treatment may not be available within the correctional facilities. </w:t>
      </w:r>
      <w:r>
        <w:rPr>
          <w:rFonts w:cs="Times New Roman"/>
        </w:rPr>
        <w:t xml:space="preserve">In addition, </w:t>
      </w:r>
      <w:r w:rsidRPr="00F448B1">
        <w:rPr>
          <w:rFonts w:cs="Times New Roman"/>
        </w:rPr>
        <w:t>due to prolonged abstinence and the resulting reduction in tolerance, a similar dose as the one used prior to incarceration may pose a significantly high risk of overdose. A</w:t>
      </w:r>
      <w:r w:rsidRPr="00F448B1">
        <w:rPr>
          <w:rFonts w:cs="Times New Roman"/>
          <w:color w:val="000000"/>
        </w:rPr>
        <w:t xml:space="preserve"> large study conducted in Washington State found that within the first two weeks after release, the rate of death from overdose was</w:t>
      </w:r>
      <w:r>
        <w:rPr>
          <w:rFonts w:cs="Times New Roman"/>
          <w:color w:val="000000"/>
        </w:rPr>
        <w:t xml:space="preserve"> 1,840 per 100,000 person-years, resulting in inmates being </w:t>
      </w:r>
      <w:r w:rsidRPr="00F448B1">
        <w:rPr>
          <w:rFonts w:cs="Times New Roman"/>
          <w:color w:val="000000"/>
        </w:rPr>
        <w:t>129</w:t>
      </w:r>
      <w:r w:rsidRPr="00F448B1">
        <w:rPr>
          <w:rFonts w:cs="Times New Roman"/>
        </w:rPr>
        <w:t xml:space="preserve"> times as likely to die of an overdose compared to other state residents </w:t>
      </w:r>
      <w:r>
        <w:rPr>
          <w:rFonts w:cs="Times New Roman"/>
        </w:rPr>
        <w:t xml:space="preserve">during </w:t>
      </w:r>
      <w:r w:rsidRPr="00F448B1">
        <w:rPr>
          <w:rFonts w:cs="Times New Roman"/>
        </w:rPr>
        <w:t>the first two weeks after release.</w:t>
      </w:r>
      <w:r w:rsidRPr="005F44D7">
        <w:rPr>
          <w:rStyle w:val="FootnoteReference"/>
        </w:rPr>
        <w:footnoteReference w:id="34"/>
      </w:r>
      <w:r w:rsidRPr="00F448B1">
        <w:rPr>
          <w:rFonts w:cs="Times New Roman"/>
          <w:b/>
          <w:i/>
          <w:color w:val="7030A0"/>
        </w:rPr>
        <w:tab/>
      </w:r>
      <w:r w:rsidR="00D06504">
        <w:rPr>
          <w:rFonts w:cs="Times New Roman"/>
          <w:b/>
          <w:i/>
          <w:color w:val="7030A0"/>
        </w:rPr>
        <w:tab/>
      </w:r>
    </w:p>
    <w:p w:rsidR="002B640F" w:rsidRPr="00776D45" w:rsidRDefault="002B640F" w:rsidP="00FC49D4">
      <w:pPr>
        <w:tabs>
          <w:tab w:val="left" w:pos="8310"/>
        </w:tabs>
        <w:rPr>
          <w:rFonts w:cs="Times New Roman"/>
          <w:color w:val="7030A0"/>
        </w:rPr>
      </w:pPr>
    </w:p>
    <w:p w:rsidR="00CA78AF" w:rsidRPr="000515C7" w:rsidRDefault="00810ECA" w:rsidP="00FC49D4">
      <w:pPr>
        <w:rPr>
          <w:rFonts w:cs="Times New Roman"/>
          <w:b/>
        </w:rPr>
      </w:pPr>
      <w:r w:rsidRPr="000515C7">
        <w:rPr>
          <w:rFonts w:cs="Times New Roman"/>
          <w:b/>
        </w:rPr>
        <w:t>Key Findings:</w:t>
      </w:r>
    </w:p>
    <w:p w:rsidR="00493B28" w:rsidRPr="00493B28" w:rsidRDefault="005E70E9" w:rsidP="00776D45">
      <w:pPr>
        <w:pStyle w:val="ListParagraph"/>
        <w:numPr>
          <w:ilvl w:val="0"/>
          <w:numId w:val="5"/>
        </w:numPr>
      </w:pPr>
      <w:r w:rsidRPr="00493B28">
        <w:rPr>
          <w:rFonts w:cs="Times New Roman"/>
        </w:rPr>
        <w:t xml:space="preserve">Women experiencing a postpartum </w:t>
      </w:r>
      <w:r w:rsidR="009D3806" w:rsidRPr="00493B28">
        <w:rPr>
          <w:rFonts w:cs="Times New Roman"/>
        </w:rPr>
        <w:t xml:space="preserve">opioid </w:t>
      </w:r>
      <w:r w:rsidRPr="00493B28">
        <w:rPr>
          <w:rFonts w:cs="Times New Roman"/>
        </w:rPr>
        <w:t xml:space="preserve">overdose were more likely to have been incarcerated in the 12 months before delivery or during the month of delivery (9.5% v. 0.2%) compared to women not experiencing a postpartum </w:t>
      </w:r>
      <w:r w:rsidR="00F44B92">
        <w:rPr>
          <w:rFonts w:cs="Times New Roman"/>
        </w:rPr>
        <w:t>opioid overdo</w:t>
      </w:r>
      <w:r w:rsidR="00BD64D7">
        <w:rPr>
          <w:rFonts w:cs="Times New Roman"/>
        </w:rPr>
        <w:t>s</w:t>
      </w:r>
      <w:r w:rsidR="00F44B92">
        <w:rPr>
          <w:rFonts w:cs="Times New Roman"/>
        </w:rPr>
        <w:t>es</w:t>
      </w:r>
      <w:r w:rsidR="00BD64D7">
        <w:rPr>
          <w:rFonts w:cs="Times New Roman"/>
        </w:rPr>
        <w:t xml:space="preserve"> (Figure 1</w:t>
      </w:r>
      <w:r w:rsidR="002B3BC3">
        <w:rPr>
          <w:rFonts w:cs="Times New Roman"/>
        </w:rPr>
        <w:t>2</w:t>
      </w:r>
      <w:r w:rsidR="00BD64D7">
        <w:rPr>
          <w:rFonts w:cs="Times New Roman"/>
        </w:rPr>
        <w:t>)</w:t>
      </w:r>
      <w:r w:rsidR="00F73E9A" w:rsidRPr="00493B28">
        <w:rPr>
          <w:rFonts w:cs="Times New Roman"/>
        </w:rPr>
        <w:t>.</w:t>
      </w:r>
      <w:r w:rsidRPr="00493B28">
        <w:rPr>
          <w:rFonts w:cs="Times New Roman"/>
        </w:rPr>
        <w:t xml:space="preserve"> </w:t>
      </w:r>
    </w:p>
    <w:p w:rsidR="00B929A5" w:rsidRDefault="00B929A5" w:rsidP="00776D45">
      <w:pPr>
        <w:pStyle w:val="ListParagraph"/>
        <w:spacing w:line="276" w:lineRule="auto"/>
        <w:rPr>
          <w:b/>
        </w:rPr>
      </w:pPr>
    </w:p>
    <w:p w:rsidR="00322D78" w:rsidRPr="00493B28" w:rsidRDefault="002B640F" w:rsidP="000962DC">
      <w:pPr>
        <w:pStyle w:val="ListParagraph"/>
        <w:ind w:left="360"/>
      </w:pPr>
      <w:r w:rsidRPr="00493B28">
        <w:rPr>
          <w:b/>
        </w:rPr>
        <w:t xml:space="preserve">Figure </w:t>
      </w:r>
      <w:r w:rsidRPr="00493B28">
        <w:rPr>
          <w:b/>
        </w:rPr>
        <w:fldChar w:fldCharType="begin"/>
      </w:r>
      <w:r w:rsidRPr="00493B28">
        <w:rPr>
          <w:b/>
        </w:rPr>
        <w:instrText xml:space="preserve"> SEQ Figure \* ARABIC </w:instrText>
      </w:r>
      <w:r w:rsidRPr="00493B28">
        <w:rPr>
          <w:b/>
        </w:rPr>
        <w:fldChar w:fldCharType="separate"/>
      </w:r>
      <w:r w:rsidR="002B3BC3">
        <w:rPr>
          <w:b/>
          <w:noProof/>
        </w:rPr>
        <w:t>12</w:t>
      </w:r>
      <w:r w:rsidRPr="00493B28">
        <w:rPr>
          <w:b/>
        </w:rPr>
        <w:fldChar w:fldCharType="end"/>
      </w:r>
      <w:r w:rsidRPr="00493B28">
        <w:rPr>
          <w:b/>
        </w:rPr>
        <w:t xml:space="preserve">. </w:t>
      </w:r>
      <w:r w:rsidR="00755249" w:rsidRPr="00493B28">
        <w:rPr>
          <w:b/>
        </w:rPr>
        <w:t>Mothers Incarcerated</w:t>
      </w:r>
      <w:r w:rsidRPr="00493B28">
        <w:rPr>
          <w:b/>
        </w:rPr>
        <w:t xml:space="preserve"> in Jail or Prison in the 12 </w:t>
      </w:r>
      <w:r w:rsidR="001D6148">
        <w:rPr>
          <w:b/>
        </w:rPr>
        <w:t>M</w:t>
      </w:r>
      <w:r w:rsidR="001D6148" w:rsidRPr="00493B28">
        <w:rPr>
          <w:b/>
        </w:rPr>
        <w:t xml:space="preserve">onths </w:t>
      </w:r>
      <w:r w:rsidR="001D6148">
        <w:rPr>
          <w:b/>
        </w:rPr>
        <w:t>B</w:t>
      </w:r>
      <w:r w:rsidRPr="00493B28">
        <w:rPr>
          <w:b/>
        </w:rPr>
        <w:t xml:space="preserve">efore </w:t>
      </w:r>
      <w:r w:rsidR="001D6148">
        <w:rPr>
          <w:b/>
        </w:rPr>
        <w:t>D</w:t>
      </w:r>
      <w:r w:rsidR="001D6148" w:rsidRPr="00493B28">
        <w:rPr>
          <w:b/>
        </w:rPr>
        <w:t xml:space="preserve">elivery </w:t>
      </w:r>
      <w:r w:rsidR="00755249" w:rsidRPr="00493B28">
        <w:rPr>
          <w:b/>
        </w:rPr>
        <w:t>or</w:t>
      </w:r>
      <w:r w:rsidRPr="00493B28">
        <w:rPr>
          <w:b/>
        </w:rPr>
        <w:t xml:space="preserve"> </w:t>
      </w:r>
      <w:r w:rsidR="001D6148">
        <w:rPr>
          <w:b/>
        </w:rPr>
        <w:t>D</w:t>
      </w:r>
      <w:r w:rsidR="001D6148" w:rsidRPr="00493B28">
        <w:rPr>
          <w:b/>
        </w:rPr>
        <w:t xml:space="preserve">uring </w:t>
      </w:r>
      <w:r w:rsidRPr="00493B28">
        <w:rPr>
          <w:b/>
        </w:rPr>
        <w:t xml:space="preserve">the </w:t>
      </w:r>
      <w:r w:rsidR="001D6148">
        <w:rPr>
          <w:b/>
        </w:rPr>
        <w:t>M</w:t>
      </w:r>
      <w:r w:rsidR="001D6148" w:rsidRPr="00493B28">
        <w:rPr>
          <w:b/>
        </w:rPr>
        <w:t xml:space="preserve">onth </w:t>
      </w:r>
      <w:r w:rsidRPr="00493B28">
        <w:rPr>
          <w:b/>
        </w:rPr>
        <w:t xml:space="preserve">of </w:t>
      </w:r>
      <w:r w:rsidR="001D6148">
        <w:rPr>
          <w:b/>
        </w:rPr>
        <w:t>D</w:t>
      </w:r>
      <w:r w:rsidR="001D6148" w:rsidRPr="00493B28">
        <w:rPr>
          <w:b/>
        </w:rPr>
        <w:t>elivery</w:t>
      </w:r>
      <w:r w:rsidR="00CA78AF" w:rsidRPr="00493B28">
        <w:rPr>
          <w:b/>
        </w:rPr>
        <w:t xml:space="preserve">, MA: January 1st, 2012 </w:t>
      </w:r>
      <w:r w:rsidR="00F44B92">
        <w:rPr>
          <w:b/>
        </w:rPr>
        <w:t>to</w:t>
      </w:r>
      <w:r w:rsidR="00F44B92" w:rsidRPr="00493B28">
        <w:rPr>
          <w:b/>
        </w:rPr>
        <w:t xml:space="preserve"> </w:t>
      </w:r>
      <w:r w:rsidR="00CA78AF" w:rsidRPr="00493B28">
        <w:rPr>
          <w:b/>
        </w:rPr>
        <w:t>September 30th, 2014</w:t>
      </w:r>
      <w:r w:rsidR="00082019" w:rsidRPr="00082019">
        <w:rPr>
          <w:noProof/>
        </w:rPr>
        <w:t xml:space="preserve"> </w:t>
      </w:r>
      <w:r w:rsidR="00207F8E">
        <w:rPr>
          <w:noProof/>
        </w:rPr>
        <w:drawing>
          <wp:inline distT="0" distB="0" distL="0" distR="0" wp14:anchorId="2B86AC41" wp14:editId="688B08CF">
            <wp:extent cx="5943600" cy="175922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93B28" w:rsidRPr="00C10D05" w:rsidRDefault="005E70E9" w:rsidP="00C10D05">
      <w:pPr>
        <w:pStyle w:val="ListParagraph"/>
        <w:numPr>
          <w:ilvl w:val="0"/>
          <w:numId w:val="5"/>
        </w:numPr>
        <w:spacing w:after="200" w:line="276" w:lineRule="auto"/>
        <w:rPr>
          <w:rFonts w:cs="Times New Roman"/>
        </w:rPr>
      </w:pPr>
      <w:r>
        <w:rPr>
          <w:rFonts w:cs="Times New Roman"/>
        </w:rPr>
        <w:lastRenderedPageBreak/>
        <w:t>A</w:t>
      </w:r>
      <w:r w:rsidR="0017732F">
        <w:rPr>
          <w:rFonts w:cs="Times New Roman"/>
        </w:rPr>
        <w:t>mong MassHealth</w:t>
      </w:r>
      <w:r w:rsidR="00660C40">
        <w:rPr>
          <w:rFonts w:cs="Times New Roman"/>
        </w:rPr>
        <w:t>/Medicaid</w:t>
      </w:r>
      <w:r w:rsidR="00C10D05">
        <w:rPr>
          <w:rFonts w:cs="Times New Roman"/>
        </w:rPr>
        <w:t xml:space="preserve"> members, </w:t>
      </w:r>
      <w:r w:rsidR="00C10D05" w:rsidRPr="00C10D05">
        <w:rPr>
          <w:rFonts w:cs="Times New Roman"/>
        </w:rPr>
        <w:t>people recently released from incarceration had the high risk of both non-fatal and fatal opioid overdose, after adjusting for other risk factors. They were</w:t>
      </w:r>
      <w:r w:rsidR="00C10D05" w:rsidRPr="00AA37B9">
        <w:t xml:space="preserve"> 60% more likely to have </w:t>
      </w:r>
      <w:r w:rsidR="00C10D05">
        <w:t xml:space="preserve">only </w:t>
      </w:r>
      <w:r w:rsidR="00C10D05" w:rsidRPr="00AA37B9">
        <w:t>a fatal opioid overdose, more than twice as likely to experience</w:t>
      </w:r>
      <w:r w:rsidR="00C10D05">
        <w:t xml:space="preserve"> only</w:t>
      </w:r>
      <w:r w:rsidR="00C10D05" w:rsidRPr="00C10D05">
        <w:rPr>
          <w:rFonts w:eastAsiaTheme="minorEastAsia" w:hAnsi="Calibri"/>
          <w:color w:val="000000" w:themeColor="text1"/>
          <w:kern w:val="24"/>
          <w:sz w:val="32"/>
          <w:szCs w:val="32"/>
        </w:rPr>
        <w:t xml:space="preserve"> </w:t>
      </w:r>
      <w:r w:rsidR="00C10D05" w:rsidRPr="00AA37B9">
        <w:t xml:space="preserve">a non-fatal opioid overdose, and twice as likely to have </w:t>
      </w:r>
      <w:r w:rsidR="00C10D05">
        <w:t xml:space="preserve">both </w:t>
      </w:r>
      <w:r w:rsidR="00C10D05" w:rsidRPr="00AA37B9">
        <w:t xml:space="preserve">a non-fatal </w:t>
      </w:r>
      <w:r w:rsidR="00C10D05">
        <w:t>and</w:t>
      </w:r>
      <w:r w:rsidR="00C10D05" w:rsidRPr="00AA37B9">
        <w:t xml:space="preserve"> fatal opioid overdose.</w:t>
      </w:r>
    </w:p>
    <w:p w:rsidR="00493B28" w:rsidRDefault="00A32926" w:rsidP="00493B28">
      <w:pPr>
        <w:pStyle w:val="Default"/>
        <w:ind w:left="720"/>
        <w:rPr>
          <w:rFonts w:asciiTheme="minorHAnsi" w:hAnsiTheme="minorHAnsi"/>
          <w:b/>
          <w:bCs/>
          <w:color w:val="auto"/>
          <w:sz w:val="22"/>
          <w:szCs w:val="22"/>
        </w:rPr>
      </w:pPr>
      <w:r w:rsidRPr="00A32926">
        <w:rPr>
          <w:rFonts w:asciiTheme="minorHAnsi" w:hAnsiTheme="minorHAnsi"/>
          <w:b/>
          <w:color w:val="auto"/>
          <w:sz w:val="22"/>
          <w:szCs w:val="22"/>
        </w:rPr>
        <w:t xml:space="preserve">Figure </w:t>
      </w:r>
      <w:r w:rsidRPr="00A32926">
        <w:rPr>
          <w:rFonts w:asciiTheme="minorHAnsi" w:hAnsiTheme="minorHAnsi"/>
          <w:b/>
          <w:color w:val="auto"/>
          <w:sz w:val="22"/>
          <w:szCs w:val="22"/>
        </w:rPr>
        <w:fldChar w:fldCharType="begin"/>
      </w:r>
      <w:r w:rsidRPr="00A32926">
        <w:rPr>
          <w:rFonts w:asciiTheme="minorHAnsi" w:hAnsiTheme="minorHAnsi"/>
          <w:b/>
          <w:color w:val="auto"/>
          <w:sz w:val="22"/>
          <w:szCs w:val="22"/>
        </w:rPr>
        <w:instrText xml:space="preserve"> SEQ Figure \* ARABIC </w:instrText>
      </w:r>
      <w:r w:rsidRPr="00A32926">
        <w:rPr>
          <w:rFonts w:asciiTheme="minorHAnsi" w:hAnsiTheme="minorHAnsi"/>
          <w:b/>
          <w:color w:val="auto"/>
          <w:sz w:val="22"/>
          <w:szCs w:val="22"/>
        </w:rPr>
        <w:fldChar w:fldCharType="separate"/>
      </w:r>
      <w:r w:rsidR="002B3BC3">
        <w:rPr>
          <w:rFonts w:asciiTheme="minorHAnsi" w:hAnsiTheme="minorHAnsi"/>
          <w:b/>
          <w:noProof/>
          <w:color w:val="auto"/>
          <w:sz w:val="22"/>
          <w:szCs w:val="22"/>
        </w:rPr>
        <w:t>13</w:t>
      </w:r>
      <w:r w:rsidRPr="00A32926">
        <w:rPr>
          <w:rFonts w:asciiTheme="minorHAnsi" w:hAnsiTheme="minorHAnsi"/>
          <w:b/>
          <w:color w:val="auto"/>
          <w:sz w:val="22"/>
          <w:szCs w:val="22"/>
        </w:rPr>
        <w:fldChar w:fldCharType="end"/>
      </w:r>
      <w:r w:rsidRPr="00A32926">
        <w:rPr>
          <w:rFonts w:asciiTheme="minorHAnsi" w:hAnsiTheme="minorHAnsi"/>
          <w:b/>
          <w:color w:val="auto"/>
          <w:sz w:val="22"/>
          <w:szCs w:val="22"/>
        </w:rPr>
        <w:t xml:space="preserve">. </w:t>
      </w:r>
      <w:r>
        <w:rPr>
          <w:rFonts w:asciiTheme="minorHAnsi" w:hAnsiTheme="minorHAnsi" w:cs="Times New Roman"/>
          <w:b/>
          <w:color w:val="auto"/>
          <w:sz w:val="22"/>
          <w:szCs w:val="22"/>
        </w:rPr>
        <w:t>Criminal Justice Involvement</w:t>
      </w:r>
      <w:r w:rsidRPr="00A32926">
        <w:rPr>
          <w:rFonts w:asciiTheme="minorHAnsi" w:hAnsiTheme="minorHAnsi" w:cs="Times New Roman"/>
          <w:b/>
          <w:color w:val="auto"/>
          <w:sz w:val="22"/>
          <w:szCs w:val="22"/>
        </w:rPr>
        <w:t xml:space="preserve"> and </w:t>
      </w:r>
      <w:r w:rsidR="00F44B92">
        <w:rPr>
          <w:rFonts w:asciiTheme="minorHAnsi" w:hAnsiTheme="minorHAnsi" w:cs="Times New Roman"/>
          <w:b/>
          <w:color w:val="auto"/>
          <w:sz w:val="22"/>
          <w:szCs w:val="22"/>
        </w:rPr>
        <w:t>I</w:t>
      </w:r>
      <w:r w:rsidR="00F44B92" w:rsidRPr="00A32926">
        <w:rPr>
          <w:rFonts w:asciiTheme="minorHAnsi" w:hAnsiTheme="minorHAnsi" w:cs="Times New Roman"/>
          <w:b/>
          <w:color w:val="auto"/>
          <w:sz w:val="22"/>
          <w:szCs w:val="22"/>
        </w:rPr>
        <w:t xml:space="preserve">ts </w:t>
      </w:r>
      <w:r w:rsidR="00F44B92">
        <w:rPr>
          <w:rFonts w:asciiTheme="minorHAnsi" w:hAnsiTheme="minorHAnsi" w:cs="Times New Roman"/>
          <w:b/>
          <w:color w:val="auto"/>
          <w:sz w:val="22"/>
          <w:szCs w:val="22"/>
        </w:rPr>
        <w:t>A</w:t>
      </w:r>
      <w:r w:rsidR="00F44B92" w:rsidRPr="00A32926">
        <w:rPr>
          <w:rFonts w:asciiTheme="minorHAnsi" w:hAnsiTheme="minorHAnsi" w:cs="Times New Roman"/>
          <w:b/>
          <w:color w:val="auto"/>
          <w:sz w:val="22"/>
          <w:szCs w:val="22"/>
        </w:rPr>
        <w:t xml:space="preserve">ssociation </w:t>
      </w:r>
      <w:r w:rsidRPr="00A32926">
        <w:rPr>
          <w:rFonts w:asciiTheme="minorHAnsi" w:hAnsiTheme="minorHAnsi" w:cs="Times New Roman"/>
          <w:b/>
          <w:color w:val="auto"/>
          <w:sz w:val="22"/>
          <w:szCs w:val="22"/>
        </w:rPr>
        <w:t xml:space="preserve">with </w:t>
      </w:r>
      <w:r w:rsidRPr="00A32926">
        <w:rPr>
          <w:rFonts w:asciiTheme="minorHAnsi" w:hAnsiTheme="minorHAnsi"/>
          <w:b/>
          <w:bCs/>
          <w:color w:val="auto"/>
          <w:sz w:val="22"/>
          <w:szCs w:val="22"/>
        </w:rPr>
        <w:t>Opioid Overdoses</w:t>
      </w:r>
      <w:r w:rsidR="00CA78AF">
        <w:rPr>
          <w:rFonts w:asciiTheme="minorHAnsi" w:hAnsiTheme="minorHAnsi"/>
          <w:b/>
          <w:bCs/>
          <w:color w:val="auto"/>
          <w:sz w:val="22"/>
          <w:szCs w:val="22"/>
        </w:rPr>
        <w:t xml:space="preserve">, </w:t>
      </w:r>
    </w:p>
    <w:p w:rsidR="00A32926" w:rsidRDefault="00CA78AF" w:rsidP="00493B28">
      <w:pPr>
        <w:pStyle w:val="Default"/>
        <w:ind w:left="720"/>
        <w:rPr>
          <w:rFonts w:asciiTheme="minorHAnsi" w:hAnsiTheme="minorHAnsi"/>
          <w:b/>
          <w:bCs/>
          <w:color w:val="auto"/>
          <w:sz w:val="22"/>
          <w:szCs w:val="22"/>
        </w:rPr>
      </w:pPr>
      <w:r>
        <w:rPr>
          <w:rFonts w:asciiTheme="minorHAnsi" w:hAnsiTheme="minorHAnsi"/>
          <w:b/>
          <w:bCs/>
          <w:color w:val="auto"/>
          <w:sz w:val="22"/>
          <w:szCs w:val="22"/>
        </w:rPr>
        <w:t>MA:</w:t>
      </w:r>
      <w:r w:rsidR="008D3147">
        <w:rPr>
          <w:rFonts w:asciiTheme="minorHAnsi" w:hAnsiTheme="minorHAnsi"/>
          <w:b/>
          <w:bCs/>
          <w:color w:val="auto"/>
          <w:sz w:val="22"/>
          <w:szCs w:val="22"/>
        </w:rPr>
        <w:t xml:space="preserve"> </w:t>
      </w:r>
      <w:r>
        <w:rPr>
          <w:rFonts w:asciiTheme="minorHAnsi" w:hAnsiTheme="minorHAnsi"/>
          <w:b/>
          <w:bCs/>
          <w:color w:val="auto"/>
          <w:sz w:val="22"/>
          <w:szCs w:val="22"/>
        </w:rPr>
        <w:t>2011-2015</w:t>
      </w:r>
    </w:p>
    <w:p w:rsidR="00A32926" w:rsidRPr="00A32926" w:rsidRDefault="00A32926" w:rsidP="00A32926">
      <w:pPr>
        <w:pStyle w:val="Default"/>
        <w:ind w:firstLine="720"/>
        <w:rPr>
          <w:rFonts w:asciiTheme="minorHAnsi" w:hAnsiTheme="minorHAnsi" w:cs="Times New Roman"/>
          <w:b/>
          <w:color w:val="auto"/>
          <w:sz w:val="8"/>
          <w:szCs w:val="8"/>
        </w:rPr>
      </w:pPr>
    </w:p>
    <w:p w:rsidR="00F44B92" w:rsidRPr="00C10D05" w:rsidRDefault="005D723B" w:rsidP="00C10D05">
      <w:pPr>
        <w:pStyle w:val="ListParagraph"/>
        <w:tabs>
          <w:tab w:val="left" w:pos="1170"/>
        </w:tabs>
        <w:spacing w:line="276" w:lineRule="auto"/>
        <w:rPr>
          <w:rFonts w:cs="Times New Roman"/>
        </w:rPr>
      </w:pPr>
      <w:r>
        <w:rPr>
          <w:noProof/>
        </w:rPr>
        <w:drawing>
          <wp:inline distT="0" distB="0" distL="0" distR="0" wp14:anchorId="38DDED2D" wp14:editId="34E0BA7B">
            <wp:extent cx="5943600" cy="2371725"/>
            <wp:effectExtent l="0" t="0" r="0" b="9525"/>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E70E9" w:rsidRDefault="005E70E9" w:rsidP="00776D45">
      <w:pPr>
        <w:pStyle w:val="ListParagraph"/>
        <w:numPr>
          <w:ilvl w:val="2"/>
          <w:numId w:val="5"/>
        </w:numPr>
        <w:tabs>
          <w:tab w:val="left" w:pos="1170"/>
        </w:tabs>
        <w:ind w:left="907" w:hanging="187"/>
        <w:rPr>
          <w:rFonts w:cs="Times New Roman"/>
        </w:rPr>
      </w:pPr>
      <w:r>
        <w:rPr>
          <w:rFonts w:cs="Times New Roman"/>
        </w:rPr>
        <w:t>Those recently released from prison/jails</w:t>
      </w:r>
      <w:r w:rsidRPr="00F448B1">
        <w:rPr>
          <w:rFonts w:cs="Times New Roman"/>
        </w:rPr>
        <w:t xml:space="preserve"> </w:t>
      </w:r>
      <w:r>
        <w:rPr>
          <w:rFonts w:cs="Times New Roman"/>
        </w:rPr>
        <w:t xml:space="preserve">were </w:t>
      </w:r>
      <w:r w:rsidR="00F44B92">
        <w:rPr>
          <w:rFonts w:cs="Times New Roman"/>
        </w:rPr>
        <w:t xml:space="preserve">five </w:t>
      </w:r>
      <w:r>
        <w:rPr>
          <w:rFonts w:cs="Times New Roman"/>
        </w:rPr>
        <w:t xml:space="preserve">times more likely to have </w:t>
      </w:r>
      <w:r w:rsidRPr="003B1D89">
        <w:rPr>
          <w:rFonts w:cs="Times New Roman"/>
        </w:rPr>
        <w:t xml:space="preserve">dual diagnoses </w:t>
      </w:r>
      <w:r w:rsidR="005D723B">
        <w:rPr>
          <w:rFonts w:cs="Times New Roman"/>
        </w:rPr>
        <w:t xml:space="preserve">of </w:t>
      </w:r>
      <w:r w:rsidRPr="008873D8">
        <w:rPr>
          <w:rFonts w:cs="Times New Roman"/>
        </w:rPr>
        <w:t>substance use disorders (SUD) and serious mental illness (SMI)</w:t>
      </w:r>
      <w:r w:rsidR="00960C85">
        <w:rPr>
          <w:rFonts w:cs="Times New Roman"/>
        </w:rPr>
        <w:t xml:space="preserve"> </w:t>
      </w:r>
      <w:r w:rsidRPr="003B1D89">
        <w:rPr>
          <w:rFonts w:cs="Times New Roman"/>
        </w:rPr>
        <w:t>than the general MassHealth population</w:t>
      </w:r>
      <w:r>
        <w:rPr>
          <w:rFonts w:cs="Times New Roman"/>
        </w:rPr>
        <w:t xml:space="preserve">. This dual diagnosis is </w:t>
      </w:r>
      <w:r w:rsidRPr="00E01156">
        <w:rPr>
          <w:rFonts w:cs="Times New Roman"/>
        </w:rPr>
        <w:t xml:space="preserve">likely a </w:t>
      </w:r>
      <w:r>
        <w:rPr>
          <w:rFonts w:cs="Times New Roman"/>
        </w:rPr>
        <w:t xml:space="preserve">key driver of the high </w:t>
      </w:r>
      <w:r w:rsidR="009D3806">
        <w:rPr>
          <w:rFonts w:cs="Times New Roman"/>
        </w:rPr>
        <w:t xml:space="preserve">opioid </w:t>
      </w:r>
      <w:r>
        <w:rPr>
          <w:rFonts w:cs="Times New Roman"/>
        </w:rPr>
        <w:t xml:space="preserve">overdose </w:t>
      </w:r>
      <w:r w:rsidRPr="00E01156">
        <w:rPr>
          <w:rFonts w:cs="Times New Roman"/>
        </w:rPr>
        <w:t>prevalence among this cohort</w:t>
      </w:r>
      <w:r w:rsidR="00BD64D7">
        <w:rPr>
          <w:rFonts w:cs="Times New Roman"/>
        </w:rPr>
        <w:t xml:space="preserve"> (Figure 1</w:t>
      </w:r>
      <w:r w:rsidR="002B3BC3">
        <w:rPr>
          <w:rFonts w:cs="Times New Roman"/>
        </w:rPr>
        <w:t>4</w:t>
      </w:r>
      <w:r w:rsidR="00BD64D7">
        <w:rPr>
          <w:rFonts w:cs="Times New Roman"/>
        </w:rPr>
        <w:t>)</w:t>
      </w:r>
      <w:r w:rsidRPr="00E01156">
        <w:rPr>
          <w:rFonts w:cs="Times New Roman"/>
        </w:rPr>
        <w:t>.</w:t>
      </w:r>
    </w:p>
    <w:p w:rsidR="005E70E9" w:rsidRPr="00F44B92" w:rsidRDefault="005E70E9" w:rsidP="00776D45">
      <w:pPr>
        <w:rPr>
          <w:rFonts w:cs="Times New Roman"/>
        </w:rPr>
      </w:pPr>
    </w:p>
    <w:p w:rsidR="00493B28" w:rsidRDefault="005E70E9" w:rsidP="000C592A">
      <w:pPr>
        <w:pStyle w:val="ListParagraph"/>
        <w:rPr>
          <w:b/>
          <w:bCs/>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14</w:t>
      </w:r>
      <w:r w:rsidRPr="00CC16FA">
        <w:rPr>
          <w:b/>
        </w:rPr>
        <w:fldChar w:fldCharType="end"/>
      </w:r>
      <w:r w:rsidRPr="00CC16FA">
        <w:rPr>
          <w:b/>
        </w:rPr>
        <w:t xml:space="preserve">. </w:t>
      </w:r>
      <w:r w:rsidRPr="00D7437D">
        <w:rPr>
          <w:b/>
          <w:bCs/>
        </w:rPr>
        <w:t>Distribution of Behavioral Health Diagnosis by Subpopulation of MassHealth</w:t>
      </w:r>
      <w:r w:rsidR="00CA78AF">
        <w:rPr>
          <w:b/>
          <w:bCs/>
        </w:rPr>
        <w:t xml:space="preserve">, </w:t>
      </w:r>
    </w:p>
    <w:p w:rsidR="005E70E9" w:rsidRPr="00C41A90" w:rsidRDefault="00CA78AF" w:rsidP="000C592A">
      <w:pPr>
        <w:pStyle w:val="ListParagraph"/>
        <w:rPr>
          <w:rFonts w:cs="Times New Roman"/>
          <w:sz w:val="8"/>
          <w:szCs w:val="8"/>
        </w:rPr>
      </w:pPr>
      <w:r>
        <w:rPr>
          <w:b/>
          <w:bCs/>
        </w:rPr>
        <w:t>MA: 2011-2015</w:t>
      </w:r>
      <w:r w:rsidR="005E70E9" w:rsidRPr="00D7437D">
        <w:rPr>
          <w:b/>
          <w:bCs/>
        </w:rPr>
        <w:t xml:space="preserve"> </w:t>
      </w:r>
    </w:p>
    <w:p w:rsidR="005E70E9" w:rsidRPr="00DD1B08" w:rsidRDefault="00C10D05" w:rsidP="000C592A">
      <w:pPr>
        <w:pStyle w:val="ListParagraph"/>
        <w:rPr>
          <w:rFonts w:cs="Times New Roman"/>
        </w:rPr>
      </w:pPr>
      <w:r>
        <w:rPr>
          <w:noProof/>
        </w:rPr>
        <w:drawing>
          <wp:inline distT="0" distB="0" distL="0" distR="0" wp14:anchorId="2C5EC013" wp14:editId="49FB6601">
            <wp:extent cx="5715000" cy="22860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872722">
        <w:rPr>
          <w:rFonts w:cs="Times New Roman"/>
        </w:rPr>
        <w:tab/>
      </w:r>
    </w:p>
    <w:p w:rsidR="005E70E9" w:rsidRPr="00927F0D" w:rsidRDefault="005E70E9" w:rsidP="005E70E9">
      <w:pPr>
        <w:pStyle w:val="ListParagraph"/>
        <w:tabs>
          <w:tab w:val="left" w:pos="1170"/>
        </w:tabs>
        <w:spacing w:after="120"/>
        <w:ind w:left="1170"/>
        <w:rPr>
          <w:rFonts w:cs="Times New Roman"/>
          <w:sz w:val="8"/>
          <w:szCs w:val="8"/>
        </w:rPr>
      </w:pPr>
    </w:p>
    <w:p w:rsidR="005E70E9" w:rsidRPr="00F44B92" w:rsidRDefault="005E70E9" w:rsidP="00E3738E">
      <w:pPr>
        <w:pStyle w:val="ListParagraph"/>
        <w:numPr>
          <w:ilvl w:val="0"/>
          <w:numId w:val="13"/>
        </w:numPr>
        <w:tabs>
          <w:tab w:val="left" w:pos="1170"/>
        </w:tabs>
        <w:spacing w:line="276" w:lineRule="auto"/>
        <w:ind w:left="907" w:hanging="187"/>
        <w:rPr>
          <w:rFonts w:cs="Times New Roman"/>
        </w:rPr>
      </w:pPr>
      <w:r w:rsidRPr="00C46DCC">
        <w:rPr>
          <w:rFonts w:cs="Times New Roman"/>
        </w:rPr>
        <w:t>Within a year following incarceration, more than 50% of MassHealth members had an outpatient visit for ‘evaluation and management’ and over 40% of members had an emergency department</w:t>
      </w:r>
      <w:r w:rsidR="00F44B92">
        <w:rPr>
          <w:rFonts w:cs="Times New Roman"/>
        </w:rPr>
        <w:t xml:space="preserve"> (ED)</w:t>
      </w:r>
      <w:r w:rsidRPr="00C46DCC">
        <w:rPr>
          <w:rFonts w:cs="Times New Roman"/>
        </w:rPr>
        <w:t xml:space="preserve"> visit of which 13% were identified as substance-use related.  Just </w:t>
      </w:r>
      <w:r w:rsidRPr="00C46DCC">
        <w:rPr>
          <w:rFonts w:cs="Times New Roman"/>
        </w:rPr>
        <w:lastRenderedPageBreak/>
        <w:t>over one in ten members (13%) had an inpatient stay, with 9% of the hospital stays being substance-use related</w:t>
      </w:r>
      <w:r w:rsidR="00BD64D7">
        <w:rPr>
          <w:rFonts w:cs="Times New Roman"/>
        </w:rPr>
        <w:t xml:space="preserve"> (Figure 1</w:t>
      </w:r>
      <w:r w:rsidR="002B3BC3">
        <w:rPr>
          <w:rFonts w:cs="Times New Roman"/>
        </w:rPr>
        <w:t>5</w:t>
      </w:r>
      <w:r w:rsidR="00BD64D7">
        <w:rPr>
          <w:rFonts w:cs="Times New Roman"/>
        </w:rPr>
        <w:t>).</w:t>
      </w:r>
      <w:r w:rsidRPr="00C46DCC">
        <w:rPr>
          <w:rFonts w:cs="Times New Roman"/>
        </w:rPr>
        <w:t xml:space="preserve"> </w:t>
      </w:r>
    </w:p>
    <w:p w:rsidR="00F44B92" w:rsidRPr="00512E2C" w:rsidRDefault="00F44B92" w:rsidP="005E70E9">
      <w:pPr>
        <w:pStyle w:val="ListParagraph"/>
        <w:ind w:left="1890"/>
        <w:rPr>
          <w:rFonts w:cs="Times New Roman"/>
        </w:rPr>
      </w:pPr>
    </w:p>
    <w:p w:rsidR="00B5763D" w:rsidRPr="00F44B92" w:rsidRDefault="005E70E9" w:rsidP="005F44D7">
      <w:pPr>
        <w:pStyle w:val="ListParagraph"/>
        <w:tabs>
          <w:tab w:val="left" w:pos="1170"/>
        </w:tabs>
        <w:spacing w:after="120"/>
        <w:rPr>
          <w:rFonts w:cs="Times New Roman"/>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15</w:t>
      </w:r>
      <w:r w:rsidRPr="00CC16FA">
        <w:rPr>
          <w:b/>
        </w:rPr>
        <w:fldChar w:fldCharType="end"/>
      </w:r>
      <w:r w:rsidRPr="00CC16FA">
        <w:rPr>
          <w:b/>
        </w:rPr>
        <w:t xml:space="preserve">. </w:t>
      </w:r>
      <w:r w:rsidRPr="00D7437D">
        <w:rPr>
          <w:b/>
          <w:bCs/>
        </w:rPr>
        <w:t xml:space="preserve">MassHealth Members, Ages 11-64, </w:t>
      </w:r>
      <w:r w:rsidR="00F44B92">
        <w:rPr>
          <w:b/>
          <w:bCs/>
        </w:rPr>
        <w:t>W</w:t>
      </w:r>
      <w:r w:rsidR="00F44B92" w:rsidRPr="00D7437D">
        <w:rPr>
          <w:b/>
          <w:bCs/>
        </w:rPr>
        <w:t xml:space="preserve">ho </w:t>
      </w:r>
      <w:r w:rsidRPr="00D7437D">
        <w:rPr>
          <w:b/>
          <w:bCs/>
        </w:rPr>
        <w:t>Received Selected Healthcare Services within Twelve Months Post-Release from Incarceration</w:t>
      </w:r>
      <w:r w:rsidR="00CA78AF">
        <w:rPr>
          <w:b/>
          <w:bCs/>
        </w:rPr>
        <w:t>, MA: 2011-2015</w:t>
      </w:r>
      <w:r w:rsidR="00CA78AF" w:rsidRPr="00D7437D">
        <w:rPr>
          <w:b/>
          <w:bCs/>
        </w:rPr>
        <w:t xml:space="preserve"> </w:t>
      </w:r>
      <w:r w:rsidR="005F44D7">
        <w:rPr>
          <w:noProof/>
        </w:rPr>
        <w:drawing>
          <wp:inline distT="0" distB="0" distL="0" distR="0" wp14:anchorId="4C850AAE" wp14:editId="26F798A5">
            <wp:extent cx="5638800" cy="21336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30CB0" w:rsidRDefault="00830CB0" w:rsidP="00830CB0">
      <w:pPr>
        <w:pStyle w:val="ListParagraph"/>
        <w:tabs>
          <w:tab w:val="left" w:pos="1170"/>
        </w:tabs>
        <w:rPr>
          <w:rFonts w:cs="Times New Roman"/>
        </w:rPr>
      </w:pPr>
    </w:p>
    <w:p w:rsidR="005E70E9" w:rsidRPr="00881E0D" w:rsidRDefault="005E70E9" w:rsidP="00E3738E">
      <w:pPr>
        <w:pStyle w:val="ListParagraph"/>
        <w:numPr>
          <w:ilvl w:val="2"/>
          <w:numId w:val="5"/>
        </w:numPr>
        <w:tabs>
          <w:tab w:val="left" w:pos="1170"/>
        </w:tabs>
        <w:spacing w:line="276" w:lineRule="auto"/>
        <w:ind w:left="720" w:hanging="187"/>
        <w:rPr>
          <w:rFonts w:cs="Times New Roman"/>
        </w:rPr>
      </w:pPr>
      <w:r w:rsidRPr="00881E0D">
        <w:rPr>
          <w:rFonts w:cs="Times New Roman"/>
        </w:rPr>
        <w:t>Within a year following incarceration, just over one in four (28%) MassHealth members had an outpatient behavioral health visit</w:t>
      </w:r>
      <w:r w:rsidR="00F34359">
        <w:rPr>
          <w:rFonts w:cs="Times New Roman"/>
        </w:rPr>
        <w:t>;</w:t>
      </w:r>
      <w:r w:rsidR="00F34359" w:rsidRPr="00881E0D">
        <w:rPr>
          <w:rFonts w:cs="Times New Roman"/>
        </w:rPr>
        <w:t xml:space="preserve"> </w:t>
      </w:r>
      <w:r w:rsidRPr="00881E0D">
        <w:rPr>
          <w:rFonts w:cs="Times New Roman"/>
        </w:rPr>
        <w:t>inpatient behavioral health was le</w:t>
      </w:r>
      <w:r>
        <w:rPr>
          <w:rFonts w:cs="Times New Roman"/>
        </w:rPr>
        <w:t xml:space="preserve">ss common (8%), as was </w:t>
      </w:r>
      <w:r w:rsidR="00854D9F">
        <w:rPr>
          <w:rFonts w:cs="Times New Roman"/>
        </w:rPr>
        <w:t>m</w:t>
      </w:r>
      <w:r w:rsidR="00960C85">
        <w:rPr>
          <w:rFonts w:cs="Times New Roman"/>
        </w:rPr>
        <w:t xml:space="preserve">edication for </w:t>
      </w:r>
      <w:r w:rsidR="00854D9F">
        <w:rPr>
          <w:rFonts w:cs="Times New Roman"/>
        </w:rPr>
        <w:t>o</w:t>
      </w:r>
      <w:r w:rsidR="00960C85">
        <w:rPr>
          <w:rFonts w:cs="Times New Roman"/>
        </w:rPr>
        <w:t xml:space="preserve">pioid </w:t>
      </w:r>
      <w:r w:rsidR="00854D9F">
        <w:rPr>
          <w:rFonts w:cs="Times New Roman"/>
        </w:rPr>
        <w:t>u</w:t>
      </w:r>
      <w:r w:rsidR="00960C85">
        <w:rPr>
          <w:rFonts w:cs="Times New Roman"/>
        </w:rPr>
        <w:t xml:space="preserve">se </w:t>
      </w:r>
      <w:r w:rsidR="00854D9F">
        <w:rPr>
          <w:rFonts w:cs="Times New Roman"/>
        </w:rPr>
        <w:t>d</w:t>
      </w:r>
      <w:r w:rsidR="00960C85">
        <w:rPr>
          <w:rFonts w:cs="Times New Roman"/>
        </w:rPr>
        <w:t xml:space="preserve">isorder </w:t>
      </w:r>
      <w:r>
        <w:rPr>
          <w:rFonts w:cs="Times New Roman"/>
        </w:rPr>
        <w:t>(2%)</w:t>
      </w:r>
      <w:r w:rsidRPr="00881E0D">
        <w:rPr>
          <w:rFonts w:cs="Times New Roman"/>
        </w:rPr>
        <w:t>.</w:t>
      </w:r>
    </w:p>
    <w:p w:rsidR="001816BC" w:rsidRPr="00776D45" w:rsidRDefault="001816BC" w:rsidP="00E3738E">
      <w:pPr>
        <w:pStyle w:val="ListParagraph"/>
        <w:tabs>
          <w:tab w:val="left" w:pos="1170"/>
        </w:tabs>
        <w:spacing w:line="276" w:lineRule="auto"/>
        <w:rPr>
          <w:b/>
        </w:rPr>
      </w:pPr>
    </w:p>
    <w:p w:rsidR="00DF2C1F" w:rsidRPr="00776D45" w:rsidRDefault="005E70E9" w:rsidP="00E3738E">
      <w:pPr>
        <w:pStyle w:val="ListParagraph"/>
        <w:numPr>
          <w:ilvl w:val="2"/>
          <w:numId w:val="5"/>
        </w:numPr>
        <w:tabs>
          <w:tab w:val="left" w:pos="1170"/>
        </w:tabs>
        <w:spacing w:line="276" w:lineRule="auto"/>
        <w:ind w:left="720" w:hanging="187"/>
        <w:rPr>
          <w:b/>
        </w:rPr>
      </w:pPr>
      <w:r w:rsidRPr="001A328D">
        <w:rPr>
          <w:rFonts w:cs="Times New Roman"/>
        </w:rPr>
        <w:t>Within a year following incarceration, prescriptions for any opioids were documented for over two-thirds (68%) of MassHealth members, while nearly one-third (30%) received a prescription for a benzodiazepine. Concurrent prescriptions for an opioid plus a benzodiazepine were noted for over one in ten (13%) MassHealth members in the 12</w:t>
      </w:r>
      <w:r>
        <w:rPr>
          <w:rFonts w:cs="Times New Roman"/>
        </w:rPr>
        <w:t xml:space="preserve"> </w:t>
      </w:r>
      <w:r w:rsidRPr="001A328D">
        <w:rPr>
          <w:rFonts w:cs="Times New Roman"/>
        </w:rPr>
        <w:t>months immediately following release from incarceration</w:t>
      </w:r>
      <w:r w:rsidR="00BD64D7">
        <w:rPr>
          <w:rFonts w:cs="Times New Roman"/>
        </w:rPr>
        <w:t xml:space="preserve"> (Figure 1</w:t>
      </w:r>
      <w:r w:rsidR="002B3BC3">
        <w:rPr>
          <w:rFonts w:cs="Times New Roman"/>
        </w:rPr>
        <w:t>6</w:t>
      </w:r>
      <w:r w:rsidR="00BD64D7">
        <w:rPr>
          <w:rFonts w:cs="Times New Roman"/>
        </w:rPr>
        <w:t>).</w:t>
      </w:r>
    </w:p>
    <w:p w:rsidR="00F44B92" w:rsidRDefault="00F44B92" w:rsidP="00F34359">
      <w:pPr>
        <w:pStyle w:val="ListParagraph"/>
        <w:tabs>
          <w:tab w:val="left" w:pos="1170"/>
        </w:tabs>
        <w:ind w:left="1181"/>
        <w:jc w:val="center"/>
        <w:rPr>
          <w:b/>
        </w:rPr>
      </w:pPr>
    </w:p>
    <w:p w:rsidR="00DF2C1F" w:rsidRDefault="005E70E9" w:rsidP="00493B28">
      <w:pPr>
        <w:ind w:left="720"/>
        <w:rPr>
          <w:b/>
          <w:bCs/>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16</w:t>
      </w:r>
      <w:r w:rsidRPr="00CC16FA">
        <w:rPr>
          <w:b/>
        </w:rPr>
        <w:fldChar w:fldCharType="end"/>
      </w:r>
      <w:r w:rsidRPr="00CC16FA">
        <w:rPr>
          <w:b/>
        </w:rPr>
        <w:t xml:space="preserve">. </w:t>
      </w:r>
      <w:r w:rsidR="00FC25B3" w:rsidRPr="00FC25B3">
        <w:rPr>
          <w:b/>
          <w:bCs/>
        </w:rPr>
        <w:t>MassHealth Members</w:t>
      </w:r>
      <w:r w:rsidR="00AE1205">
        <w:rPr>
          <w:b/>
          <w:bCs/>
        </w:rPr>
        <w:t xml:space="preserve"> with</w:t>
      </w:r>
      <w:r w:rsidR="00FC25B3" w:rsidRPr="00FC25B3">
        <w:rPr>
          <w:b/>
          <w:bCs/>
        </w:rPr>
        <w:t xml:space="preserve"> Prescription</w:t>
      </w:r>
      <w:r w:rsidR="00AE1205">
        <w:rPr>
          <w:b/>
          <w:bCs/>
        </w:rPr>
        <w:t>s</w:t>
      </w:r>
      <w:r w:rsidR="00FC25B3" w:rsidRPr="00FC25B3">
        <w:rPr>
          <w:b/>
          <w:bCs/>
        </w:rPr>
        <w:t xml:space="preserve"> for Select</w:t>
      </w:r>
      <w:r w:rsidR="00AE1205">
        <w:rPr>
          <w:b/>
          <w:bCs/>
        </w:rPr>
        <w:t>ed</w:t>
      </w:r>
      <w:r w:rsidR="00FC25B3" w:rsidRPr="00FC25B3">
        <w:rPr>
          <w:b/>
          <w:bCs/>
        </w:rPr>
        <w:t xml:space="preserve"> Controlled Substances within Twelve Months Post-Release from Incarceration (N=10,441)</w:t>
      </w:r>
      <w:r w:rsidR="00CA78AF">
        <w:rPr>
          <w:b/>
          <w:bCs/>
        </w:rPr>
        <w:t>, MA: 2011-2015</w:t>
      </w:r>
    </w:p>
    <w:p w:rsidR="00DF2C1F" w:rsidRPr="000C592A" w:rsidRDefault="00DF2C1F" w:rsidP="005E70E9">
      <w:pPr>
        <w:ind w:left="720"/>
        <w:jc w:val="center"/>
        <w:rPr>
          <w:b/>
          <w:bCs/>
          <w:sz w:val="8"/>
          <w:szCs w:val="8"/>
        </w:rPr>
      </w:pPr>
    </w:p>
    <w:p w:rsidR="00FC25B3" w:rsidRPr="002C7169" w:rsidRDefault="00542CD0" w:rsidP="0097072A">
      <w:pPr>
        <w:jc w:val="center"/>
        <w:rPr>
          <w:rFonts w:cs="Times New Roman"/>
        </w:rPr>
      </w:pPr>
      <w:r>
        <w:rPr>
          <w:noProof/>
        </w:rPr>
        <w:drawing>
          <wp:inline distT="0" distB="0" distL="0" distR="0" wp14:anchorId="03A7A6D8" wp14:editId="51B86916">
            <wp:extent cx="5943600" cy="1885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5763D" w:rsidRPr="005D723B" w:rsidRDefault="00B5763D" w:rsidP="005D723B">
      <w:pPr>
        <w:tabs>
          <w:tab w:val="left" w:pos="1170"/>
        </w:tabs>
        <w:spacing w:after="120"/>
        <w:rPr>
          <w:rFonts w:cs="Times New Roman"/>
        </w:rPr>
      </w:pPr>
    </w:p>
    <w:p w:rsidR="005E70E9" w:rsidRPr="00C0756F" w:rsidRDefault="005E70E9" w:rsidP="005E70E9">
      <w:pPr>
        <w:pStyle w:val="ListParagraph"/>
        <w:tabs>
          <w:tab w:val="left" w:pos="1170"/>
        </w:tabs>
        <w:ind w:left="1166"/>
        <w:rPr>
          <w:rFonts w:cs="Times New Roman"/>
          <w:sz w:val="2"/>
          <w:szCs w:val="2"/>
        </w:rPr>
      </w:pPr>
    </w:p>
    <w:p w:rsidR="00B5763D" w:rsidRPr="00F44B92" w:rsidRDefault="005E70E9" w:rsidP="000E4D4B">
      <w:pPr>
        <w:pStyle w:val="ListParagraph"/>
        <w:numPr>
          <w:ilvl w:val="2"/>
          <w:numId w:val="5"/>
        </w:numPr>
        <w:tabs>
          <w:tab w:val="left" w:pos="1170"/>
        </w:tabs>
        <w:spacing w:after="200" w:line="276" w:lineRule="auto"/>
        <w:ind w:left="734" w:hanging="187"/>
        <w:rPr>
          <w:rFonts w:cs="Times New Roman"/>
        </w:rPr>
      </w:pPr>
      <w:r w:rsidRPr="008377A5">
        <w:rPr>
          <w:rFonts w:cs="Times New Roman"/>
        </w:rPr>
        <w:t>While the percent</w:t>
      </w:r>
      <w:r w:rsidR="00912FB5">
        <w:rPr>
          <w:rFonts w:cs="Times New Roman"/>
        </w:rPr>
        <w:t>age</w:t>
      </w:r>
      <w:r w:rsidRPr="008377A5">
        <w:rPr>
          <w:rFonts w:cs="Times New Roman"/>
        </w:rPr>
        <w:t xml:space="preserve"> of MassHealth members who had a fatal opioid overdose after release</w:t>
      </w:r>
      <w:r>
        <w:rPr>
          <w:rFonts w:cs="Times New Roman"/>
        </w:rPr>
        <w:t xml:space="preserve"> </w:t>
      </w:r>
      <w:r w:rsidRPr="008377A5">
        <w:rPr>
          <w:rFonts w:cs="Times New Roman"/>
        </w:rPr>
        <w:t>from incarceration was</w:t>
      </w:r>
      <w:r w:rsidR="00F44B92">
        <w:rPr>
          <w:rFonts w:cs="Times New Roman"/>
        </w:rPr>
        <w:t xml:space="preserve"> minor</w:t>
      </w:r>
      <w:r w:rsidRPr="008377A5">
        <w:rPr>
          <w:rFonts w:cs="Times New Roman"/>
        </w:rPr>
        <w:t xml:space="preserve"> across services (i.e., healthcare utilization [outpatient, ED,</w:t>
      </w:r>
      <w:r>
        <w:rPr>
          <w:rFonts w:cs="Times New Roman"/>
        </w:rPr>
        <w:t xml:space="preserve"> </w:t>
      </w:r>
      <w:r w:rsidRPr="008377A5">
        <w:rPr>
          <w:rFonts w:cs="Times New Roman"/>
        </w:rPr>
        <w:t xml:space="preserve">and </w:t>
      </w:r>
      <w:r w:rsidRPr="008377A5">
        <w:rPr>
          <w:rFonts w:cs="Times New Roman"/>
        </w:rPr>
        <w:lastRenderedPageBreak/>
        <w:t>inpatient], behavioral health [outpatient, inpatient, and residential], and prescription</w:t>
      </w:r>
      <w:r>
        <w:rPr>
          <w:rFonts w:cs="Times New Roman"/>
        </w:rPr>
        <w:t xml:space="preserve"> </w:t>
      </w:r>
      <w:r w:rsidRPr="008377A5">
        <w:rPr>
          <w:rFonts w:cs="Times New Roman"/>
        </w:rPr>
        <w:t>drugs), the percent</w:t>
      </w:r>
      <w:r w:rsidR="00912FB5">
        <w:rPr>
          <w:rFonts w:cs="Times New Roman"/>
        </w:rPr>
        <w:t>age</w:t>
      </w:r>
      <w:r w:rsidRPr="008377A5">
        <w:rPr>
          <w:rFonts w:cs="Times New Roman"/>
        </w:rPr>
        <w:t xml:space="preserve"> of members who did not receive a service within either three or 12</w:t>
      </w:r>
      <w:r>
        <w:rPr>
          <w:rFonts w:cs="Times New Roman"/>
        </w:rPr>
        <w:t xml:space="preserve"> </w:t>
      </w:r>
      <w:r w:rsidRPr="008377A5">
        <w:rPr>
          <w:rFonts w:cs="Times New Roman"/>
        </w:rPr>
        <w:t xml:space="preserve">months </w:t>
      </w:r>
      <w:r w:rsidR="00912FB5" w:rsidRPr="008377A5">
        <w:rPr>
          <w:rFonts w:cs="Times New Roman"/>
        </w:rPr>
        <w:t>post</w:t>
      </w:r>
      <w:r w:rsidR="00912FB5">
        <w:rPr>
          <w:rFonts w:cs="Times New Roman"/>
        </w:rPr>
        <w:t>-</w:t>
      </w:r>
      <w:r w:rsidRPr="008377A5">
        <w:rPr>
          <w:rFonts w:cs="Times New Roman"/>
        </w:rPr>
        <w:t>release was higher compared to those receiving any of these services</w:t>
      </w:r>
      <w:r w:rsidR="00BD64D7">
        <w:rPr>
          <w:rFonts w:cs="Times New Roman"/>
        </w:rPr>
        <w:t xml:space="preserve"> (Figure 1</w:t>
      </w:r>
      <w:r w:rsidR="002B3BC3">
        <w:rPr>
          <w:rFonts w:cs="Times New Roman"/>
        </w:rPr>
        <w:t>7</w:t>
      </w:r>
      <w:r w:rsidR="00BD64D7">
        <w:rPr>
          <w:rFonts w:cs="Times New Roman"/>
        </w:rPr>
        <w:t>).</w:t>
      </w:r>
    </w:p>
    <w:p w:rsidR="00F44B92" w:rsidRDefault="00F44B92" w:rsidP="00B5763D">
      <w:pPr>
        <w:pStyle w:val="ListParagraph"/>
        <w:tabs>
          <w:tab w:val="left" w:pos="1170"/>
        </w:tabs>
        <w:spacing w:after="120" w:line="276" w:lineRule="auto"/>
        <w:ind w:left="1181"/>
        <w:rPr>
          <w:rFonts w:cs="Times New Roman"/>
        </w:rPr>
      </w:pPr>
    </w:p>
    <w:p w:rsidR="000E4D4B" w:rsidRDefault="000E4D4B" w:rsidP="00B5763D">
      <w:pPr>
        <w:pStyle w:val="ListParagraph"/>
        <w:tabs>
          <w:tab w:val="left" w:pos="1170"/>
        </w:tabs>
        <w:spacing w:after="120" w:line="276" w:lineRule="auto"/>
        <w:ind w:left="1181"/>
        <w:rPr>
          <w:rFonts w:cs="Times New Roman"/>
        </w:rPr>
      </w:pPr>
    </w:p>
    <w:p w:rsidR="005E70E9" w:rsidRDefault="005E70E9" w:rsidP="00776D45">
      <w:pPr>
        <w:pStyle w:val="ListParagraph"/>
        <w:tabs>
          <w:tab w:val="left" w:pos="1170"/>
        </w:tabs>
        <w:rPr>
          <w:b/>
          <w:bCs/>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17</w:t>
      </w:r>
      <w:r w:rsidRPr="00CC16FA">
        <w:rPr>
          <w:b/>
        </w:rPr>
        <w:fldChar w:fldCharType="end"/>
      </w:r>
      <w:r w:rsidRPr="00CC16FA">
        <w:rPr>
          <w:b/>
        </w:rPr>
        <w:t xml:space="preserve">. </w:t>
      </w:r>
      <w:r w:rsidRPr="00AE7F37">
        <w:rPr>
          <w:b/>
          <w:bCs/>
        </w:rPr>
        <w:t xml:space="preserve">Members who Received or Did Not Receive a MassHealth Behavioral Health Service </w:t>
      </w:r>
      <w:r w:rsidR="00F44B92">
        <w:rPr>
          <w:b/>
          <w:bCs/>
        </w:rPr>
        <w:t>B</w:t>
      </w:r>
      <w:r w:rsidR="00F44B92" w:rsidRPr="00AE7F37">
        <w:rPr>
          <w:b/>
          <w:bCs/>
        </w:rPr>
        <w:t xml:space="preserve">ased </w:t>
      </w:r>
      <w:r w:rsidRPr="00AE7F37">
        <w:rPr>
          <w:b/>
          <w:bCs/>
        </w:rPr>
        <w:t xml:space="preserve">on Overdose Outcome at 3 and 12 </w:t>
      </w:r>
      <w:r w:rsidR="00F44B92">
        <w:rPr>
          <w:b/>
          <w:bCs/>
        </w:rPr>
        <w:t>M</w:t>
      </w:r>
      <w:r w:rsidR="00F44B92" w:rsidRPr="00AE7F37">
        <w:rPr>
          <w:b/>
          <w:bCs/>
        </w:rPr>
        <w:t xml:space="preserve">onths </w:t>
      </w:r>
      <w:r w:rsidR="00912FB5">
        <w:rPr>
          <w:b/>
          <w:bCs/>
        </w:rPr>
        <w:t>P</w:t>
      </w:r>
      <w:r w:rsidR="00912FB5" w:rsidRPr="00AE7F37">
        <w:rPr>
          <w:b/>
          <w:bCs/>
        </w:rPr>
        <w:t>ost</w:t>
      </w:r>
      <w:r w:rsidRPr="00AE7F37">
        <w:rPr>
          <w:b/>
          <w:bCs/>
        </w:rPr>
        <w:t>-R</w:t>
      </w:r>
      <w:r>
        <w:rPr>
          <w:b/>
          <w:bCs/>
        </w:rPr>
        <w:t>elease</w:t>
      </w:r>
      <w:r w:rsidR="00264EF1">
        <w:rPr>
          <w:b/>
          <w:bCs/>
        </w:rPr>
        <w:t xml:space="preserve"> from Incarceration</w:t>
      </w:r>
      <w:r w:rsidR="00CA78AF">
        <w:rPr>
          <w:b/>
          <w:bCs/>
        </w:rPr>
        <w:t>, MA: 2011-2015</w:t>
      </w:r>
    </w:p>
    <w:p w:rsidR="00542CD0" w:rsidRPr="00903B49" w:rsidRDefault="00542CD0" w:rsidP="00542CD0">
      <w:pPr>
        <w:pStyle w:val="ListParagraph"/>
        <w:tabs>
          <w:tab w:val="left" w:pos="1170"/>
        </w:tabs>
        <w:rPr>
          <w:b/>
          <w:bCs/>
        </w:rPr>
      </w:pPr>
      <w:r>
        <w:rPr>
          <w:noProof/>
        </w:rPr>
        <w:drawing>
          <wp:inline distT="0" distB="0" distL="0" distR="0" wp14:anchorId="2AA448CF" wp14:editId="7B8A028A">
            <wp:extent cx="5943600" cy="269557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E4D4B" w:rsidRDefault="000E4D4B" w:rsidP="000E4D4B">
      <w:pPr>
        <w:pStyle w:val="ListParagraph"/>
        <w:tabs>
          <w:tab w:val="left" w:pos="1170"/>
        </w:tabs>
        <w:spacing w:after="200" w:line="276" w:lineRule="auto"/>
        <w:ind w:left="734"/>
        <w:rPr>
          <w:rFonts w:cs="Times New Roman"/>
        </w:rPr>
      </w:pPr>
    </w:p>
    <w:p w:rsidR="000E4D4B" w:rsidRDefault="000E4D4B" w:rsidP="000E4D4B">
      <w:pPr>
        <w:pStyle w:val="ListParagraph"/>
        <w:tabs>
          <w:tab w:val="left" w:pos="1170"/>
        </w:tabs>
        <w:spacing w:after="200" w:line="276" w:lineRule="auto"/>
        <w:ind w:left="734"/>
        <w:rPr>
          <w:rFonts w:cs="Times New Roman"/>
        </w:rPr>
      </w:pPr>
    </w:p>
    <w:p w:rsidR="00A877D1" w:rsidRDefault="005E70E9" w:rsidP="000E4D4B">
      <w:pPr>
        <w:pStyle w:val="ListParagraph"/>
        <w:numPr>
          <w:ilvl w:val="2"/>
          <w:numId w:val="5"/>
        </w:numPr>
        <w:tabs>
          <w:tab w:val="left" w:pos="1170"/>
        </w:tabs>
        <w:spacing w:after="200" w:line="276" w:lineRule="auto"/>
        <w:ind w:left="734" w:hanging="187"/>
        <w:rPr>
          <w:rFonts w:cs="Times New Roman"/>
        </w:rPr>
      </w:pPr>
      <w:r w:rsidRPr="008377A5">
        <w:rPr>
          <w:rFonts w:cs="Times New Roman"/>
        </w:rPr>
        <w:t>Similarly, for MassHealth members having a non-fatal</w:t>
      </w:r>
      <w:r>
        <w:rPr>
          <w:rFonts w:cs="Times New Roman"/>
        </w:rPr>
        <w:t xml:space="preserve"> </w:t>
      </w:r>
      <w:r w:rsidR="009D3806">
        <w:rPr>
          <w:rFonts w:cs="Times New Roman"/>
        </w:rPr>
        <w:t xml:space="preserve">opioid </w:t>
      </w:r>
      <w:r>
        <w:rPr>
          <w:rFonts w:cs="Times New Roman"/>
        </w:rPr>
        <w:t xml:space="preserve">overdose within the first year </w:t>
      </w:r>
      <w:r w:rsidRPr="008377A5">
        <w:rPr>
          <w:rFonts w:cs="Times New Roman"/>
        </w:rPr>
        <w:t>following release from incarceration, the percent</w:t>
      </w:r>
      <w:r w:rsidR="00912FB5">
        <w:rPr>
          <w:rFonts w:cs="Times New Roman"/>
        </w:rPr>
        <w:t>age</w:t>
      </w:r>
      <w:r w:rsidRPr="008377A5">
        <w:rPr>
          <w:rFonts w:cs="Times New Roman"/>
        </w:rPr>
        <w:t xml:space="preserve"> of members not receiving services was</w:t>
      </w:r>
      <w:r>
        <w:rPr>
          <w:rFonts w:cs="Times New Roman"/>
        </w:rPr>
        <w:t xml:space="preserve"> </w:t>
      </w:r>
      <w:r w:rsidRPr="008377A5">
        <w:rPr>
          <w:rFonts w:cs="Times New Roman"/>
        </w:rPr>
        <w:t>much higher (double in some instances) compared to those members who had at least one</w:t>
      </w:r>
      <w:r>
        <w:rPr>
          <w:rFonts w:cs="Times New Roman"/>
        </w:rPr>
        <w:t xml:space="preserve"> </w:t>
      </w:r>
      <w:r w:rsidRPr="008377A5">
        <w:rPr>
          <w:rFonts w:cs="Times New Roman"/>
        </w:rPr>
        <w:t>of these services</w:t>
      </w:r>
      <w:r>
        <w:rPr>
          <w:rFonts w:cs="Times New Roman"/>
        </w:rPr>
        <w:t>.</w:t>
      </w:r>
      <w:r w:rsidR="00912FB5">
        <w:rPr>
          <w:rFonts w:cs="Times New Roman"/>
        </w:rPr>
        <w:t xml:space="preserve"> </w:t>
      </w:r>
      <w:r w:rsidRPr="008377A5">
        <w:rPr>
          <w:rFonts w:cs="Times New Roman"/>
        </w:rPr>
        <w:t>The notable exceptions to this pattern were</w:t>
      </w:r>
      <w:r>
        <w:rPr>
          <w:rFonts w:cs="Times New Roman"/>
        </w:rPr>
        <w:t xml:space="preserve"> </w:t>
      </w:r>
      <w:r w:rsidRPr="008377A5">
        <w:rPr>
          <w:rFonts w:cs="Times New Roman"/>
        </w:rPr>
        <w:t>among those who had ED visits, evaluation and management outpatient visits, or</w:t>
      </w:r>
      <w:r>
        <w:rPr>
          <w:rFonts w:cs="Times New Roman"/>
        </w:rPr>
        <w:t xml:space="preserve"> </w:t>
      </w:r>
      <w:r w:rsidR="005553CB">
        <w:rPr>
          <w:rFonts w:cs="Times New Roman"/>
        </w:rPr>
        <w:t xml:space="preserve">were </w:t>
      </w:r>
      <w:r w:rsidRPr="008377A5">
        <w:rPr>
          <w:rFonts w:cs="Times New Roman"/>
        </w:rPr>
        <w:t>prescribed any opioids after release from incarceration</w:t>
      </w:r>
      <w:r w:rsidR="005553CB">
        <w:rPr>
          <w:rFonts w:cs="Times New Roman"/>
        </w:rPr>
        <w:t>;</w:t>
      </w:r>
      <w:r w:rsidR="005553CB" w:rsidRPr="008377A5">
        <w:rPr>
          <w:rFonts w:cs="Times New Roman"/>
        </w:rPr>
        <w:t xml:space="preserve"> </w:t>
      </w:r>
      <w:r w:rsidRPr="008377A5">
        <w:rPr>
          <w:rFonts w:cs="Times New Roman"/>
        </w:rPr>
        <w:t>whereby those with a non-fatal</w:t>
      </w:r>
      <w:r>
        <w:rPr>
          <w:rFonts w:cs="Times New Roman"/>
        </w:rPr>
        <w:t xml:space="preserve"> </w:t>
      </w:r>
      <w:r w:rsidR="009D3806">
        <w:rPr>
          <w:rFonts w:cs="Times New Roman"/>
        </w:rPr>
        <w:t xml:space="preserve">opioid </w:t>
      </w:r>
      <w:r w:rsidRPr="008377A5">
        <w:rPr>
          <w:rFonts w:cs="Times New Roman"/>
        </w:rPr>
        <w:t>overdose appear to be more likely to have received at least one of these services.</w:t>
      </w:r>
    </w:p>
    <w:p w:rsidR="00A877D1" w:rsidRDefault="00A877D1" w:rsidP="00776D45">
      <w:pPr>
        <w:pStyle w:val="ListParagraph"/>
        <w:tabs>
          <w:tab w:val="left" w:pos="1170"/>
        </w:tabs>
        <w:rPr>
          <w:rFonts w:cs="Times New Roman"/>
        </w:rPr>
      </w:pPr>
    </w:p>
    <w:p w:rsidR="00023AD6" w:rsidRPr="00BD64D7" w:rsidRDefault="005E70E9" w:rsidP="000E4D4B">
      <w:pPr>
        <w:pStyle w:val="ListParagraph"/>
        <w:numPr>
          <w:ilvl w:val="2"/>
          <w:numId w:val="5"/>
        </w:numPr>
        <w:tabs>
          <w:tab w:val="left" w:pos="1170"/>
        </w:tabs>
        <w:spacing w:after="200" w:line="276" w:lineRule="auto"/>
        <w:ind w:left="734" w:hanging="187"/>
        <w:rPr>
          <w:rFonts w:cs="Times New Roman"/>
        </w:rPr>
      </w:pPr>
      <w:r w:rsidRPr="00BD64D7">
        <w:rPr>
          <w:rFonts w:cs="Times New Roman"/>
        </w:rPr>
        <w:t>Lastly, while the majority of MassHealth members had no opioid overdose after release</w:t>
      </w:r>
      <w:r w:rsidR="00ED1895" w:rsidRPr="00BD64D7">
        <w:rPr>
          <w:rFonts w:cs="Times New Roman"/>
        </w:rPr>
        <w:t xml:space="preserve"> </w:t>
      </w:r>
      <w:r w:rsidR="005553CB" w:rsidRPr="00BD64D7">
        <w:rPr>
          <w:rFonts w:cs="Times New Roman"/>
        </w:rPr>
        <w:t>from</w:t>
      </w:r>
      <w:r w:rsidRPr="00BD64D7">
        <w:rPr>
          <w:rFonts w:cs="Times New Roman"/>
        </w:rPr>
        <w:t xml:space="preserve"> incarceration in the time frames presented (</w:t>
      </w:r>
      <w:r w:rsidR="00045627" w:rsidRPr="00BD64D7">
        <w:rPr>
          <w:rFonts w:cs="Times New Roman"/>
        </w:rPr>
        <w:t xml:space="preserve">between </w:t>
      </w:r>
      <w:r w:rsidRPr="00BD64D7">
        <w:rPr>
          <w:rFonts w:cs="Times New Roman"/>
        </w:rPr>
        <w:t xml:space="preserve">80-90%), relatively small percentages of members receive services. Services received predominantly included ED visits, evaluation and management outpatient visits, outpatient behavioral health visits, and prescriptions for opioids, benzodiazepines, and </w:t>
      </w:r>
      <w:r w:rsidR="00776D45" w:rsidRPr="00BD64D7">
        <w:rPr>
          <w:rFonts w:cs="Times New Roman"/>
        </w:rPr>
        <w:t xml:space="preserve">buprenorphine </w:t>
      </w:r>
      <w:r w:rsidRPr="00BD64D7">
        <w:rPr>
          <w:rFonts w:cs="Times New Roman"/>
        </w:rPr>
        <w:t>soon after release</w:t>
      </w:r>
      <w:r w:rsidR="00BD64D7">
        <w:rPr>
          <w:rFonts w:cs="Times New Roman"/>
        </w:rPr>
        <w:t xml:space="preserve"> (Figure </w:t>
      </w:r>
      <w:r w:rsidR="00042910">
        <w:rPr>
          <w:rFonts w:cs="Times New Roman"/>
        </w:rPr>
        <w:t>1</w:t>
      </w:r>
      <w:r w:rsidR="002B3BC3">
        <w:rPr>
          <w:rFonts w:cs="Times New Roman"/>
        </w:rPr>
        <w:t>8</w:t>
      </w:r>
      <w:r w:rsidR="00BD64D7">
        <w:rPr>
          <w:rFonts w:cs="Times New Roman"/>
        </w:rPr>
        <w:t>).</w:t>
      </w:r>
    </w:p>
    <w:p w:rsidR="000E4D4B" w:rsidRDefault="000E4D4B" w:rsidP="000E4D4B">
      <w:pPr>
        <w:pStyle w:val="ListParagraph"/>
        <w:tabs>
          <w:tab w:val="left" w:pos="1170"/>
        </w:tabs>
        <w:spacing w:after="200" w:line="276" w:lineRule="auto"/>
        <w:ind w:left="734"/>
        <w:rPr>
          <w:rFonts w:cs="Times New Roman"/>
        </w:rPr>
      </w:pPr>
    </w:p>
    <w:p w:rsidR="00BD64D7" w:rsidRDefault="00BD64D7" w:rsidP="000E4D4B">
      <w:pPr>
        <w:pStyle w:val="ListParagraph"/>
        <w:tabs>
          <w:tab w:val="left" w:pos="1170"/>
        </w:tabs>
        <w:spacing w:after="200" w:line="276" w:lineRule="auto"/>
        <w:ind w:left="734"/>
        <w:rPr>
          <w:rFonts w:cs="Times New Roman"/>
        </w:rPr>
      </w:pPr>
    </w:p>
    <w:p w:rsidR="005F44D7" w:rsidRPr="00042910" w:rsidRDefault="005F44D7" w:rsidP="00042910">
      <w:pPr>
        <w:tabs>
          <w:tab w:val="left" w:pos="1170"/>
        </w:tabs>
        <w:spacing w:after="200" w:line="276" w:lineRule="auto"/>
        <w:rPr>
          <w:rFonts w:cs="Times New Roman"/>
        </w:rPr>
      </w:pPr>
    </w:p>
    <w:p w:rsidR="005E70E9" w:rsidRPr="001D6148" w:rsidRDefault="005E70E9" w:rsidP="00776D45">
      <w:pPr>
        <w:tabs>
          <w:tab w:val="left" w:pos="1170"/>
        </w:tabs>
        <w:ind w:left="720"/>
        <w:rPr>
          <w:b/>
          <w:bCs/>
        </w:rPr>
      </w:pPr>
      <w:r w:rsidRPr="001D6148">
        <w:rPr>
          <w:b/>
        </w:rPr>
        <w:lastRenderedPageBreak/>
        <w:t xml:space="preserve">Figure </w:t>
      </w:r>
      <w:r w:rsidRPr="001D6148">
        <w:rPr>
          <w:b/>
        </w:rPr>
        <w:fldChar w:fldCharType="begin"/>
      </w:r>
      <w:r w:rsidRPr="001D6148">
        <w:rPr>
          <w:b/>
        </w:rPr>
        <w:instrText xml:space="preserve"> SEQ Figure \* ARABIC </w:instrText>
      </w:r>
      <w:r w:rsidRPr="001D6148">
        <w:rPr>
          <w:b/>
        </w:rPr>
        <w:fldChar w:fldCharType="separate"/>
      </w:r>
      <w:r w:rsidR="002B3BC3">
        <w:rPr>
          <w:b/>
          <w:noProof/>
        </w:rPr>
        <w:t>18</w:t>
      </w:r>
      <w:r w:rsidRPr="001D6148">
        <w:rPr>
          <w:b/>
        </w:rPr>
        <w:fldChar w:fldCharType="end"/>
      </w:r>
      <w:r w:rsidRPr="001D6148">
        <w:rPr>
          <w:b/>
        </w:rPr>
        <w:t xml:space="preserve">. </w:t>
      </w:r>
      <w:r w:rsidR="005F5072" w:rsidRPr="001D6148">
        <w:rPr>
          <w:rFonts w:cs="Times New Roman"/>
          <w:b/>
        </w:rPr>
        <w:t>MassHealth Members with</w:t>
      </w:r>
      <w:r w:rsidRPr="001D6148">
        <w:rPr>
          <w:rFonts w:cs="Times New Roman"/>
          <w:b/>
        </w:rPr>
        <w:t xml:space="preserve"> Prescription</w:t>
      </w:r>
      <w:r w:rsidR="005F5072" w:rsidRPr="001D6148">
        <w:rPr>
          <w:rFonts w:cs="Times New Roman"/>
          <w:b/>
        </w:rPr>
        <w:t>s</w:t>
      </w:r>
      <w:r w:rsidRPr="001D6148">
        <w:rPr>
          <w:rFonts w:cs="Times New Roman"/>
          <w:b/>
        </w:rPr>
        <w:t xml:space="preserve"> for Select Controlled Substances within Twelve Months Post-Release from Incarceration</w:t>
      </w:r>
      <w:r w:rsidR="00CA78AF" w:rsidRPr="001D6148">
        <w:rPr>
          <w:rFonts w:cs="Times New Roman"/>
          <w:b/>
        </w:rPr>
        <w:t xml:space="preserve">, </w:t>
      </w:r>
      <w:r w:rsidR="00CA78AF" w:rsidRPr="001D6148">
        <w:rPr>
          <w:b/>
          <w:bCs/>
        </w:rPr>
        <w:t>MA: 2011-2015</w:t>
      </w:r>
    </w:p>
    <w:p w:rsidR="000E4D4B" w:rsidRPr="005F44D7" w:rsidRDefault="00023AD6" w:rsidP="005F44D7">
      <w:pPr>
        <w:tabs>
          <w:tab w:val="left" w:pos="1170"/>
        </w:tabs>
        <w:jc w:val="center"/>
        <w:rPr>
          <w:b/>
        </w:rPr>
      </w:pPr>
      <w:r>
        <w:rPr>
          <w:noProof/>
        </w:rPr>
        <w:drawing>
          <wp:inline distT="0" distB="0" distL="0" distR="0" wp14:anchorId="78906410" wp14:editId="565BA449">
            <wp:extent cx="5943600" cy="28956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E4D4B" w:rsidRDefault="000E4D4B" w:rsidP="000E4D4B">
      <w:pPr>
        <w:pStyle w:val="ListParagraph"/>
        <w:tabs>
          <w:tab w:val="left" w:pos="1170"/>
        </w:tabs>
        <w:ind w:left="1080"/>
        <w:rPr>
          <w:sz w:val="8"/>
          <w:szCs w:val="8"/>
        </w:rPr>
      </w:pPr>
    </w:p>
    <w:p w:rsidR="00A06D2B" w:rsidRPr="00A06D2B" w:rsidRDefault="00A06D2B" w:rsidP="000E4D4B">
      <w:pPr>
        <w:pStyle w:val="ListParagraph"/>
        <w:tabs>
          <w:tab w:val="left" w:pos="1170"/>
        </w:tabs>
        <w:ind w:left="1080"/>
        <w:rPr>
          <w:sz w:val="8"/>
          <w:szCs w:val="8"/>
        </w:rPr>
      </w:pPr>
    </w:p>
    <w:p w:rsidR="00776D45" w:rsidRDefault="005E70E9" w:rsidP="00A06D2B">
      <w:pPr>
        <w:pStyle w:val="ListParagraph"/>
        <w:numPr>
          <w:ilvl w:val="0"/>
          <w:numId w:val="5"/>
        </w:numPr>
        <w:tabs>
          <w:tab w:val="left" w:pos="1170"/>
        </w:tabs>
      </w:pPr>
      <w:r w:rsidRPr="008377A5">
        <w:rPr>
          <w:rFonts w:cs="Times New Roman"/>
        </w:rPr>
        <w:t xml:space="preserve">MassHealth members who were both unstably housed and criminal justice involved had </w:t>
      </w:r>
      <w:r w:rsidR="0081650F">
        <w:rPr>
          <w:rFonts w:cs="Times New Roman"/>
        </w:rPr>
        <w:t>Paid Claims Per Member Month</w:t>
      </w:r>
      <w:r w:rsidR="00045627">
        <w:rPr>
          <w:rFonts w:cs="Times New Roman"/>
        </w:rPr>
        <w:t xml:space="preserve"> (</w:t>
      </w:r>
      <w:r w:rsidR="00045627" w:rsidRPr="008377A5">
        <w:rPr>
          <w:rFonts w:cs="Times New Roman"/>
        </w:rPr>
        <w:t>PMPM</w:t>
      </w:r>
      <w:r w:rsidR="0081650F">
        <w:rPr>
          <w:rFonts w:cs="Times New Roman"/>
        </w:rPr>
        <w:t>)</w:t>
      </w:r>
      <w:r w:rsidRPr="008377A5">
        <w:rPr>
          <w:rFonts w:cs="Times New Roman"/>
        </w:rPr>
        <w:t xml:space="preserve"> costs for fatal and non-fatal </w:t>
      </w:r>
      <w:r w:rsidR="00D94FE7">
        <w:rPr>
          <w:rFonts w:cs="Times New Roman"/>
        </w:rPr>
        <w:t xml:space="preserve">opioid </w:t>
      </w:r>
      <w:r w:rsidRPr="008377A5">
        <w:rPr>
          <w:rFonts w:cs="Times New Roman"/>
        </w:rPr>
        <w:t>overdoses</w:t>
      </w:r>
      <w:r w:rsidR="00912FB5">
        <w:rPr>
          <w:rFonts w:cs="Times New Roman"/>
        </w:rPr>
        <w:t>,</w:t>
      </w:r>
      <w:r w:rsidRPr="008377A5">
        <w:rPr>
          <w:rFonts w:cs="Times New Roman"/>
        </w:rPr>
        <w:t xml:space="preserve"> which were 50-65% higher than the MassHealth population in </w:t>
      </w:r>
      <w:r w:rsidR="002B3BC3">
        <w:rPr>
          <w:rFonts w:cs="Times New Roman"/>
        </w:rPr>
        <w:t>general (Figure 19</w:t>
      </w:r>
      <w:r w:rsidR="00BD64D7">
        <w:rPr>
          <w:rFonts w:cs="Times New Roman"/>
        </w:rPr>
        <w:t>).</w:t>
      </w:r>
    </w:p>
    <w:p w:rsidR="00DF2C1F" w:rsidRPr="00776D45" w:rsidRDefault="00DF2C1F" w:rsidP="000E4D4B">
      <w:pPr>
        <w:tabs>
          <w:tab w:val="left" w:pos="1170"/>
          <w:tab w:val="left" w:pos="1605"/>
        </w:tabs>
        <w:rPr>
          <w:b/>
        </w:rPr>
      </w:pPr>
    </w:p>
    <w:p w:rsidR="005E70E9" w:rsidRDefault="005E70E9" w:rsidP="00776D45">
      <w:pPr>
        <w:tabs>
          <w:tab w:val="left" w:pos="720"/>
        </w:tabs>
        <w:ind w:left="720"/>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19</w:t>
      </w:r>
      <w:r w:rsidRPr="00CC16FA">
        <w:rPr>
          <w:b/>
        </w:rPr>
        <w:fldChar w:fldCharType="end"/>
      </w:r>
      <w:r w:rsidRPr="00CC16FA">
        <w:rPr>
          <w:b/>
        </w:rPr>
        <w:t xml:space="preserve">.  </w:t>
      </w:r>
      <w:r w:rsidRPr="002A3F9A">
        <w:rPr>
          <w:b/>
        </w:rPr>
        <w:t xml:space="preserve">Average MassHealth </w:t>
      </w:r>
      <w:r w:rsidR="0081650F">
        <w:rPr>
          <w:b/>
        </w:rPr>
        <w:t>PMPM</w:t>
      </w:r>
      <w:r w:rsidRPr="002A3F9A">
        <w:rPr>
          <w:b/>
        </w:rPr>
        <w:t xml:space="preserve"> by Opioid</w:t>
      </w:r>
      <w:r w:rsidR="005553CB">
        <w:rPr>
          <w:b/>
        </w:rPr>
        <w:t>-</w:t>
      </w:r>
      <w:r w:rsidR="00912FB5">
        <w:rPr>
          <w:b/>
        </w:rPr>
        <w:t xml:space="preserve">Related </w:t>
      </w:r>
      <w:r w:rsidRPr="002A3F9A">
        <w:rPr>
          <w:b/>
        </w:rPr>
        <w:t>Overdose Outcome, Ages 11-64 Years, M</w:t>
      </w:r>
      <w:r w:rsidR="00912FB5">
        <w:rPr>
          <w:b/>
        </w:rPr>
        <w:t>A</w:t>
      </w:r>
      <w:r w:rsidRPr="002A3F9A">
        <w:rPr>
          <w:b/>
        </w:rPr>
        <w:t>: 2012-2015</w:t>
      </w:r>
    </w:p>
    <w:p w:rsidR="005E70E9" w:rsidRPr="00903B49" w:rsidRDefault="002A46C7" w:rsidP="0097072A">
      <w:pPr>
        <w:tabs>
          <w:tab w:val="left" w:pos="1170"/>
        </w:tabs>
        <w:ind w:left="720"/>
        <w:rPr>
          <w:rFonts w:cs="Times New Roman"/>
        </w:rPr>
      </w:pPr>
      <w:r>
        <w:rPr>
          <w:noProof/>
        </w:rPr>
        <w:drawing>
          <wp:inline distT="0" distB="0" distL="0" distR="0" wp14:anchorId="14BA62B5" wp14:editId="4D697998">
            <wp:extent cx="5419725" cy="29718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A46C7" w:rsidRPr="002A46C7" w:rsidRDefault="002A46C7" w:rsidP="002A46C7">
      <w:pPr>
        <w:pStyle w:val="ListParagraph"/>
        <w:spacing w:after="200" w:line="276" w:lineRule="auto"/>
        <w:ind w:left="360"/>
        <w:rPr>
          <w:rFonts w:cs="Times New Roman"/>
        </w:rPr>
      </w:pPr>
    </w:p>
    <w:p w:rsidR="00A06D2B" w:rsidRDefault="00A06D2B" w:rsidP="00A06D2B">
      <w:pPr>
        <w:spacing w:after="200" w:line="276" w:lineRule="auto"/>
        <w:rPr>
          <w:rFonts w:cs="Times New Roman"/>
        </w:rPr>
      </w:pPr>
    </w:p>
    <w:p w:rsidR="00A06D2B" w:rsidRDefault="00A06D2B" w:rsidP="00A06D2B">
      <w:pPr>
        <w:spacing w:after="200" w:line="276" w:lineRule="auto"/>
        <w:rPr>
          <w:rFonts w:cs="Times New Roman"/>
        </w:rPr>
      </w:pPr>
    </w:p>
    <w:p w:rsidR="00262B90" w:rsidRDefault="00236618" w:rsidP="00262B90">
      <w:pPr>
        <w:pStyle w:val="ListParagraph"/>
        <w:numPr>
          <w:ilvl w:val="1"/>
          <w:numId w:val="5"/>
        </w:numPr>
        <w:spacing w:after="200" w:line="276" w:lineRule="auto"/>
        <w:rPr>
          <w:rFonts w:cs="Times New Roman"/>
        </w:rPr>
      </w:pPr>
      <w:r w:rsidRPr="00262B90">
        <w:rPr>
          <w:rFonts w:cs="Times New Roman"/>
        </w:rPr>
        <w:lastRenderedPageBreak/>
        <w:t>Between 2014 and 2015, an overwhelming majority of the opioid-related overdose deaths had either stimulants or another drug in toxicology results at the time of death. One exception was</w:t>
      </w:r>
      <w:r>
        <w:rPr>
          <w:bCs/>
          <w:kern w:val="32"/>
        </w:rPr>
        <w:t xml:space="preserve"> </w:t>
      </w:r>
      <w:r>
        <w:rPr>
          <w:rFonts w:cs="Times New Roman"/>
        </w:rPr>
        <w:t>p</w:t>
      </w:r>
      <w:r w:rsidRPr="004C3C04">
        <w:rPr>
          <w:rFonts w:cs="Times New Roman"/>
        </w:rPr>
        <w:t xml:space="preserve">ersons who were incarcerated in the 12 months preceding </w:t>
      </w:r>
      <w:r w:rsidR="009D3806">
        <w:rPr>
          <w:rFonts w:cs="Times New Roman"/>
        </w:rPr>
        <w:t xml:space="preserve">the opioid </w:t>
      </w:r>
      <w:r w:rsidRPr="004C3C04">
        <w:rPr>
          <w:rFonts w:cs="Times New Roman"/>
        </w:rPr>
        <w:t>overdose</w:t>
      </w:r>
      <w:r w:rsidR="00912FB5">
        <w:rPr>
          <w:rFonts w:cs="Times New Roman"/>
        </w:rPr>
        <w:t>;</w:t>
      </w:r>
      <w:r>
        <w:rPr>
          <w:rFonts w:cs="Times New Roman"/>
        </w:rPr>
        <w:t xml:space="preserve"> </w:t>
      </w:r>
      <w:r w:rsidR="00912FB5">
        <w:rPr>
          <w:rFonts w:cs="Times New Roman"/>
        </w:rPr>
        <w:t>t</w:t>
      </w:r>
      <w:r w:rsidR="00244C85">
        <w:rPr>
          <w:rFonts w:cs="Times New Roman"/>
        </w:rPr>
        <w:t>hese persons</w:t>
      </w:r>
      <w:r w:rsidR="00912FB5">
        <w:rPr>
          <w:rFonts w:cs="Times New Roman"/>
        </w:rPr>
        <w:t xml:space="preserve"> </w:t>
      </w:r>
      <w:r>
        <w:rPr>
          <w:rFonts w:cs="Times New Roman"/>
        </w:rPr>
        <w:t xml:space="preserve">were </w:t>
      </w:r>
      <w:r w:rsidRPr="004C3C04">
        <w:rPr>
          <w:rFonts w:cs="Times New Roman"/>
        </w:rPr>
        <w:t>half as likely than those without incarceration between 2011-2015 to die of opioids with non-stimulant substances than with opioids alone</w:t>
      </w:r>
      <w:r w:rsidRPr="004C3C04" w:rsidDel="00497E39">
        <w:rPr>
          <w:rFonts w:cs="Times New Roman"/>
        </w:rPr>
        <w:t xml:space="preserve"> </w:t>
      </w:r>
      <w:r w:rsidRPr="004C3C04">
        <w:rPr>
          <w:rFonts w:cs="Times New Roman"/>
        </w:rPr>
        <w:t>(OR: 0.53, 95% CI: 0.36-0.79</w:t>
      </w:r>
      <w:r>
        <w:rPr>
          <w:rFonts w:cs="Times New Roman"/>
        </w:rPr>
        <w:t>).</w:t>
      </w:r>
    </w:p>
    <w:p w:rsidR="00A06D2B" w:rsidRDefault="00A06D2B" w:rsidP="00A06D2B">
      <w:pPr>
        <w:pStyle w:val="ListParagraph"/>
        <w:spacing w:after="200" w:line="276" w:lineRule="auto"/>
        <w:ind w:left="1080"/>
        <w:rPr>
          <w:rFonts w:cs="Times New Roman"/>
        </w:rPr>
      </w:pPr>
    </w:p>
    <w:p w:rsidR="00262B90" w:rsidRDefault="00262B90" w:rsidP="00262B90">
      <w:pPr>
        <w:pStyle w:val="ListParagraph"/>
        <w:numPr>
          <w:ilvl w:val="1"/>
          <w:numId w:val="5"/>
        </w:numPr>
        <w:spacing w:after="200" w:line="276" w:lineRule="auto"/>
        <w:rPr>
          <w:rFonts w:cs="Times New Roman"/>
        </w:rPr>
      </w:pPr>
      <w:r w:rsidRPr="00262B90">
        <w:rPr>
          <w:rFonts w:cs="Times New Roman"/>
        </w:rPr>
        <w:t xml:space="preserve">For information on recently released veterans, please see Section on Veterans on page </w:t>
      </w:r>
      <w:r w:rsidR="000962DC">
        <w:rPr>
          <w:rFonts w:cs="Times New Roman"/>
        </w:rPr>
        <w:t>31</w:t>
      </w:r>
      <w:r w:rsidRPr="00262B90">
        <w:rPr>
          <w:rFonts w:cs="Times New Roman"/>
        </w:rPr>
        <w:t>.</w:t>
      </w:r>
    </w:p>
    <w:p w:rsidR="00262B90" w:rsidRPr="00262B90" w:rsidRDefault="00262B90" w:rsidP="00262B90">
      <w:pPr>
        <w:pStyle w:val="ListParagraph"/>
        <w:spacing w:after="200" w:line="276" w:lineRule="auto"/>
        <w:ind w:left="1080"/>
        <w:rPr>
          <w:rFonts w:cs="Times New Roman"/>
        </w:rPr>
      </w:pPr>
    </w:p>
    <w:p w:rsidR="006725BF" w:rsidRPr="006725BF" w:rsidRDefault="006725BF" w:rsidP="006725BF"/>
    <w:p w:rsidR="000C592A" w:rsidRDefault="000C592A">
      <w:pPr>
        <w:spacing w:after="200" w:line="276" w:lineRule="auto"/>
        <w:rPr>
          <w:rFonts w:asciiTheme="majorHAnsi" w:eastAsiaTheme="majorEastAsia" w:hAnsiTheme="majorHAnsi" w:cstheme="majorBidi"/>
          <w:b/>
          <w:bCs/>
          <w:color w:val="4F81BD" w:themeColor="accent1"/>
          <w:sz w:val="26"/>
          <w:szCs w:val="26"/>
        </w:rPr>
      </w:pPr>
    </w:p>
    <w:p w:rsidR="006725BF" w:rsidRDefault="006725BF">
      <w:pPr>
        <w:spacing w:after="200" w:line="276" w:lineRule="auto"/>
        <w:rPr>
          <w:rFonts w:asciiTheme="majorHAnsi" w:eastAsiaTheme="majorEastAsia" w:hAnsiTheme="majorHAnsi" w:cstheme="majorBidi"/>
          <w:b/>
          <w:bCs/>
          <w:color w:val="4F81BD" w:themeColor="accent1"/>
          <w:sz w:val="36"/>
          <w:szCs w:val="36"/>
        </w:rPr>
      </w:pPr>
      <w:bookmarkStart w:id="10" w:name="_Toc20134879"/>
      <w:r>
        <w:rPr>
          <w:sz w:val="36"/>
          <w:szCs w:val="36"/>
        </w:rPr>
        <w:br w:type="page"/>
      </w:r>
    </w:p>
    <w:p w:rsidR="005E70E9" w:rsidRPr="00D3478C" w:rsidRDefault="00F825E8" w:rsidP="00A1795E">
      <w:pPr>
        <w:pStyle w:val="Heading2"/>
        <w:rPr>
          <w:sz w:val="36"/>
          <w:szCs w:val="36"/>
        </w:rPr>
      </w:pPr>
      <w:r w:rsidRPr="00D3478C">
        <w:rPr>
          <w:sz w:val="36"/>
          <w:szCs w:val="36"/>
        </w:rPr>
        <w:lastRenderedPageBreak/>
        <w:t>People Experiencing</w:t>
      </w:r>
      <w:r w:rsidR="006F0C1F" w:rsidRPr="00D3478C">
        <w:rPr>
          <w:sz w:val="36"/>
          <w:szCs w:val="36"/>
        </w:rPr>
        <w:t xml:space="preserve"> </w:t>
      </w:r>
      <w:r w:rsidR="005E70E9" w:rsidRPr="00D3478C">
        <w:rPr>
          <w:sz w:val="36"/>
          <w:szCs w:val="36"/>
        </w:rPr>
        <w:t>Homeless</w:t>
      </w:r>
      <w:r w:rsidR="006F0C1F" w:rsidRPr="00D3478C">
        <w:rPr>
          <w:sz w:val="36"/>
          <w:szCs w:val="36"/>
        </w:rPr>
        <w:t>ness</w:t>
      </w:r>
      <w:bookmarkEnd w:id="10"/>
    </w:p>
    <w:p w:rsidR="006F0C1F" w:rsidRDefault="006F0C1F" w:rsidP="005E70E9">
      <w:pPr>
        <w:rPr>
          <w:rFonts w:cs="Times New Roman"/>
          <w:b/>
        </w:rPr>
      </w:pPr>
    </w:p>
    <w:p w:rsidR="00B5763D" w:rsidRDefault="000865C8" w:rsidP="005E70E9">
      <w:pPr>
        <w:rPr>
          <w:rFonts w:cs="Times New Roman"/>
          <w:b/>
        </w:rPr>
      </w:pPr>
      <w:r>
        <w:rPr>
          <w:rFonts w:cs="Times New Roman"/>
          <w:b/>
        </w:rPr>
        <w:t xml:space="preserve">Background: </w:t>
      </w:r>
    </w:p>
    <w:p w:rsidR="00AE7594" w:rsidRDefault="005E70E9" w:rsidP="00887BA6">
      <w:pPr>
        <w:spacing w:line="276" w:lineRule="auto"/>
        <w:rPr>
          <w:rFonts w:cs="Times New Roman"/>
        </w:rPr>
      </w:pPr>
      <w:r w:rsidRPr="00AE7594">
        <w:rPr>
          <w:rFonts w:cs="Times New Roman"/>
        </w:rPr>
        <w:t xml:space="preserve">Several </w:t>
      </w:r>
      <w:r>
        <w:rPr>
          <w:rFonts w:cs="Times New Roman"/>
        </w:rPr>
        <w:t>studies have found h</w:t>
      </w:r>
      <w:r w:rsidRPr="00BF16E8">
        <w:rPr>
          <w:rFonts w:cs="Times New Roman"/>
        </w:rPr>
        <w:t xml:space="preserve">omelessness </w:t>
      </w:r>
      <w:r>
        <w:rPr>
          <w:rFonts w:cs="Times New Roman"/>
        </w:rPr>
        <w:t>to be</w:t>
      </w:r>
      <w:r w:rsidRPr="00BF16E8">
        <w:rPr>
          <w:rFonts w:cs="Times New Roman"/>
        </w:rPr>
        <w:t xml:space="preserve"> associated with a wide range of adverse health and social outcomes</w:t>
      </w:r>
      <w:r w:rsidR="00886BED">
        <w:rPr>
          <w:rFonts w:cs="Times New Roman"/>
        </w:rPr>
        <w:t>.</w:t>
      </w:r>
      <w:r w:rsidRPr="005F44D7">
        <w:rPr>
          <w:rStyle w:val="FootnoteReference"/>
        </w:rPr>
        <w:footnoteReference w:id="35"/>
      </w:r>
      <w:r w:rsidRPr="00BF16E8">
        <w:rPr>
          <w:rFonts w:cs="Times New Roman"/>
          <w:vertAlign w:val="superscript"/>
        </w:rPr>
        <w:t>-</w:t>
      </w:r>
      <w:r w:rsidRPr="005F44D7">
        <w:rPr>
          <w:rStyle w:val="FootnoteReference"/>
        </w:rPr>
        <w:footnoteReference w:id="36"/>
      </w:r>
      <w:r w:rsidRPr="00BF16E8">
        <w:rPr>
          <w:rFonts w:cs="Times New Roman"/>
        </w:rPr>
        <w:t xml:space="preserve"> Persons experiencing homelessness often interact with multiple publicly-funded systems of care including emergency shelter, health care, mental health, </w:t>
      </w:r>
      <w:r w:rsidR="00C120B5">
        <w:rPr>
          <w:rFonts w:cs="Times New Roman"/>
        </w:rPr>
        <w:t xml:space="preserve">or </w:t>
      </w:r>
      <w:r w:rsidRPr="00BF16E8">
        <w:rPr>
          <w:rFonts w:cs="Times New Roman"/>
        </w:rPr>
        <w:t>substance use disorder treatment, and</w:t>
      </w:r>
      <w:r w:rsidR="00C120B5">
        <w:rPr>
          <w:rFonts w:cs="Times New Roman"/>
        </w:rPr>
        <w:t xml:space="preserve"> the</w:t>
      </w:r>
      <w:r w:rsidRPr="00BF16E8">
        <w:rPr>
          <w:rFonts w:cs="Times New Roman"/>
        </w:rPr>
        <w:t xml:space="preserve"> criminal justice system</w:t>
      </w:r>
      <w:r w:rsidR="00886BED">
        <w:rPr>
          <w:rFonts w:cs="Times New Roman"/>
        </w:rPr>
        <w:t>,</w:t>
      </w:r>
      <w:r>
        <w:rPr>
          <w:rFonts w:cs="Times New Roman"/>
        </w:rPr>
        <w:t xml:space="preserve"> </w:t>
      </w:r>
      <w:r w:rsidRPr="00BF16E8">
        <w:rPr>
          <w:rFonts w:cs="Times New Roman"/>
        </w:rPr>
        <w:t xml:space="preserve">thus </w:t>
      </w:r>
      <w:r w:rsidR="00886BED">
        <w:rPr>
          <w:rFonts w:cs="Times New Roman"/>
        </w:rPr>
        <w:t xml:space="preserve">it is important to </w:t>
      </w:r>
      <w:r w:rsidR="00886BED" w:rsidRPr="00BF16E8">
        <w:rPr>
          <w:rFonts w:cs="Times New Roman"/>
        </w:rPr>
        <w:t>provid</w:t>
      </w:r>
      <w:r w:rsidR="00886BED">
        <w:rPr>
          <w:rFonts w:cs="Times New Roman"/>
        </w:rPr>
        <w:t>e</w:t>
      </w:r>
      <w:r w:rsidR="00886BED" w:rsidRPr="00BF16E8">
        <w:rPr>
          <w:rFonts w:cs="Times New Roman"/>
        </w:rPr>
        <w:t xml:space="preserve"> </w:t>
      </w:r>
      <w:r w:rsidRPr="00BF16E8">
        <w:rPr>
          <w:rFonts w:cs="Times New Roman"/>
        </w:rPr>
        <w:t xml:space="preserve">numerous </w:t>
      </w:r>
      <w:r w:rsidR="00402BB7">
        <w:rPr>
          <w:rFonts w:cs="Times New Roman"/>
        </w:rPr>
        <w:t>options</w:t>
      </w:r>
      <w:r w:rsidRPr="00BF16E8">
        <w:rPr>
          <w:rFonts w:cs="Times New Roman"/>
        </w:rPr>
        <w:t xml:space="preserve"> to address their housing, health care, and other social needs</w:t>
      </w:r>
      <w:r w:rsidR="00886BED">
        <w:rPr>
          <w:rFonts w:cs="Times New Roman"/>
        </w:rPr>
        <w:t>.</w:t>
      </w:r>
      <w:r w:rsidRPr="005F44D7">
        <w:rPr>
          <w:rStyle w:val="FootnoteReference"/>
        </w:rPr>
        <w:footnoteReference w:id="37"/>
      </w:r>
      <w:r w:rsidRPr="00BF16E8">
        <w:rPr>
          <w:rFonts w:cs="Times New Roman"/>
          <w:vertAlign w:val="superscript"/>
        </w:rPr>
        <w:t>,</w:t>
      </w:r>
      <w:r w:rsidRPr="005F44D7">
        <w:rPr>
          <w:rStyle w:val="FootnoteReference"/>
        </w:rPr>
        <w:footnoteReference w:id="38"/>
      </w:r>
      <w:r w:rsidRPr="00BF16E8">
        <w:rPr>
          <w:rFonts w:cs="Times New Roman"/>
          <w:vertAlign w:val="superscript"/>
        </w:rPr>
        <w:t>,</w:t>
      </w:r>
      <w:r w:rsidRPr="005F44D7">
        <w:rPr>
          <w:rStyle w:val="FootnoteReference"/>
        </w:rPr>
        <w:footnoteReference w:id="39"/>
      </w:r>
      <w:r w:rsidRPr="00BF16E8">
        <w:rPr>
          <w:rFonts w:cs="Times New Roman"/>
          <w:vertAlign w:val="superscript"/>
        </w:rPr>
        <w:t>,</w:t>
      </w:r>
      <w:r w:rsidRPr="005F44D7">
        <w:rPr>
          <w:rStyle w:val="FootnoteReference"/>
        </w:rPr>
        <w:footnoteReference w:id="40"/>
      </w:r>
      <w:r w:rsidRPr="00BF16E8">
        <w:rPr>
          <w:rFonts w:cs="Times New Roman"/>
        </w:rPr>
        <w:t xml:space="preserve"> </w:t>
      </w:r>
      <w:r w:rsidR="00CE28E5">
        <w:rPr>
          <w:rFonts w:cs="Times New Roman"/>
        </w:rPr>
        <w:t>D</w:t>
      </w:r>
      <w:r w:rsidRPr="00BF16E8">
        <w:rPr>
          <w:rFonts w:cs="Times New Roman"/>
        </w:rPr>
        <w:t>rug overdose is the leading cause of death among</w:t>
      </w:r>
      <w:r w:rsidR="00611ACA">
        <w:rPr>
          <w:rFonts w:cs="Times New Roman"/>
        </w:rPr>
        <w:t xml:space="preserve"> those experiencing</w:t>
      </w:r>
      <w:r w:rsidRPr="00BF16E8">
        <w:rPr>
          <w:rFonts w:cs="Times New Roman"/>
        </w:rPr>
        <w:t xml:space="preserve"> homeless</w:t>
      </w:r>
      <w:r w:rsidR="00611ACA">
        <w:rPr>
          <w:rFonts w:cs="Times New Roman"/>
        </w:rPr>
        <w:t>ness</w:t>
      </w:r>
      <w:r w:rsidRPr="00BF16E8">
        <w:rPr>
          <w:rFonts w:cs="Times New Roman"/>
        </w:rPr>
        <w:t xml:space="preserve"> in Massachusetts</w:t>
      </w:r>
      <w:r w:rsidR="00611ACA">
        <w:rPr>
          <w:rFonts w:cs="Times New Roman"/>
        </w:rPr>
        <w:t>,</w:t>
      </w:r>
      <w:r w:rsidRPr="00BF16E8">
        <w:rPr>
          <w:rFonts w:cs="Times New Roman"/>
        </w:rPr>
        <w:t xml:space="preserve"> and opioids are responsible for </w:t>
      </w:r>
      <w:r w:rsidR="00886BED">
        <w:rPr>
          <w:rFonts w:cs="Times New Roman"/>
        </w:rPr>
        <w:t>four</w:t>
      </w:r>
      <w:r w:rsidR="00886BED" w:rsidRPr="00BF16E8">
        <w:rPr>
          <w:rFonts w:cs="Times New Roman"/>
        </w:rPr>
        <w:t xml:space="preserve"> </w:t>
      </w:r>
      <w:r w:rsidRPr="00BF16E8">
        <w:rPr>
          <w:rFonts w:cs="Times New Roman"/>
        </w:rPr>
        <w:t xml:space="preserve">out of </w:t>
      </w:r>
      <w:r w:rsidR="00886BED">
        <w:rPr>
          <w:rFonts w:cs="Times New Roman"/>
        </w:rPr>
        <w:t>five</w:t>
      </w:r>
      <w:r w:rsidR="00886BED" w:rsidRPr="00BF16E8">
        <w:rPr>
          <w:rFonts w:cs="Times New Roman"/>
        </w:rPr>
        <w:t xml:space="preserve"> </w:t>
      </w:r>
      <w:r w:rsidRPr="00BF16E8">
        <w:rPr>
          <w:rFonts w:cs="Times New Roman"/>
        </w:rPr>
        <w:t xml:space="preserve">of these overdoses. </w:t>
      </w:r>
    </w:p>
    <w:p w:rsidR="00886BED" w:rsidRPr="00887BA6" w:rsidRDefault="00886BED" w:rsidP="00887BA6">
      <w:pPr>
        <w:ind w:firstLine="720"/>
        <w:rPr>
          <w:rFonts w:cs="Times New Roman"/>
          <w:sz w:val="14"/>
          <w:szCs w:val="14"/>
        </w:rPr>
      </w:pPr>
    </w:p>
    <w:p w:rsidR="005E70E9" w:rsidRPr="00B5763D" w:rsidRDefault="000865C8" w:rsidP="00886BED">
      <w:pPr>
        <w:rPr>
          <w:rFonts w:eastAsia="Times New Roman" w:cs="Times New Roman"/>
          <w:b/>
          <w:color w:val="000000"/>
        </w:rPr>
      </w:pPr>
      <w:r w:rsidRPr="00B5763D">
        <w:rPr>
          <w:rFonts w:eastAsia="Times New Roman" w:cs="Times New Roman"/>
          <w:b/>
          <w:color w:val="000000"/>
        </w:rPr>
        <w:t>Key Findings</w:t>
      </w:r>
      <w:r w:rsidR="005E70E9" w:rsidRPr="00B5763D">
        <w:rPr>
          <w:rFonts w:eastAsia="Times New Roman" w:cs="Times New Roman"/>
          <w:b/>
          <w:color w:val="000000"/>
        </w:rPr>
        <w:t>:</w:t>
      </w:r>
    </w:p>
    <w:p w:rsidR="005E70E9" w:rsidRPr="006632F1" w:rsidRDefault="005E70E9" w:rsidP="00886BED">
      <w:pPr>
        <w:rPr>
          <w:rFonts w:cs="Times New Roman"/>
        </w:rPr>
      </w:pPr>
      <w:r w:rsidRPr="006632F1">
        <w:rPr>
          <w:rFonts w:cs="Times New Roman"/>
        </w:rPr>
        <w:t>Among MassHealth members</w:t>
      </w:r>
      <w:r w:rsidR="00C46D4A">
        <w:rPr>
          <w:rFonts w:cs="Times New Roman"/>
        </w:rPr>
        <w:t>:</w:t>
      </w:r>
      <w:r w:rsidRPr="006632F1">
        <w:rPr>
          <w:rFonts w:cs="Times New Roman"/>
        </w:rPr>
        <w:t xml:space="preserve"> </w:t>
      </w:r>
    </w:p>
    <w:p w:rsidR="005E70E9" w:rsidRDefault="0010398B" w:rsidP="00887BA6">
      <w:pPr>
        <w:pStyle w:val="ListParagraph"/>
        <w:numPr>
          <w:ilvl w:val="0"/>
          <w:numId w:val="5"/>
        </w:numPr>
        <w:spacing w:line="276" w:lineRule="auto"/>
      </w:pPr>
      <w:r>
        <w:t>T</w:t>
      </w:r>
      <w:r w:rsidR="005E70E9" w:rsidRPr="00CA1488">
        <w:t xml:space="preserve">he proportion </w:t>
      </w:r>
      <w:r>
        <w:t xml:space="preserve">of members experiencing homelessness </w:t>
      </w:r>
      <w:r w:rsidR="005E70E9" w:rsidRPr="00CA1488">
        <w:t xml:space="preserve">with a </w:t>
      </w:r>
      <w:r w:rsidR="005E70E9">
        <w:t xml:space="preserve">dual diagnosis of </w:t>
      </w:r>
      <w:r w:rsidR="005E70E9" w:rsidRPr="008873D8">
        <w:rPr>
          <w:rFonts w:cs="Times New Roman"/>
        </w:rPr>
        <w:t>substance use disorders (SUD) and serious ment</w:t>
      </w:r>
      <w:r w:rsidR="005E70E9">
        <w:rPr>
          <w:rFonts w:cs="Times New Roman"/>
        </w:rPr>
        <w:t xml:space="preserve">al illness (SMI) </w:t>
      </w:r>
      <w:r w:rsidR="005E70E9" w:rsidRPr="00CA1488">
        <w:t xml:space="preserve">was nearly seven times higher </w:t>
      </w:r>
      <w:r w:rsidR="00DB5898">
        <w:t>than</w:t>
      </w:r>
      <w:r w:rsidR="005E70E9" w:rsidRPr="00CA1488">
        <w:t xml:space="preserve"> </w:t>
      </w:r>
      <w:r w:rsidR="00DB5898">
        <w:t xml:space="preserve">in </w:t>
      </w:r>
      <w:r w:rsidR="005E70E9" w:rsidRPr="00CA1488">
        <w:t>the total MassHealth population</w:t>
      </w:r>
      <w:r w:rsidR="00BD64D7">
        <w:t xml:space="preserve"> </w:t>
      </w:r>
      <w:r w:rsidR="00BD64D7">
        <w:rPr>
          <w:rFonts w:cs="Times New Roman"/>
        </w:rPr>
        <w:t xml:space="preserve">(Figure </w:t>
      </w:r>
      <w:r w:rsidR="00042910">
        <w:rPr>
          <w:rFonts w:cs="Times New Roman"/>
        </w:rPr>
        <w:t>2</w:t>
      </w:r>
      <w:r w:rsidR="00A06D2B">
        <w:rPr>
          <w:rFonts w:cs="Times New Roman"/>
        </w:rPr>
        <w:t>0</w:t>
      </w:r>
      <w:r w:rsidR="00BD64D7">
        <w:rPr>
          <w:rFonts w:cs="Times New Roman"/>
        </w:rPr>
        <w:t>).</w:t>
      </w:r>
    </w:p>
    <w:p w:rsidR="005E70E9" w:rsidRDefault="005E70E9" w:rsidP="00886BED">
      <w:pPr>
        <w:pStyle w:val="ListParagraph"/>
        <w:ind w:left="1080"/>
      </w:pPr>
    </w:p>
    <w:p w:rsidR="005E70E9" w:rsidRDefault="005E70E9" w:rsidP="00402BB7">
      <w:pPr>
        <w:pStyle w:val="ListParagraph"/>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20</w:t>
      </w:r>
      <w:r w:rsidRPr="00CC16FA">
        <w:rPr>
          <w:b/>
        </w:rPr>
        <w:fldChar w:fldCharType="end"/>
      </w:r>
      <w:r>
        <w:rPr>
          <w:b/>
        </w:rPr>
        <w:t xml:space="preserve">. </w:t>
      </w:r>
      <w:r w:rsidRPr="008B4547">
        <w:rPr>
          <w:b/>
          <w:bCs/>
        </w:rPr>
        <w:t xml:space="preserve">Distribution of Behavioral Health Diagnosis by Subpopulation of MassHealth Members Ages 11-64, </w:t>
      </w:r>
      <w:r w:rsidR="00611ACA">
        <w:rPr>
          <w:b/>
          <w:bCs/>
        </w:rPr>
        <w:t xml:space="preserve">MA: </w:t>
      </w:r>
      <w:r w:rsidRPr="008B4547">
        <w:rPr>
          <w:b/>
          <w:bCs/>
        </w:rPr>
        <w:t>2011-2015</w:t>
      </w:r>
    </w:p>
    <w:p w:rsidR="005E70E9" w:rsidRDefault="00280412" w:rsidP="008666E4">
      <w:pPr>
        <w:pStyle w:val="ListParagraph"/>
        <w:ind w:left="630" w:hanging="270"/>
      </w:pPr>
      <w:r>
        <w:rPr>
          <w:noProof/>
        </w:rPr>
        <w:drawing>
          <wp:inline distT="0" distB="0" distL="0" distR="0" wp14:anchorId="626A8CC4" wp14:editId="2CA71F29">
            <wp:extent cx="5772150" cy="257175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E70E9" w:rsidRPr="00903B49" w:rsidRDefault="005E70E9" w:rsidP="005E70E9">
      <w:pPr>
        <w:pStyle w:val="ListParagraph"/>
        <w:numPr>
          <w:ilvl w:val="0"/>
          <w:numId w:val="5"/>
        </w:numPr>
        <w:spacing w:line="276" w:lineRule="auto"/>
        <w:rPr>
          <w:rFonts w:cs="Arial"/>
          <w:bCs/>
          <w:kern w:val="32"/>
        </w:rPr>
      </w:pPr>
      <w:r w:rsidRPr="00526C1D">
        <w:rPr>
          <w:rFonts w:cs="Arial"/>
          <w:bCs/>
          <w:kern w:val="32"/>
        </w:rPr>
        <w:lastRenderedPageBreak/>
        <w:t xml:space="preserve">Compared with MassHealth members in total, those experiencing homelessness had higher percentages of fatal </w:t>
      </w:r>
      <w:r w:rsidR="009D3806">
        <w:rPr>
          <w:rFonts w:cs="Arial"/>
          <w:bCs/>
          <w:kern w:val="32"/>
        </w:rPr>
        <w:t xml:space="preserve">opioid </w:t>
      </w:r>
      <w:r w:rsidRPr="00526C1D">
        <w:rPr>
          <w:rFonts w:cs="Arial"/>
          <w:bCs/>
          <w:kern w:val="32"/>
        </w:rPr>
        <w:t>overdose</w:t>
      </w:r>
      <w:r>
        <w:rPr>
          <w:rFonts w:cs="Arial"/>
          <w:bCs/>
          <w:kern w:val="32"/>
        </w:rPr>
        <w:t xml:space="preserve"> and </w:t>
      </w:r>
      <w:r w:rsidRPr="000E076E">
        <w:rPr>
          <w:rFonts w:cs="Arial"/>
          <w:bCs/>
          <w:kern w:val="32"/>
        </w:rPr>
        <w:t>significantly more non-fatal opioid overdoses (9.4% vs. MassHealth total population: 1.1%)</w:t>
      </w:r>
      <w:r>
        <w:rPr>
          <w:rFonts w:cs="Arial"/>
          <w:bCs/>
          <w:kern w:val="32"/>
        </w:rPr>
        <w:t xml:space="preserve">. </w:t>
      </w:r>
      <w:r w:rsidRPr="000E076E">
        <w:rPr>
          <w:rFonts w:cs="Arial"/>
          <w:bCs/>
          <w:kern w:val="32"/>
        </w:rPr>
        <w:t xml:space="preserve">When coupled with those who have had prior engagement with the criminal justice system, the percent of non-fatal </w:t>
      </w:r>
      <w:r w:rsidR="009D3806">
        <w:rPr>
          <w:rFonts w:cs="Arial"/>
          <w:bCs/>
          <w:kern w:val="32"/>
        </w:rPr>
        <w:t xml:space="preserve">opioid </w:t>
      </w:r>
      <w:r w:rsidRPr="000E076E">
        <w:rPr>
          <w:rFonts w:cs="Arial"/>
          <w:bCs/>
          <w:kern w:val="32"/>
        </w:rPr>
        <w:t>overdoses more than doubles (23.3% vs. persons experiencing homelessness only: 9.4%)</w:t>
      </w:r>
      <w:r w:rsidR="00BD64D7">
        <w:rPr>
          <w:rFonts w:cs="Arial"/>
          <w:bCs/>
          <w:kern w:val="32"/>
        </w:rPr>
        <w:t xml:space="preserve"> </w:t>
      </w:r>
      <w:r w:rsidR="00BD64D7">
        <w:rPr>
          <w:rFonts w:cs="Times New Roman"/>
        </w:rPr>
        <w:t>(Figure 2</w:t>
      </w:r>
      <w:r w:rsidR="00A06D2B">
        <w:rPr>
          <w:rFonts w:cs="Times New Roman"/>
        </w:rPr>
        <w:t>1</w:t>
      </w:r>
      <w:r w:rsidR="00BD64D7">
        <w:rPr>
          <w:rFonts w:cs="Times New Roman"/>
        </w:rPr>
        <w:t>).</w:t>
      </w:r>
      <w:r w:rsidR="00BD64D7" w:rsidRPr="00C46DCC">
        <w:rPr>
          <w:rFonts w:cs="Times New Roman"/>
        </w:rPr>
        <w:t xml:space="preserve"> </w:t>
      </w:r>
      <w:r w:rsidRPr="000E076E">
        <w:rPr>
          <w:rFonts w:cs="Arial"/>
          <w:bCs/>
          <w:kern w:val="32"/>
        </w:rPr>
        <w:t xml:space="preserve"> </w:t>
      </w:r>
    </w:p>
    <w:p w:rsidR="005E70E9" w:rsidRDefault="005E70E9" w:rsidP="005E70E9">
      <w:pPr>
        <w:pStyle w:val="ListParagraph"/>
        <w:ind w:left="1080"/>
        <w:rPr>
          <w:i/>
        </w:rPr>
      </w:pPr>
    </w:p>
    <w:p w:rsidR="005E70E9" w:rsidRPr="00526C1D" w:rsidRDefault="005E70E9" w:rsidP="00480A9B">
      <w:pPr>
        <w:pStyle w:val="ListParagraph"/>
        <w:rPr>
          <w:rFonts w:cs="Arial"/>
          <w:bCs/>
          <w:kern w:val="32"/>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21</w:t>
      </w:r>
      <w:r w:rsidRPr="00CC16FA">
        <w:rPr>
          <w:b/>
        </w:rPr>
        <w:fldChar w:fldCharType="end"/>
      </w:r>
      <w:r>
        <w:rPr>
          <w:b/>
        </w:rPr>
        <w:t xml:space="preserve">. </w:t>
      </w:r>
      <w:r w:rsidRPr="008B4547">
        <w:rPr>
          <w:b/>
          <w:bCs/>
        </w:rPr>
        <w:t xml:space="preserve">Fatal and Non-Fatal Opioid Overdoses </w:t>
      </w:r>
      <w:r w:rsidR="00611ACA">
        <w:rPr>
          <w:b/>
          <w:bCs/>
        </w:rPr>
        <w:t>A</w:t>
      </w:r>
      <w:r w:rsidRPr="008B4547">
        <w:rPr>
          <w:b/>
          <w:bCs/>
        </w:rPr>
        <w:t xml:space="preserve">mong </w:t>
      </w:r>
      <w:r w:rsidR="00611ACA">
        <w:rPr>
          <w:b/>
          <w:bCs/>
        </w:rPr>
        <w:t>T</w:t>
      </w:r>
      <w:r w:rsidR="00611ACA" w:rsidRPr="008B4547">
        <w:rPr>
          <w:b/>
          <w:bCs/>
        </w:rPr>
        <w:t xml:space="preserve">hose </w:t>
      </w:r>
      <w:r w:rsidRPr="008B4547">
        <w:rPr>
          <w:b/>
          <w:bCs/>
        </w:rPr>
        <w:t>Experiencing Homelessness and/or Criminal Justice Involvement</w:t>
      </w:r>
      <w:r w:rsidR="00710057">
        <w:rPr>
          <w:b/>
          <w:bCs/>
        </w:rPr>
        <w:t xml:space="preserve">, MA: </w:t>
      </w:r>
      <w:r w:rsidR="00710057" w:rsidRPr="008B4547">
        <w:rPr>
          <w:b/>
          <w:bCs/>
        </w:rPr>
        <w:t>2011-2015</w:t>
      </w:r>
    </w:p>
    <w:p w:rsidR="00480CF0" w:rsidRPr="00480A9B" w:rsidRDefault="00280412" w:rsidP="00480A9B">
      <w:pPr>
        <w:spacing w:line="276" w:lineRule="auto"/>
        <w:ind w:left="360"/>
        <w:rPr>
          <w:rFonts w:cs="Arial"/>
          <w:bCs/>
          <w:kern w:val="32"/>
        </w:rPr>
      </w:pPr>
      <w:r>
        <w:rPr>
          <w:noProof/>
        </w:rPr>
        <w:drawing>
          <wp:inline distT="0" distB="0" distL="0" distR="0" wp14:anchorId="22632736" wp14:editId="50E408C0">
            <wp:extent cx="5648325" cy="2371725"/>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E70E9" w:rsidRPr="00264EF1" w:rsidRDefault="005E70E9" w:rsidP="00264EF1">
      <w:pPr>
        <w:pStyle w:val="ListParagraph"/>
        <w:numPr>
          <w:ilvl w:val="0"/>
          <w:numId w:val="5"/>
        </w:numPr>
        <w:spacing w:line="276" w:lineRule="auto"/>
        <w:rPr>
          <w:rFonts w:cs="Arial"/>
          <w:bCs/>
          <w:kern w:val="32"/>
        </w:rPr>
      </w:pPr>
      <w:r w:rsidRPr="00D678BB">
        <w:rPr>
          <w:rFonts w:cs="Arial"/>
          <w:bCs/>
          <w:kern w:val="32"/>
        </w:rPr>
        <w:t xml:space="preserve">MassHealth members who experienced homelessness had </w:t>
      </w:r>
      <w:r>
        <w:rPr>
          <w:rFonts w:cs="Arial"/>
          <w:bCs/>
          <w:kern w:val="32"/>
        </w:rPr>
        <w:t>costs</w:t>
      </w:r>
      <w:r w:rsidRPr="005F44D7">
        <w:rPr>
          <w:rStyle w:val="FootnoteReference"/>
        </w:rPr>
        <w:footnoteReference w:id="41"/>
      </w:r>
      <w:r>
        <w:rPr>
          <w:rFonts w:cs="Arial"/>
          <w:bCs/>
          <w:kern w:val="32"/>
        </w:rPr>
        <w:t xml:space="preserve"> </w:t>
      </w:r>
      <w:r w:rsidRPr="00D678BB">
        <w:rPr>
          <w:rFonts w:cs="Arial"/>
          <w:bCs/>
          <w:kern w:val="32"/>
        </w:rPr>
        <w:t>that were more than triple those of MassHealth members in general</w:t>
      </w:r>
      <w:r>
        <w:rPr>
          <w:rFonts w:cs="Arial"/>
          <w:bCs/>
          <w:kern w:val="32"/>
        </w:rPr>
        <w:t xml:space="preserve">. </w:t>
      </w:r>
      <w:r w:rsidRPr="00DB0EC0">
        <w:t>MassHealth members</w:t>
      </w:r>
      <w:r w:rsidR="00383E4D">
        <w:t xml:space="preserve"> who were both unstably housed and criminal justice involved </w:t>
      </w:r>
      <w:r w:rsidRPr="00DB0EC0">
        <w:t xml:space="preserve">had PMPM costs for fatal and non-fatal </w:t>
      </w:r>
      <w:r w:rsidR="009D3806">
        <w:t xml:space="preserve">opioid </w:t>
      </w:r>
      <w:r w:rsidRPr="00DB0EC0">
        <w:t>overdoses which were 50-65% higher than the MassHealth population in general</w:t>
      </w:r>
      <w:r w:rsidR="00BD64D7">
        <w:t xml:space="preserve"> </w:t>
      </w:r>
      <w:r w:rsidR="00BD64D7">
        <w:rPr>
          <w:rFonts w:cs="Times New Roman"/>
        </w:rPr>
        <w:t xml:space="preserve">(Figure </w:t>
      </w:r>
      <w:r w:rsidR="00042910">
        <w:rPr>
          <w:rFonts w:cs="Times New Roman"/>
        </w:rPr>
        <w:t>2</w:t>
      </w:r>
      <w:r w:rsidR="00A06D2B">
        <w:rPr>
          <w:rFonts w:cs="Times New Roman"/>
        </w:rPr>
        <w:t>2</w:t>
      </w:r>
      <w:r w:rsidR="00042910">
        <w:rPr>
          <w:rFonts w:cs="Times New Roman"/>
        </w:rPr>
        <w:t>)</w:t>
      </w:r>
      <w:r w:rsidR="00BD64D7">
        <w:rPr>
          <w:rFonts w:cs="Times New Roman"/>
        </w:rPr>
        <w:t>.</w:t>
      </w:r>
    </w:p>
    <w:p w:rsidR="006858DE" w:rsidRDefault="006858DE" w:rsidP="006858DE">
      <w:pPr>
        <w:pStyle w:val="ListParagraph"/>
        <w:spacing w:line="276" w:lineRule="auto"/>
        <w:ind w:left="360"/>
        <w:rPr>
          <w:rFonts w:cs="Arial"/>
          <w:bCs/>
          <w:kern w:val="32"/>
        </w:rPr>
      </w:pPr>
      <w:r>
        <w:rPr>
          <w:rFonts w:cs="Arial"/>
          <w:bCs/>
          <w:kern w:val="32"/>
          <w:szCs w:val="8"/>
        </w:rPr>
        <w:t xml:space="preserve"> </w:t>
      </w:r>
    </w:p>
    <w:p w:rsidR="005E70E9" w:rsidRPr="00383C70" w:rsidRDefault="005E70E9" w:rsidP="00480A9B">
      <w:pPr>
        <w:ind w:left="720"/>
        <w:rPr>
          <w:b/>
          <w:bCs/>
        </w:rPr>
      </w:pPr>
      <w:r w:rsidRPr="00383C70">
        <w:rPr>
          <w:b/>
        </w:rPr>
        <w:t xml:space="preserve">Figure </w:t>
      </w:r>
      <w:r w:rsidRPr="00383C70">
        <w:rPr>
          <w:b/>
        </w:rPr>
        <w:fldChar w:fldCharType="begin"/>
      </w:r>
      <w:r w:rsidRPr="00383C70">
        <w:rPr>
          <w:b/>
        </w:rPr>
        <w:instrText xml:space="preserve"> SEQ Figure \* ARABIC </w:instrText>
      </w:r>
      <w:r w:rsidRPr="00383C70">
        <w:rPr>
          <w:b/>
        </w:rPr>
        <w:fldChar w:fldCharType="separate"/>
      </w:r>
      <w:r w:rsidR="002B3BC3">
        <w:rPr>
          <w:b/>
          <w:noProof/>
        </w:rPr>
        <w:t>22</w:t>
      </w:r>
      <w:r w:rsidRPr="00383C70">
        <w:rPr>
          <w:b/>
        </w:rPr>
        <w:fldChar w:fldCharType="end"/>
      </w:r>
      <w:r w:rsidRPr="00383C70">
        <w:rPr>
          <w:b/>
        </w:rPr>
        <w:t xml:space="preserve">. </w:t>
      </w:r>
      <w:r w:rsidRPr="00383C70">
        <w:rPr>
          <w:b/>
          <w:bCs/>
        </w:rPr>
        <w:t xml:space="preserve">Paid Claims Per Member Per Month (PMPM) </w:t>
      </w:r>
      <w:r w:rsidR="00611ACA">
        <w:rPr>
          <w:b/>
          <w:bCs/>
        </w:rPr>
        <w:t>A</w:t>
      </w:r>
      <w:r w:rsidR="00611ACA" w:rsidRPr="00383C70">
        <w:rPr>
          <w:b/>
          <w:bCs/>
        </w:rPr>
        <w:t xml:space="preserve">mong </w:t>
      </w:r>
      <w:r w:rsidRPr="00383C70">
        <w:rPr>
          <w:b/>
          <w:bCs/>
        </w:rPr>
        <w:t xml:space="preserve">MassHealth Members </w:t>
      </w:r>
      <w:r w:rsidR="00611ACA">
        <w:rPr>
          <w:b/>
          <w:bCs/>
        </w:rPr>
        <w:t>W</w:t>
      </w:r>
      <w:r w:rsidR="00611ACA" w:rsidRPr="00383C70">
        <w:rPr>
          <w:b/>
          <w:bCs/>
        </w:rPr>
        <w:t xml:space="preserve">ho </w:t>
      </w:r>
      <w:r w:rsidR="00611ACA">
        <w:rPr>
          <w:b/>
          <w:bCs/>
        </w:rPr>
        <w:t>H</w:t>
      </w:r>
      <w:r w:rsidR="00611ACA" w:rsidRPr="00383C70">
        <w:rPr>
          <w:b/>
          <w:bCs/>
        </w:rPr>
        <w:t xml:space="preserve">ave </w:t>
      </w:r>
      <w:r w:rsidRPr="00383C70">
        <w:rPr>
          <w:b/>
          <w:bCs/>
        </w:rPr>
        <w:t>Experienced Unstable Housing and/or Criminal Justice Inv</w:t>
      </w:r>
      <w:r w:rsidR="00E71CDE" w:rsidRPr="00383C70">
        <w:rPr>
          <w:b/>
          <w:bCs/>
        </w:rPr>
        <w:t>olvement</w:t>
      </w:r>
      <w:r w:rsidR="008D3147" w:rsidRPr="00383C70">
        <w:rPr>
          <w:b/>
          <w:bCs/>
        </w:rPr>
        <w:t xml:space="preserve">, </w:t>
      </w:r>
      <w:r w:rsidR="00611ACA">
        <w:rPr>
          <w:b/>
          <w:bCs/>
        </w:rPr>
        <w:t xml:space="preserve">MA: </w:t>
      </w:r>
      <w:r w:rsidR="008D3147" w:rsidRPr="00383C70">
        <w:rPr>
          <w:b/>
          <w:bCs/>
        </w:rPr>
        <w:t>2012-2015</w:t>
      </w:r>
    </w:p>
    <w:p w:rsidR="00E71CDE" w:rsidRPr="00E71CDE" w:rsidRDefault="00E71CDE" w:rsidP="00E71CDE">
      <w:pPr>
        <w:pStyle w:val="ListParagraph"/>
        <w:ind w:left="1080"/>
        <w:jc w:val="center"/>
        <w:rPr>
          <w:b/>
          <w:bCs/>
          <w:sz w:val="8"/>
          <w:szCs w:val="8"/>
        </w:rPr>
      </w:pPr>
    </w:p>
    <w:p w:rsidR="005E70E9" w:rsidRPr="00AA1BD9" w:rsidRDefault="00383C70" w:rsidP="0097072A">
      <w:pPr>
        <w:tabs>
          <w:tab w:val="left" w:pos="1170"/>
        </w:tabs>
        <w:rPr>
          <w:b/>
        </w:rPr>
      </w:pPr>
      <w:r>
        <w:rPr>
          <w:noProof/>
        </w:rPr>
        <w:drawing>
          <wp:inline distT="0" distB="0" distL="0" distR="0" wp14:anchorId="57308830" wp14:editId="7BE57C7D">
            <wp:extent cx="5943600" cy="2543175"/>
            <wp:effectExtent l="0" t="0" r="0" b="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80CF0" w:rsidRPr="00C10D05" w:rsidRDefault="00C10D05" w:rsidP="00C10D05">
      <w:pPr>
        <w:pStyle w:val="ListParagraph"/>
        <w:numPr>
          <w:ilvl w:val="0"/>
          <w:numId w:val="5"/>
        </w:numPr>
        <w:tabs>
          <w:tab w:val="left" w:pos="1170"/>
        </w:tabs>
        <w:spacing w:line="276" w:lineRule="auto"/>
        <w:rPr>
          <w:rFonts w:cs="Times New Roman"/>
        </w:rPr>
      </w:pPr>
      <w:r>
        <w:lastRenderedPageBreak/>
        <w:t>T</w:t>
      </w:r>
      <w:r w:rsidRPr="00AA43A7">
        <w:t xml:space="preserve">hose </w:t>
      </w:r>
      <w:r w:rsidRPr="006D1110">
        <w:t xml:space="preserve">experiencing homelessness </w:t>
      </w:r>
      <w:r w:rsidRPr="00AA43A7">
        <w:t>were 64% more likely to have a fatal opioid overdose, nearly six times more likely to experience a non-fatal opioid overdose, and nearly seven times more likely to have a non-fatal opioid overdose followed by a fatal opioid overdos</w:t>
      </w:r>
      <w:r>
        <w:t>e, a</w:t>
      </w:r>
      <w:r w:rsidRPr="00AA43A7">
        <w:t>fter adjusting for several behavioral health diagnoses, chronic medical conditions, demographic characteristics, and engagement with state agencies,</w:t>
      </w:r>
      <w:r w:rsidR="00BD64D7" w:rsidRPr="00C10D05">
        <w:t xml:space="preserve"> (Figure 2</w:t>
      </w:r>
      <w:r w:rsidR="00A06D2B" w:rsidRPr="00C10D05">
        <w:t>3</w:t>
      </w:r>
      <w:r w:rsidR="00BD64D7" w:rsidRPr="00C10D05">
        <w:t>).</w:t>
      </w:r>
    </w:p>
    <w:p w:rsidR="00EE483A" w:rsidRDefault="00EE483A" w:rsidP="00480CF0">
      <w:pPr>
        <w:tabs>
          <w:tab w:val="left" w:pos="1170"/>
        </w:tabs>
        <w:spacing w:line="276" w:lineRule="auto"/>
      </w:pPr>
    </w:p>
    <w:p w:rsidR="00146F17" w:rsidRPr="00E803C1" w:rsidRDefault="00480CF0" w:rsidP="00E803C1">
      <w:pPr>
        <w:pStyle w:val="Caption"/>
        <w:ind w:firstLine="720"/>
        <w:rPr>
          <w:bCs w:val="0"/>
          <w:color w:val="auto"/>
          <w:sz w:val="22"/>
          <w:szCs w:val="22"/>
        </w:rPr>
      </w:pPr>
      <w:r w:rsidRPr="00480CF0">
        <w:rPr>
          <w:color w:val="auto"/>
          <w:sz w:val="22"/>
          <w:szCs w:val="22"/>
        </w:rPr>
        <w:t xml:space="preserve">Figure </w:t>
      </w:r>
      <w:r w:rsidRPr="00480CF0">
        <w:rPr>
          <w:color w:val="auto"/>
          <w:sz w:val="22"/>
          <w:szCs w:val="22"/>
        </w:rPr>
        <w:fldChar w:fldCharType="begin"/>
      </w:r>
      <w:r w:rsidRPr="00480CF0">
        <w:rPr>
          <w:color w:val="auto"/>
          <w:sz w:val="22"/>
          <w:szCs w:val="22"/>
        </w:rPr>
        <w:instrText xml:space="preserve"> SEQ Figure \* ARABIC </w:instrText>
      </w:r>
      <w:r w:rsidRPr="00480CF0">
        <w:rPr>
          <w:color w:val="auto"/>
          <w:sz w:val="22"/>
          <w:szCs w:val="22"/>
        </w:rPr>
        <w:fldChar w:fldCharType="separate"/>
      </w:r>
      <w:r w:rsidR="002B3BC3">
        <w:rPr>
          <w:noProof/>
          <w:color w:val="auto"/>
          <w:sz w:val="22"/>
          <w:szCs w:val="22"/>
        </w:rPr>
        <w:t>23</w:t>
      </w:r>
      <w:r w:rsidRPr="00480CF0">
        <w:rPr>
          <w:color w:val="auto"/>
          <w:sz w:val="22"/>
          <w:szCs w:val="22"/>
        </w:rPr>
        <w:fldChar w:fldCharType="end"/>
      </w:r>
      <w:r w:rsidRPr="00480CF0">
        <w:rPr>
          <w:color w:val="auto"/>
          <w:sz w:val="22"/>
          <w:szCs w:val="22"/>
        </w:rPr>
        <w:t xml:space="preserve">. </w:t>
      </w:r>
      <w:r w:rsidRPr="00480CF0">
        <w:rPr>
          <w:rFonts w:cs="Times New Roman"/>
          <w:color w:val="auto"/>
          <w:sz w:val="22"/>
          <w:szCs w:val="22"/>
        </w:rPr>
        <w:t xml:space="preserve">Homeless and </w:t>
      </w:r>
      <w:r w:rsidR="006858DE">
        <w:rPr>
          <w:rFonts w:cs="Times New Roman"/>
          <w:color w:val="auto"/>
          <w:sz w:val="22"/>
          <w:szCs w:val="22"/>
        </w:rPr>
        <w:t>I</w:t>
      </w:r>
      <w:r w:rsidR="006858DE" w:rsidRPr="00480CF0">
        <w:rPr>
          <w:rFonts w:cs="Times New Roman"/>
          <w:color w:val="auto"/>
          <w:sz w:val="22"/>
          <w:szCs w:val="22"/>
        </w:rPr>
        <w:t xml:space="preserve">ts </w:t>
      </w:r>
      <w:r w:rsidR="00611ACA">
        <w:rPr>
          <w:rFonts w:cs="Times New Roman"/>
          <w:color w:val="auto"/>
          <w:sz w:val="22"/>
          <w:szCs w:val="22"/>
        </w:rPr>
        <w:t>A</w:t>
      </w:r>
      <w:r w:rsidR="00611ACA" w:rsidRPr="00480CF0">
        <w:rPr>
          <w:rFonts w:cs="Times New Roman"/>
          <w:color w:val="auto"/>
          <w:sz w:val="22"/>
          <w:szCs w:val="22"/>
        </w:rPr>
        <w:t xml:space="preserve">ssociation </w:t>
      </w:r>
      <w:r w:rsidRPr="00480CF0">
        <w:rPr>
          <w:rFonts w:cs="Times New Roman"/>
          <w:color w:val="auto"/>
          <w:sz w:val="22"/>
          <w:szCs w:val="22"/>
        </w:rPr>
        <w:t xml:space="preserve">with </w:t>
      </w:r>
      <w:r w:rsidRPr="00480CF0">
        <w:rPr>
          <w:bCs w:val="0"/>
          <w:color w:val="auto"/>
          <w:sz w:val="22"/>
          <w:szCs w:val="22"/>
        </w:rPr>
        <w:t>Opioid Overdoses</w:t>
      </w:r>
      <w:r w:rsidR="000C592A">
        <w:rPr>
          <w:bCs w:val="0"/>
          <w:color w:val="auto"/>
          <w:sz w:val="22"/>
          <w:szCs w:val="22"/>
        </w:rPr>
        <w:t xml:space="preserve">, </w:t>
      </w:r>
      <w:r w:rsidR="00611ACA">
        <w:rPr>
          <w:bCs w:val="0"/>
          <w:color w:val="auto"/>
          <w:sz w:val="22"/>
          <w:szCs w:val="22"/>
        </w:rPr>
        <w:t xml:space="preserve">MA: </w:t>
      </w:r>
      <w:r w:rsidR="000C592A">
        <w:rPr>
          <w:bCs w:val="0"/>
          <w:color w:val="auto"/>
          <w:sz w:val="22"/>
          <w:szCs w:val="22"/>
        </w:rPr>
        <w:t>2011-2015</w:t>
      </w:r>
    </w:p>
    <w:p w:rsidR="005D723B" w:rsidRPr="005D723B" w:rsidRDefault="00146F17" w:rsidP="0097072A">
      <w:r>
        <w:rPr>
          <w:noProof/>
        </w:rPr>
        <w:drawing>
          <wp:inline distT="0" distB="0" distL="0" distR="0" wp14:anchorId="2DE5CC8F" wp14:editId="63E55B3F">
            <wp:extent cx="5943600" cy="2371725"/>
            <wp:effectExtent l="0" t="0" r="0" b="9525"/>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80CF0" w:rsidRPr="00A32926" w:rsidRDefault="00480CF0" w:rsidP="00B0004B">
      <w:pPr>
        <w:pStyle w:val="Default"/>
        <w:rPr>
          <w:rFonts w:asciiTheme="minorHAnsi" w:hAnsiTheme="minorHAnsi" w:cs="Times New Roman"/>
          <w:b/>
          <w:color w:val="auto"/>
          <w:sz w:val="8"/>
          <w:szCs w:val="8"/>
        </w:rPr>
      </w:pPr>
    </w:p>
    <w:p w:rsidR="00262B90" w:rsidRPr="00C92FB5" w:rsidRDefault="00262B90" w:rsidP="00262B90">
      <w:pPr>
        <w:pStyle w:val="ListParagraph"/>
        <w:spacing w:after="200" w:line="276" w:lineRule="auto"/>
        <w:ind w:left="360"/>
        <w:rPr>
          <w:rFonts w:cs="Times New Roman"/>
          <w:sz w:val="8"/>
          <w:szCs w:val="8"/>
        </w:rPr>
      </w:pPr>
    </w:p>
    <w:p w:rsidR="00C92FB5" w:rsidRDefault="00262B90" w:rsidP="00C92FB5">
      <w:pPr>
        <w:pStyle w:val="ListParagraph"/>
        <w:numPr>
          <w:ilvl w:val="0"/>
          <w:numId w:val="24"/>
        </w:numPr>
        <w:spacing w:after="200" w:line="276" w:lineRule="auto"/>
        <w:rPr>
          <w:rFonts w:cs="Times New Roman"/>
        </w:rPr>
      </w:pPr>
      <w:r w:rsidRPr="00262B90">
        <w:rPr>
          <w:rFonts w:cs="Times New Roman"/>
        </w:rPr>
        <w:t xml:space="preserve">For </w:t>
      </w:r>
      <w:r>
        <w:rPr>
          <w:rFonts w:cs="Times New Roman"/>
        </w:rPr>
        <w:t xml:space="preserve">more </w:t>
      </w:r>
      <w:r w:rsidRPr="00262B90">
        <w:rPr>
          <w:rFonts w:cs="Times New Roman"/>
        </w:rPr>
        <w:t xml:space="preserve">information </w:t>
      </w:r>
      <w:r>
        <w:rPr>
          <w:rFonts w:cs="Times New Roman"/>
        </w:rPr>
        <w:t>on veterans who had evidence of homelessness</w:t>
      </w:r>
      <w:r w:rsidRPr="00262B90">
        <w:rPr>
          <w:rFonts w:cs="Times New Roman"/>
        </w:rPr>
        <w:t xml:space="preserve">, please see Section on Veterans on page </w:t>
      </w:r>
      <w:r w:rsidR="00E3738E">
        <w:rPr>
          <w:rFonts w:cs="Times New Roman"/>
        </w:rPr>
        <w:t>3</w:t>
      </w:r>
      <w:r w:rsidR="000962DC">
        <w:rPr>
          <w:rFonts w:cs="Times New Roman"/>
        </w:rPr>
        <w:t>1</w:t>
      </w:r>
      <w:r w:rsidRPr="00262B90">
        <w:rPr>
          <w:rFonts w:cs="Times New Roman"/>
        </w:rPr>
        <w:t>.</w:t>
      </w:r>
    </w:p>
    <w:p w:rsidR="00C92FB5" w:rsidRDefault="00C92FB5" w:rsidP="00C92FB5">
      <w:pPr>
        <w:pStyle w:val="ListParagraph"/>
        <w:spacing w:after="200" w:line="276" w:lineRule="auto"/>
        <w:ind w:left="360"/>
        <w:rPr>
          <w:rFonts w:cs="Times New Roman"/>
        </w:rPr>
      </w:pPr>
    </w:p>
    <w:p w:rsidR="005E70E9" w:rsidRPr="00C92FB5" w:rsidRDefault="00C92FB5" w:rsidP="00C92FB5">
      <w:pPr>
        <w:pStyle w:val="ListParagraph"/>
        <w:numPr>
          <w:ilvl w:val="0"/>
          <w:numId w:val="24"/>
        </w:numPr>
        <w:spacing w:after="200" w:line="276" w:lineRule="auto"/>
        <w:rPr>
          <w:rFonts w:cs="Times New Roman"/>
        </w:rPr>
      </w:pPr>
      <w:r>
        <w:rPr>
          <w:rFonts w:cs="Times New Roman"/>
        </w:rPr>
        <w:t>Seventy-nine percent</w:t>
      </w:r>
      <w:r w:rsidR="005E70E9" w:rsidRPr="00C92FB5">
        <w:rPr>
          <w:rFonts w:cs="Times New Roman"/>
        </w:rPr>
        <w:t xml:space="preserve"> of women with an </w:t>
      </w:r>
      <w:r w:rsidR="009D3806" w:rsidRPr="00C92FB5">
        <w:rPr>
          <w:rFonts w:cs="Times New Roman"/>
        </w:rPr>
        <w:t xml:space="preserve">opioid </w:t>
      </w:r>
      <w:r w:rsidR="005E70E9" w:rsidRPr="00C92FB5">
        <w:rPr>
          <w:rFonts w:cs="Times New Roman"/>
        </w:rPr>
        <w:t>overdose event had some evidence of homelessness compared with 34% of women with OUD but no</w:t>
      </w:r>
      <w:r w:rsidR="009D3806" w:rsidRPr="00C92FB5">
        <w:rPr>
          <w:rFonts w:cs="Times New Roman"/>
        </w:rPr>
        <w:t xml:space="preserve"> opioid</w:t>
      </w:r>
      <w:r w:rsidR="005E70E9" w:rsidRPr="00C92FB5">
        <w:rPr>
          <w:rFonts w:cs="Times New Roman"/>
        </w:rPr>
        <w:t xml:space="preserve"> overdose and 2% of women who del</w:t>
      </w:r>
      <w:r w:rsidR="006E3479" w:rsidRPr="00C92FB5">
        <w:rPr>
          <w:rFonts w:cs="Times New Roman"/>
        </w:rPr>
        <w:t>ivered a live birth without OUD</w:t>
      </w:r>
      <w:r w:rsidR="00284C44" w:rsidRPr="00C92FB5">
        <w:rPr>
          <w:rFonts w:cs="Times New Roman"/>
        </w:rPr>
        <w:t xml:space="preserve"> (Figure </w:t>
      </w:r>
      <w:r w:rsidR="00042910">
        <w:rPr>
          <w:rFonts w:cs="Times New Roman"/>
        </w:rPr>
        <w:t>2</w:t>
      </w:r>
      <w:r w:rsidR="00A06D2B">
        <w:rPr>
          <w:rFonts w:cs="Times New Roman"/>
        </w:rPr>
        <w:t>4</w:t>
      </w:r>
      <w:r w:rsidR="00284C44" w:rsidRPr="00C92FB5">
        <w:rPr>
          <w:rFonts w:cs="Times New Roman"/>
        </w:rPr>
        <w:t>)</w:t>
      </w:r>
      <w:r w:rsidR="006E3479" w:rsidRPr="00C92FB5">
        <w:rPr>
          <w:rFonts w:cs="Times New Roman"/>
        </w:rPr>
        <w:t>.</w:t>
      </w:r>
    </w:p>
    <w:p w:rsidR="005E70E9" w:rsidRDefault="005E70E9" w:rsidP="005E70E9">
      <w:pPr>
        <w:pStyle w:val="ListParagraph"/>
        <w:rPr>
          <w:noProof/>
        </w:rPr>
      </w:pPr>
    </w:p>
    <w:p w:rsidR="005E70E9" w:rsidRDefault="005E70E9" w:rsidP="00AA1BD9">
      <w:pPr>
        <w:pStyle w:val="ListParagraph"/>
        <w:rPr>
          <w:noProof/>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24</w:t>
      </w:r>
      <w:r w:rsidRPr="00CC16FA">
        <w:rPr>
          <w:b/>
        </w:rPr>
        <w:fldChar w:fldCharType="end"/>
      </w:r>
      <w:r>
        <w:rPr>
          <w:b/>
        </w:rPr>
        <w:t xml:space="preserve">. </w:t>
      </w:r>
      <w:r w:rsidRPr="00903B49">
        <w:rPr>
          <w:b/>
        </w:rPr>
        <w:t xml:space="preserve">Characteristics of Deliveries by Maternal Overdose Event </w:t>
      </w:r>
      <w:r w:rsidR="001D6148">
        <w:rPr>
          <w:b/>
        </w:rPr>
        <w:t>During the 12 Months Before or After Delivery, MA: 2012-2014</w:t>
      </w:r>
    </w:p>
    <w:p w:rsidR="00042910" w:rsidRPr="00AA1BD9" w:rsidRDefault="00280412" w:rsidP="00AA1BD9">
      <w:pPr>
        <w:pStyle w:val="ListParagraph"/>
        <w:rPr>
          <w:rFonts w:cs="Times New Roman"/>
          <w:i/>
        </w:rPr>
      </w:pPr>
      <w:r>
        <w:rPr>
          <w:noProof/>
        </w:rPr>
        <w:drawing>
          <wp:inline distT="0" distB="0" distL="0" distR="0" wp14:anchorId="70EA5CCC" wp14:editId="69F6E0F0">
            <wp:extent cx="5010150" cy="2428875"/>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E70E9" w:rsidRPr="006858DE" w:rsidRDefault="005E70E9" w:rsidP="00480A9B">
      <w:pPr>
        <w:pStyle w:val="ListParagraph"/>
        <w:numPr>
          <w:ilvl w:val="1"/>
          <w:numId w:val="5"/>
        </w:numPr>
        <w:spacing w:line="276" w:lineRule="auto"/>
        <w:ind w:left="720" w:hanging="446"/>
        <w:rPr>
          <w:rFonts w:cs="Times New Roman"/>
          <w:i/>
        </w:rPr>
      </w:pPr>
      <w:r w:rsidRPr="00CB5C2A">
        <w:rPr>
          <w:rFonts w:cs="Arial"/>
          <w:bCs/>
          <w:kern w:val="32"/>
        </w:rPr>
        <w:lastRenderedPageBreak/>
        <w:t xml:space="preserve">Between 2014 and 2015, an overwhelming majority of the opioid-related overdose deaths had either stimulants or another drug </w:t>
      </w:r>
      <w:r w:rsidR="00CE28E5" w:rsidRPr="00CB5C2A">
        <w:rPr>
          <w:rFonts w:cs="Arial"/>
          <w:bCs/>
          <w:kern w:val="32"/>
        </w:rPr>
        <w:t xml:space="preserve">in </w:t>
      </w:r>
      <w:r w:rsidRPr="00CB5C2A">
        <w:rPr>
          <w:rFonts w:cs="Arial"/>
          <w:bCs/>
          <w:kern w:val="32"/>
        </w:rPr>
        <w:t xml:space="preserve">toxicology </w:t>
      </w:r>
      <w:r w:rsidR="00CE28E5" w:rsidRPr="00CB5C2A">
        <w:rPr>
          <w:rFonts w:cs="Arial"/>
          <w:bCs/>
          <w:kern w:val="32"/>
        </w:rPr>
        <w:t xml:space="preserve">analysis </w:t>
      </w:r>
      <w:r w:rsidRPr="00CB5C2A">
        <w:rPr>
          <w:rFonts w:cs="Arial"/>
          <w:bCs/>
          <w:kern w:val="32"/>
        </w:rPr>
        <w:t xml:space="preserve">at the time of death. </w:t>
      </w:r>
      <w:r w:rsidRPr="00CB5C2A">
        <w:rPr>
          <w:rFonts w:ascii="Calibri" w:hAnsi="Calibri" w:cs="Calibri"/>
          <w:color w:val="000000"/>
        </w:rPr>
        <w:t xml:space="preserve">Persons who </w:t>
      </w:r>
      <w:r w:rsidRPr="006858DE">
        <w:rPr>
          <w:rFonts w:ascii="Calibri" w:hAnsi="Calibri" w:cs="Calibri"/>
          <w:color w:val="000000"/>
        </w:rPr>
        <w:t xml:space="preserve">experienced recent homelessness (homeless at any time between 2011 and 2015) </w:t>
      </w:r>
      <w:r w:rsidRPr="006858DE">
        <w:rPr>
          <w:rFonts w:cs="Arial"/>
          <w:bCs/>
          <w:kern w:val="32"/>
        </w:rPr>
        <w:t>were twice as likely to have died with stimulants and opioids as opioids alone</w:t>
      </w:r>
      <w:r w:rsidR="00CB5C2A" w:rsidRPr="006858DE">
        <w:rPr>
          <w:rFonts w:cs="Arial"/>
          <w:bCs/>
          <w:kern w:val="32"/>
        </w:rPr>
        <w:t>.</w:t>
      </w:r>
      <w:r w:rsidRPr="006858DE">
        <w:rPr>
          <w:rFonts w:ascii="Calibri" w:hAnsi="Calibri" w:cs="Calibri"/>
          <w:i/>
          <w:color w:val="000000"/>
        </w:rPr>
        <w:t xml:space="preserve"> </w:t>
      </w:r>
    </w:p>
    <w:p w:rsidR="009D3806" w:rsidRPr="00480A9B" w:rsidRDefault="009D3806" w:rsidP="00480A9B">
      <w:pPr>
        <w:pStyle w:val="ListParagraph"/>
        <w:spacing w:line="276" w:lineRule="auto"/>
        <w:rPr>
          <w:rFonts w:cs="Arial"/>
          <w:bCs/>
          <w:kern w:val="32"/>
        </w:rPr>
      </w:pPr>
    </w:p>
    <w:p w:rsidR="005E70E9" w:rsidRPr="006858DE" w:rsidRDefault="003560A6" w:rsidP="00480A9B">
      <w:pPr>
        <w:pStyle w:val="ListParagraph"/>
        <w:numPr>
          <w:ilvl w:val="1"/>
          <w:numId w:val="5"/>
        </w:numPr>
        <w:spacing w:line="276" w:lineRule="auto"/>
        <w:ind w:left="720" w:hanging="446"/>
        <w:rPr>
          <w:rFonts w:cs="Arial"/>
          <w:bCs/>
          <w:kern w:val="32"/>
        </w:rPr>
      </w:pPr>
      <w:r w:rsidRPr="00692B54">
        <w:t xml:space="preserve">Inpatient treatment for substance use disorders has been standardized as a succession of steps </w:t>
      </w:r>
      <w:r w:rsidR="00F4385C">
        <w:t xml:space="preserve">– or “cascade” -- </w:t>
      </w:r>
      <w:r w:rsidRPr="00692B54">
        <w:t xml:space="preserve">from acute detoxification to long‐ term residential </w:t>
      </w:r>
      <w:r w:rsidR="00F4385C">
        <w:t>care.</w:t>
      </w:r>
      <w:r>
        <w:t xml:space="preserve"> </w:t>
      </w:r>
      <w:r w:rsidR="005E70E9" w:rsidRPr="006858DE">
        <w:rPr>
          <w:rFonts w:cs="Arial"/>
          <w:bCs/>
          <w:kern w:val="32"/>
        </w:rPr>
        <w:t xml:space="preserve">Homeless individuals were at higher </w:t>
      </w:r>
      <w:r w:rsidR="009D3806" w:rsidRPr="006858DE">
        <w:rPr>
          <w:rFonts w:cs="Arial"/>
          <w:bCs/>
          <w:kern w:val="32"/>
        </w:rPr>
        <w:t xml:space="preserve">opioid </w:t>
      </w:r>
      <w:r w:rsidR="005E70E9" w:rsidRPr="006858DE">
        <w:rPr>
          <w:rFonts w:cs="Arial"/>
          <w:bCs/>
          <w:kern w:val="32"/>
        </w:rPr>
        <w:t>overdose risk among individuals navigating the inpatient treatment cascade in Massachusetts (12.3 overdoses per 100 person-years)</w:t>
      </w:r>
      <w:r w:rsidR="00284C44">
        <w:rPr>
          <w:rFonts w:cs="Arial"/>
          <w:bCs/>
          <w:kern w:val="32"/>
        </w:rPr>
        <w:t xml:space="preserve"> </w:t>
      </w:r>
      <w:r w:rsidR="00284C44">
        <w:rPr>
          <w:rFonts w:cs="Times New Roman"/>
        </w:rPr>
        <w:t xml:space="preserve">(Figure </w:t>
      </w:r>
      <w:r w:rsidR="00042910">
        <w:rPr>
          <w:rFonts w:cs="Times New Roman"/>
        </w:rPr>
        <w:t>2</w:t>
      </w:r>
      <w:r w:rsidR="00A06D2B">
        <w:rPr>
          <w:rFonts w:cs="Times New Roman"/>
        </w:rPr>
        <w:t>5</w:t>
      </w:r>
      <w:r w:rsidR="00284C44">
        <w:rPr>
          <w:rFonts w:cs="Times New Roman"/>
        </w:rPr>
        <w:t>)</w:t>
      </w:r>
      <w:r w:rsidR="00036B6E" w:rsidRPr="006858DE">
        <w:rPr>
          <w:rFonts w:cs="Arial"/>
          <w:bCs/>
          <w:kern w:val="32"/>
        </w:rPr>
        <w:t>.</w:t>
      </w:r>
      <w:r w:rsidR="005E70E9" w:rsidRPr="006858DE">
        <w:rPr>
          <w:rFonts w:cs="Arial"/>
          <w:bCs/>
          <w:kern w:val="32"/>
        </w:rPr>
        <w:t xml:space="preserve"> </w:t>
      </w:r>
    </w:p>
    <w:p w:rsidR="005E70E9" w:rsidRPr="00903B49" w:rsidRDefault="005E70E9" w:rsidP="005E70E9">
      <w:pPr>
        <w:pStyle w:val="ListParagraph"/>
        <w:rPr>
          <w:rFonts w:cs="Arial"/>
          <w:bCs/>
          <w:kern w:val="32"/>
        </w:rPr>
      </w:pPr>
    </w:p>
    <w:p w:rsidR="009A1493" w:rsidRPr="009D2B16" w:rsidRDefault="005E70E9" w:rsidP="00480A9B">
      <w:pPr>
        <w:pStyle w:val="ListParagraph"/>
        <w:rPr>
          <w:b/>
        </w:rPr>
      </w:pPr>
      <w:r w:rsidRPr="00CC16FA">
        <w:rPr>
          <w:b/>
        </w:rPr>
        <w:t xml:space="preserve">Figure </w:t>
      </w:r>
      <w:r w:rsidRPr="00CC16FA">
        <w:rPr>
          <w:b/>
        </w:rPr>
        <w:fldChar w:fldCharType="begin"/>
      </w:r>
      <w:r w:rsidRPr="00CC16FA">
        <w:rPr>
          <w:b/>
        </w:rPr>
        <w:instrText xml:space="preserve"> SEQ Figure \* ARABIC </w:instrText>
      </w:r>
      <w:r w:rsidRPr="00CC16FA">
        <w:rPr>
          <w:b/>
        </w:rPr>
        <w:fldChar w:fldCharType="separate"/>
      </w:r>
      <w:r w:rsidR="002B3BC3">
        <w:rPr>
          <w:b/>
          <w:noProof/>
        </w:rPr>
        <w:t>25</w:t>
      </w:r>
      <w:r w:rsidRPr="00CC16FA">
        <w:rPr>
          <w:b/>
        </w:rPr>
        <w:fldChar w:fldCharType="end"/>
      </w:r>
      <w:r>
        <w:rPr>
          <w:b/>
        </w:rPr>
        <w:t xml:space="preserve">. </w:t>
      </w:r>
      <w:r w:rsidRPr="00C761B4">
        <w:rPr>
          <w:b/>
        </w:rPr>
        <w:t xml:space="preserve">Overdose </w:t>
      </w:r>
      <w:r w:rsidR="00611ACA">
        <w:rPr>
          <w:b/>
        </w:rPr>
        <w:t>A</w:t>
      </w:r>
      <w:r w:rsidR="00611ACA" w:rsidRPr="00C761B4">
        <w:rPr>
          <w:b/>
        </w:rPr>
        <w:t xml:space="preserve">mong </w:t>
      </w:r>
      <w:r w:rsidR="00611ACA">
        <w:rPr>
          <w:b/>
        </w:rPr>
        <w:t>P</w:t>
      </w:r>
      <w:r w:rsidR="00611ACA" w:rsidRPr="00C761B4">
        <w:rPr>
          <w:b/>
        </w:rPr>
        <w:t>opulations</w:t>
      </w:r>
      <w:r w:rsidR="00611ACA">
        <w:rPr>
          <w:b/>
        </w:rPr>
        <w:t xml:space="preserve"> </w:t>
      </w:r>
      <w:r w:rsidR="009D2B16">
        <w:rPr>
          <w:b/>
        </w:rPr>
        <w:t xml:space="preserve">in the </w:t>
      </w:r>
      <w:r w:rsidR="00F4385C">
        <w:rPr>
          <w:b/>
        </w:rPr>
        <w:t xml:space="preserve">Treatment </w:t>
      </w:r>
      <w:r w:rsidR="00611ACA">
        <w:rPr>
          <w:b/>
        </w:rPr>
        <w:t>Cascade, MA</w:t>
      </w:r>
      <w:r w:rsidR="003605DE">
        <w:rPr>
          <w:rFonts w:cs="AdvOTa54b5d5d"/>
          <w:b/>
        </w:rPr>
        <w:t>:</w:t>
      </w:r>
      <w:r w:rsidR="003605DE" w:rsidRPr="00204EB8">
        <w:rPr>
          <w:rFonts w:cs="AdvOTa54b5d5d"/>
          <w:b/>
        </w:rPr>
        <w:t xml:space="preserve"> January 2012</w:t>
      </w:r>
      <w:r w:rsidR="006858DE">
        <w:rPr>
          <w:rFonts w:cs="AdvOTa54b5d5d"/>
          <w:b/>
        </w:rPr>
        <w:t xml:space="preserve"> to </w:t>
      </w:r>
      <w:r w:rsidR="003605DE" w:rsidRPr="00204EB8">
        <w:rPr>
          <w:rFonts w:cs="AdvOTa54b5d5d"/>
          <w:b/>
        </w:rPr>
        <w:t>September 2014</w:t>
      </w:r>
    </w:p>
    <w:p w:rsidR="005E70E9" w:rsidRPr="004C3C04" w:rsidRDefault="002B390F" w:rsidP="005E70E9">
      <w:pPr>
        <w:pStyle w:val="ListParagraph"/>
        <w:tabs>
          <w:tab w:val="left" w:pos="1065"/>
        </w:tabs>
        <w:rPr>
          <w:sz w:val="4"/>
          <w:szCs w:val="4"/>
        </w:rPr>
      </w:pPr>
      <w:r>
        <w:rPr>
          <w:noProof/>
        </w:rPr>
        <w:drawing>
          <wp:inline distT="0" distB="0" distL="0" distR="0" wp14:anchorId="3F204781" wp14:editId="5464046B">
            <wp:extent cx="5943600" cy="1847850"/>
            <wp:effectExtent l="0" t="0" r="0" b="0"/>
            <wp:docPr id="144"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2712B" w:rsidRPr="00042910" w:rsidRDefault="00F2712B" w:rsidP="00F2712B">
      <w:pPr>
        <w:pStyle w:val="ListParagraph"/>
        <w:spacing w:after="200" w:line="276" w:lineRule="auto"/>
        <w:rPr>
          <w:rFonts w:cs="Times New Roman"/>
          <w:sz w:val="26"/>
          <w:szCs w:val="26"/>
        </w:rPr>
      </w:pPr>
    </w:p>
    <w:p w:rsidR="006858DE" w:rsidRPr="00692B54" w:rsidRDefault="005E70E9" w:rsidP="00042910">
      <w:pPr>
        <w:pStyle w:val="ListParagraph"/>
        <w:numPr>
          <w:ilvl w:val="1"/>
          <w:numId w:val="5"/>
        </w:numPr>
        <w:spacing w:line="276" w:lineRule="auto"/>
        <w:ind w:left="720" w:hanging="446"/>
        <w:rPr>
          <w:rFonts w:cs="Times New Roman"/>
        </w:rPr>
      </w:pPr>
      <w:r w:rsidRPr="00013CAA">
        <w:t xml:space="preserve">Treatment with buprenorphine was associated with a 40% reduction in mortality among individuals with high-likelihood of having experienced homelessness and 43% reduction among those less likely to have been homeless. Methadone </w:t>
      </w:r>
      <w:r w:rsidR="008171B1">
        <w:t xml:space="preserve">maintenance treatment </w:t>
      </w:r>
      <w:r w:rsidRPr="00013CAA">
        <w:t>was associated with a 50% and 61% reduction in mortality reduction respectively among those more likely and less likely to have experienced homelessness</w:t>
      </w:r>
      <w:r w:rsidR="00284C44">
        <w:t xml:space="preserve"> (Figure </w:t>
      </w:r>
      <w:r w:rsidR="00042910">
        <w:t>2</w:t>
      </w:r>
      <w:r w:rsidR="00A06D2B">
        <w:t>6</w:t>
      </w:r>
      <w:r w:rsidR="00284C44">
        <w:t>).</w:t>
      </w:r>
      <w:r w:rsidRPr="00013CAA">
        <w:t xml:space="preserve"> </w:t>
      </w:r>
    </w:p>
    <w:p w:rsidR="009A1493" w:rsidRPr="00036B6E" w:rsidRDefault="009A1493" w:rsidP="005E70E9">
      <w:pPr>
        <w:rPr>
          <w:b/>
          <w:sz w:val="8"/>
          <w:szCs w:val="8"/>
        </w:rPr>
      </w:pPr>
    </w:p>
    <w:p w:rsidR="00042910" w:rsidRDefault="00042910" w:rsidP="001D6148">
      <w:pPr>
        <w:ind w:left="720"/>
        <w:rPr>
          <w:b/>
        </w:rPr>
      </w:pPr>
    </w:p>
    <w:p w:rsidR="005E70E9" w:rsidRDefault="005E70E9" w:rsidP="001D6148">
      <w:pPr>
        <w:ind w:left="720"/>
        <w:rPr>
          <w:b/>
        </w:rPr>
      </w:pPr>
      <w:r w:rsidRPr="00903B49">
        <w:rPr>
          <w:b/>
        </w:rPr>
        <w:t xml:space="preserve">Figure </w:t>
      </w:r>
      <w:r w:rsidRPr="00903B49">
        <w:rPr>
          <w:b/>
        </w:rPr>
        <w:fldChar w:fldCharType="begin"/>
      </w:r>
      <w:r w:rsidRPr="00903B49">
        <w:rPr>
          <w:b/>
        </w:rPr>
        <w:instrText xml:space="preserve"> SEQ Figure \* ARABIC </w:instrText>
      </w:r>
      <w:r w:rsidRPr="00903B49">
        <w:rPr>
          <w:b/>
        </w:rPr>
        <w:fldChar w:fldCharType="separate"/>
      </w:r>
      <w:r w:rsidR="002B3BC3">
        <w:rPr>
          <w:b/>
          <w:noProof/>
        </w:rPr>
        <w:t>26</w:t>
      </w:r>
      <w:r w:rsidRPr="00903B49">
        <w:rPr>
          <w:b/>
        </w:rPr>
        <w:fldChar w:fldCharType="end"/>
      </w:r>
      <w:r w:rsidRPr="00903B49">
        <w:rPr>
          <w:b/>
        </w:rPr>
        <w:t xml:space="preserve">. </w:t>
      </w:r>
      <w:r w:rsidRPr="00512F62">
        <w:rPr>
          <w:b/>
        </w:rPr>
        <w:t xml:space="preserve">Reduction in </w:t>
      </w:r>
      <w:r w:rsidR="008171B1">
        <w:rPr>
          <w:b/>
        </w:rPr>
        <w:t>M</w:t>
      </w:r>
      <w:r w:rsidR="008171B1" w:rsidRPr="00512F62">
        <w:rPr>
          <w:b/>
        </w:rPr>
        <w:t xml:space="preserve">ortality </w:t>
      </w:r>
      <w:r w:rsidRPr="00512F62">
        <w:rPr>
          <w:b/>
        </w:rPr>
        <w:t xml:space="preserve">by </w:t>
      </w:r>
      <w:r w:rsidR="008171B1">
        <w:rPr>
          <w:b/>
        </w:rPr>
        <w:t>R</w:t>
      </w:r>
      <w:r w:rsidR="008171B1" w:rsidRPr="00512F62">
        <w:rPr>
          <w:b/>
        </w:rPr>
        <w:t xml:space="preserve">eceipt </w:t>
      </w:r>
      <w:r w:rsidRPr="00512F62">
        <w:rPr>
          <w:b/>
        </w:rPr>
        <w:t xml:space="preserve">of </w:t>
      </w:r>
      <w:r w:rsidR="008171B1">
        <w:rPr>
          <w:b/>
        </w:rPr>
        <w:t>T</w:t>
      </w:r>
      <w:r w:rsidR="008171B1" w:rsidRPr="00512F62">
        <w:rPr>
          <w:b/>
        </w:rPr>
        <w:t xml:space="preserve">reatment </w:t>
      </w:r>
      <w:r w:rsidRPr="00512F62">
        <w:rPr>
          <w:b/>
        </w:rPr>
        <w:t xml:space="preserve">and by </w:t>
      </w:r>
      <w:r w:rsidR="008171B1">
        <w:rPr>
          <w:b/>
        </w:rPr>
        <w:t>L</w:t>
      </w:r>
      <w:r w:rsidR="008171B1" w:rsidRPr="00512F62">
        <w:rPr>
          <w:b/>
        </w:rPr>
        <w:t xml:space="preserve">ikelihood </w:t>
      </w:r>
      <w:r w:rsidRPr="00512F62">
        <w:rPr>
          <w:b/>
        </w:rPr>
        <w:t>of</w:t>
      </w:r>
      <w:r w:rsidR="008171B1">
        <w:rPr>
          <w:b/>
        </w:rPr>
        <w:t xml:space="preserve"> Having Experienced Homelessness, MA: 2012-2014</w:t>
      </w:r>
    </w:p>
    <w:p w:rsidR="00555B62" w:rsidRPr="00EE483A" w:rsidRDefault="00425BFC" w:rsidP="00EE483A">
      <w:pPr>
        <w:spacing w:after="200" w:line="276" w:lineRule="auto"/>
        <w:ind w:left="720"/>
        <w:rPr>
          <w:rFonts w:cs="Times New Roman"/>
        </w:rPr>
      </w:pPr>
      <w:r>
        <w:rPr>
          <w:noProof/>
        </w:rPr>
        <w:drawing>
          <wp:inline distT="0" distB="0" distL="0" distR="0" wp14:anchorId="1C0A4D92" wp14:editId="524EA591">
            <wp:extent cx="5943600" cy="2057400"/>
            <wp:effectExtent l="0" t="0" r="0" b="0"/>
            <wp:docPr id="145" name="Chart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55B62" w:rsidRPr="00EE483A" w:rsidRDefault="005E70E9" w:rsidP="00EE483A">
      <w:pPr>
        <w:pStyle w:val="ListParagraph"/>
        <w:numPr>
          <w:ilvl w:val="1"/>
          <w:numId w:val="5"/>
        </w:numPr>
        <w:spacing w:after="200" w:line="276" w:lineRule="auto"/>
        <w:ind w:left="720" w:hanging="450"/>
        <w:rPr>
          <w:rFonts w:cs="Times New Roman"/>
        </w:rPr>
      </w:pPr>
      <w:r w:rsidRPr="00013CAA">
        <w:lastRenderedPageBreak/>
        <w:t>Only 25% of individuals with high likelihood of homelessness were served in a long-term residential facility. These data suggest increasing access to long-term care facilities may be particularly effective in reducing mortality for patients treated in inpatient detoxification units in Massachusetts</w:t>
      </w:r>
      <w:r w:rsidR="006858DE">
        <w:t>.</w:t>
      </w:r>
      <w:r w:rsidR="00013CAA" w:rsidRPr="00013CAA">
        <w:rPr>
          <w:vertAlign w:val="superscript"/>
        </w:rPr>
        <w:t>52</w:t>
      </w:r>
    </w:p>
    <w:p w:rsidR="00EE483A" w:rsidRDefault="00EE483A" w:rsidP="00EE483A">
      <w:pPr>
        <w:pStyle w:val="ListParagraph"/>
        <w:spacing w:after="200" w:line="276" w:lineRule="auto"/>
      </w:pPr>
    </w:p>
    <w:p w:rsidR="005E70E9" w:rsidRPr="00692B54" w:rsidRDefault="005E7535" w:rsidP="00692B54">
      <w:pPr>
        <w:pStyle w:val="ListParagraph"/>
        <w:numPr>
          <w:ilvl w:val="1"/>
          <w:numId w:val="5"/>
        </w:numPr>
        <w:spacing w:after="200" w:line="276" w:lineRule="auto"/>
        <w:ind w:left="720" w:hanging="450"/>
      </w:pPr>
      <w:r w:rsidRPr="00927CB7">
        <w:t>Among individuals with a high</w:t>
      </w:r>
      <w:r>
        <w:t xml:space="preserve"> </w:t>
      </w:r>
      <w:r w:rsidRPr="00927CB7">
        <w:t xml:space="preserve">likelihood of homelessness, long‐term residential </w:t>
      </w:r>
      <w:r>
        <w:t xml:space="preserve">opioid use disorder </w:t>
      </w:r>
      <w:r w:rsidRPr="00927CB7">
        <w:t>treatment was</w:t>
      </w:r>
      <w:r>
        <w:t xml:space="preserve"> </w:t>
      </w:r>
      <w:r w:rsidRPr="00927CB7">
        <w:t>associated with a 48% reduction in mortality</w:t>
      </w:r>
      <w:r>
        <w:t>; however, o</w:t>
      </w:r>
      <w:r w:rsidRPr="00013CAA">
        <w:t>nly 25% of individuals with high likelihood of homelessness</w:t>
      </w:r>
      <w:r>
        <w:t xml:space="preserve"> </w:t>
      </w:r>
      <w:r w:rsidRPr="00013CAA">
        <w:t xml:space="preserve">were </w:t>
      </w:r>
      <w:r>
        <w:t>treated</w:t>
      </w:r>
      <w:r w:rsidRPr="00013CAA">
        <w:t xml:space="preserve"> in a long-term residential facility.</w:t>
      </w:r>
      <w:r w:rsidR="00927CB7" w:rsidRPr="00013CAA">
        <w:rPr>
          <w:vertAlign w:val="superscript"/>
        </w:rPr>
        <w:t>52</w:t>
      </w:r>
      <w:r w:rsidR="00284C44">
        <w:rPr>
          <w:vertAlign w:val="superscript"/>
        </w:rPr>
        <w:t xml:space="preserve"> </w:t>
      </w:r>
      <w:r w:rsidR="00284C44">
        <w:rPr>
          <w:rFonts w:cs="Times New Roman"/>
        </w:rPr>
        <w:t xml:space="preserve">(Figure </w:t>
      </w:r>
      <w:r w:rsidR="00042910">
        <w:rPr>
          <w:rFonts w:cs="Times New Roman"/>
        </w:rPr>
        <w:t>2</w:t>
      </w:r>
      <w:r w:rsidR="00A06D2B">
        <w:rPr>
          <w:rFonts w:cs="Times New Roman"/>
        </w:rPr>
        <w:t>7</w:t>
      </w:r>
      <w:r w:rsidR="00042910">
        <w:rPr>
          <w:rFonts w:cs="Times New Roman"/>
        </w:rPr>
        <w:t>)</w:t>
      </w:r>
      <w:r w:rsidR="00284C44">
        <w:rPr>
          <w:rFonts w:cs="Times New Roman"/>
        </w:rPr>
        <w:t>.</w:t>
      </w:r>
    </w:p>
    <w:p w:rsidR="004B1F8B" w:rsidRDefault="004B1F8B" w:rsidP="00927CB7">
      <w:pPr>
        <w:pStyle w:val="ListParagraph"/>
        <w:ind w:left="1440"/>
        <w:rPr>
          <w:rFonts w:cs="Times New Roman"/>
        </w:rPr>
      </w:pPr>
    </w:p>
    <w:p w:rsidR="00927CB7" w:rsidRDefault="00927CB7" w:rsidP="00927CB7">
      <w:pPr>
        <w:pStyle w:val="Caption"/>
        <w:ind w:left="720"/>
        <w:rPr>
          <w:color w:val="auto"/>
          <w:sz w:val="22"/>
          <w:szCs w:val="22"/>
        </w:rPr>
      </w:pPr>
      <w:r w:rsidRPr="00927CB7">
        <w:rPr>
          <w:color w:val="auto"/>
          <w:sz w:val="22"/>
          <w:szCs w:val="22"/>
        </w:rPr>
        <w:t xml:space="preserve">Figure </w:t>
      </w:r>
      <w:r w:rsidRPr="00927CB7">
        <w:rPr>
          <w:color w:val="auto"/>
          <w:sz w:val="22"/>
          <w:szCs w:val="22"/>
        </w:rPr>
        <w:fldChar w:fldCharType="begin"/>
      </w:r>
      <w:r w:rsidRPr="00927CB7">
        <w:rPr>
          <w:color w:val="auto"/>
          <w:sz w:val="22"/>
          <w:szCs w:val="22"/>
        </w:rPr>
        <w:instrText xml:space="preserve"> SEQ Figure \* ARABIC </w:instrText>
      </w:r>
      <w:r w:rsidRPr="00927CB7">
        <w:rPr>
          <w:color w:val="auto"/>
          <w:sz w:val="22"/>
          <w:szCs w:val="22"/>
        </w:rPr>
        <w:fldChar w:fldCharType="separate"/>
      </w:r>
      <w:r w:rsidR="002B3BC3">
        <w:rPr>
          <w:noProof/>
          <w:color w:val="auto"/>
          <w:sz w:val="22"/>
          <w:szCs w:val="22"/>
        </w:rPr>
        <w:t>27</w:t>
      </w:r>
      <w:r w:rsidRPr="00927CB7">
        <w:rPr>
          <w:color w:val="auto"/>
          <w:sz w:val="22"/>
          <w:szCs w:val="22"/>
        </w:rPr>
        <w:fldChar w:fldCharType="end"/>
      </w:r>
      <w:r w:rsidRPr="00927CB7">
        <w:rPr>
          <w:color w:val="auto"/>
          <w:sz w:val="22"/>
          <w:szCs w:val="22"/>
        </w:rPr>
        <w:t xml:space="preserve">. Likelihood of Receiving Residential Treatment Among </w:t>
      </w:r>
      <w:r w:rsidR="008171B1">
        <w:rPr>
          <w:color w:val="auto"/>
          <w:sz w:val="22"/>
          <w:szCs w:val="22"/>
        </w:rPr>
        <w:t>T</w:t>
      </w:r>
      <w:r w:rsidR="008171B1" w:rsidRPr="00927CB7">
        <w:rPr>
          <w:color w:val="auto"/>
          <w:sz w:val="22"/>
          <w:szCs w:val="22"/>
        </w:rPr>
        <w:t xml:space="preserve">hose </w:t>
      </w:r>
      <w:r w:rsidR="008171B1">
        <w:rPr>
          <w:color w:val="auto"/>
          <w:sz w:val="22"/>
          <w:szCs w:val="22"/>
        </w:rPr>
        <w:t>H</w:t>
      </w:r>
      <w:r w:rsidR="008171B1" w:rsidRPr="00927CB7">
        <w:rPr>
          <w:color w:val="auto"/>
          <w:sz w:val="22"/>
          <w:szCs w:val="22"/>
        </w:rPr>
        <w:t xml:space="preserve">ighly </w:t>
      </w:r>
      <w:r w:rsidR="008171B1">
        <w:rPr>
          <w:color w:val="auto"/>
          <w:sz w:val="22"/>
          <w:szCs w:val="22"/>
        </w:rPr>
        <w:t>L</w:t>
      </w:r>
      <w:r w:rsidR="008171B1" w:rsidRPr="00927CB7">
        <w:rPr>
          <w:color w:val="auto"/>
          <w:sz w:val="22"/>
          <w:szCs w:val="22"/>
        </w:rPr>
        <w:t xml:space="preserve">ikely </w:t>
      </w:r>
      <w:r w:rsidRPr="00927CB7">
        <w:rPr>
          <w:color w:val="auto"/>
          <w:sz w:val="22"/>
          <w:szCs w:val="22"/>
        </w:rPr>
        <w:t xml:space="preserve">to </w:t>
      </w:r>
      <w:r w:rsidR="008171B1">
        <w:rPr>
          <w:color w:val="auto"/>
          <w:sz w:val="22"/>
          <w:szCs w:val="22"/>
        </w:rPr>
        <w:t>B</w:t>
      </w:r>
      <w:r w:rsidR="008171B1" w:rsidRPr="00927CB7">
        <w:rPr>
          <w:color w:val="auto"/>
          <w:sz w:val="22"/>
          <w:szCs w:val="22"/>
        </w:rPr>
        <w:t xml:space="preserve">e </w:t>
      </w:r>
      <w:r w:rsidRPr="00927CB7">
        <w:rPr>
          <w:color w:val="auto"/>
          <w:sz w:val="22"/>
          <w:szCs w:val="22"/>
        </w:rPr>
        <w:t>Homeless</w:t>
      </w:r>
      <w:r w:rsidR="008171B1">
        <w:rPr>
          <w:color w:val="auto"/>
          <w:sz w:val="22"/>
          <w:szCs w:val="22"/>
        </w:rPr>
        <w:t>, MA</w:t>
      </w:r>
      <w:r w:rsidRPr="00927CB7">
        <w:rPr>
          <w:color w:val="auto"/>
          <w:sz w:val="22"/>
          <w:szCs w:val="22"/>
        </w:rPr>
        <w:t>: 2011-2015</w:t>
      </w:r>
    </w:p>
    <w:p w:rsidR="00927CB7" w:rsidRPr="00927CB7" w:rsidRDefault="00790D79" w:rsidP="00927CB7">
      <w:pPr>
        <w:ind w:left="720"/>
      </w:pPr>
      <w:r>
        <w:rPr>
          <w:noProof/>
        </w:rPr>
        <w:drawing>
          <wp:inline distT="0" distB="0" distL="0" distR="0" wp14:anchorId="2E32891D" wp14:editId="63C2E46A">
            <wp:extent cx="4333875" cy="275272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01997" w:rsidRDefault="00F01997">
      <w:pPr>
        <w:spacing w:after="200" w:line="276" w:lineRule="auto"/>
        <w:rPr>
          <w:rFonts w:asciiTheme="majorHAnsi" w:eastAsiaTheme="majorEastAsia" w:hAnsiTheme="majorHAnsi" w:cstheme="majorBidi"/>
          <w:b/>
          <w:bCs/>
          <w:color w:val="4F81BD" w:themeColor="accent1"/>
          <w:sz w:val="36"/>
          <w:szCs w:val="36"/>
        </w:rPr>
      </w:pPr>
      <w:r>
        <w:rPr>
          <w:sz w:val="36"/>
          <w:szCs w:val="36"/>
        </w:rPr>
        <w:br w:type="page"/>
      </w:r>
    </w:p>
    <w:p w:rsidR="005E70E9" w:rsidRPr="00D3478C" w:rsidRDefault="005E70E9" w:rsidP="00EE483A">
      <w:pPr>
        <w:pStyle w:val="Heading2"/>
        <w:rPr>
          <w:sz w:val="36"/>
          <w:szCs w:val="36"/>
        </w:rPr>
      </w:pPr>
      <w:bookmarkStart w:id="11" w:name="_Toc20134880"/>
      <w:r w:rsidRPr="00D3478C">
        <w:rPr>
          <w:sz w:val="36"/>
          <w:szCs w:val="36"/>
        </w:rPr>
        <w:lastRenderedPageBreak/>
        <w:t>Adolescents</w:t>
      </w:r>
      <w:bookmarkEnd w:id="11"/>
      <w:r w:rsidRPr="00D3478C">
        <w:rPr>
          <w:sz w:val="36"/>
          <w:szCs w:val="36"/>
        </w:rPr>
        <w:tab/>
      </w:r>
    </w:p>
    <w:p w:rsidR="006632F1" w:rsidRPr="006632F1" w:rsidRDefault="006632F1" w:rsidP="006632F1"/>
    <w:p w:rsidR="007E07D0" w:rsidRDefault="0001339D" w:rsidP="007E07D0">
      <w:pPr>
        <w:autoSpaceDE w:val="0"/>
        <w:autoSpaceDN w:val="0"/>
        <w:adjustRightInd w:val="0"/>
        <w:rPr>
          <w:rFonts w:eastAsia="Times New Roman" w:cs="Times New Roman"/>
          <w:b/>
          <w:color w:val="000000"/>
        </w:rPr>
      </w:pPr>
      <w:r>
        <w:rPr>
          <w:rFonts w:eastAsia="Times New Roman" w:cs="Times New Roman"/>
          <w:b/>
          <w:color w:val="000000"/>
        </w:rPr>
        <w:t xml:space="preserve">Background: </w:t>
      </w:r>
    </w:p>
    <w:p w:rsidR="005E70E9" w:rsidRDefault="005E70E9" w:rsidP="007E07D0">
      <w:pPr>
        <w:autoSpaceDE w:val="0"/>
        <w:autoSpaceDN w:val="0"/>
        <w:adjustRightInd w:val="0"/>
        <w:spacing w:after="120" w:line="276" w:lineRule="auto"/>
        <w:rPr>
          <w:rFonts w:eastAsia="Times New Roman" w:cs="Times New Roman"/>
          <w:color w:val="000000"/>
        </w:rPr>
      </w:pPr>
      <w:r w:rsidRPr="00F448B1">
        <w:rPr>
          <w:rFonts w:eastAsia="Times New Roman" w:cs="Times New Roman"/>
          <w:color w:val="000000"/>
        </w:rPr>
        <w:t>The opioid epidemic in the United States has not spared adolescents. Between 1993 and 2010, emergency department visits for opioid-related overdose increased 1188% for those younger than 20</w:t>
      </w:r>
      <w:r w:rsidRPr="005F44D7">
        <w:rPr>
          <w:rStyle w:val="FootnoteReference"/>
        </w:rPr>
        <w:footnoteReference w:id="42"/>
      </w:r>
      <w:r w:rsidRPr="00F448B1">
        <w:rPr>
          <w:rFonts w:eastAsia="Times New Roman" w:cs="Times New Roman"/>
          <w:color w:val="000000"/>
        </w:rPr>
        <w:t xml:space="preserve"> and annual opioid-related overdose deaths among 15</w:t>
      </w:r>
      <w:r w:rsidR="008171B1">
        <w:rPr>
          <w:rFonts w:eastAsia="Times New Roman" w:cs="Times New Roman"/>
          <w:color w:val="000000"/>
        </w:rPr>
        <w:t>-</w:t>
      </w:r>
      <w:r w:rsidRPr="00F448B1">
        <w:rPr>
          <w:rFonts w:eastAsia="Times New Roman" w:cs="Times New Roman"/>
          <w:color w:val="000000"/>
        </w:rPr>
        <w:t>19 year-olds increased 2.3-fold from 1999 to 2015.</w:t>
      </w:r>
      <w:r w:rsidRPr="005F44D7">
        <w:rPr>
          <w:rStyle w:val="FootnoteReference"/>
        </w:rPr>
        <w:footnoteReference w:id="43"/>
      </w:r>
      <w:r w:rsidRPr="00E508F7">
        <w:rPr>
          <w:rFonts w:eastAsia="Times New Roman" w:cs="Times New Roman"/>
          <w:color w:val="000000"/>
        </w:rPr>
        <w:t xml:space="preserve"> </w:t>
      </w:r>
      <w:r w:rsidRPr="00E36C4A">
        <w:rPr>
          <w:rFonts w:eastAsia="Times New Roman" w:cs="Times New Roman"/>
          <w:color w:val="000000"/>
        </w:rPr>
        <w:t xml:space="preserve">The percentage of opioid-related deaths </w:t>
      </w:r>
      <w:r w:rsidR="00CE28E5">
        <w:rPr>
          <w:rFonts w:eastAsia="Times New Roman" w:cs="Times New Roman"/>
          <w:color w:val="000000"/>
        </w:rPr>
        <w:t>by</w:t>
      </w:r>
      <w:r w:rsidRPr="00E36C4A">
        <w:rPr>
          <w:rFonts w:eastAsia="Times New Roman" w:cs="Times New Roman"/>
          <w:color w:val="000000"/>
        </w:rPr>
        <w:t xml:space="preserve"> age groups </w:t>
      </w:r>
      <w:r w:rsidR="00CE28E5">
        <w:rPr>
          <w:rFonts w:eastAsia="Times New Roman" w:cs="Times New Roman"/>
          <w:color w:val="000000"/>
        </w:rPr>
        <w:t xml:space="preserve">in Massachusetts </w:t>
      </w:r>
      <w:r w:rsidRPr="00E36C4A">
        <w:rPr>
          <w:rFonts w:eastAsia="Times New Roman" w:cs="Times New Roman"/>
          <w:color w:val="000000"/>
        </w:rPr>
        <w:t xml:space="preserve">shows </w:t>
      </w:r>
      <w:r w:rsidR="00CE28E5">
        <w:rPr>
          <w:rFonts w:eastAsia="Times New Roman" w:cs="Times New Roman"/>
          <w:color w:val="000000"/>
        </w:rPr>
        <w:t xml:space="preserve">that </w:t>
      </w:r>
      <w:r w:rsidRPr="00E36C4A">
        <w:rPr>
          <w:rFonts w:eastAsia="Times New Roman" w:cs="Times New Roman"/>
          <w:color w:val="000000"/>
        </w:rPr>
        <w:t>the young are especially at risk. From 2013</w:t>
      </w:r>
      <w:r>
        <w:rPr>
          <w:rFonts w:eastAsia="Times New Roman" w:cs="Times New Roman"/>
          <w:color w:val="000000"/>
        </w:rPr>
        <w:t xml:space="preserve"> to</w:t>
      </w:r>
      <w:r w:rsidR="008171B1">
        <w:rPr>
          <w:rFonts w:eastAsia="Times New Roman" w:cs="Times New Roman"/>
          <w:color w:val="000000"/>
        </w:rPr>
        <w:t xml:space="preserve"> </w:t>
      </w:r>
      <w:r w:rsidRPr="00E36C4A">
        <w:rPr>
          <w:rFonts w:eastAsia="Times New Roman" w:cs="Times New Roman"/>
          <w:color w:val="000000"/>
        </w:rPr>
        <w:t>2014, opioids accounted for more than a quarter of all fatalities in the 18</w:t>
      </w:r>
      <w:r w:rsidR="008171B1">
        <w:rPr>
          <w:rFonts w:eastAsia="Times New Roman" w:cs="Times New Roman"/>
          <w:color w:val="000000"/>
        </w:rPr>
        <w:t>-</w:t>
      </w:r>
      <w:r w:rsidRPr="00E36C4A">
        <w:rPr>
          <w:rFonts w:eastAsia="Times New Roman" w:cs="Times New Roman"/>
          <w:color w:val="000000"/>
        </w:rPr>
        <w:t>24 age group. For individuals from 25</w:t>
      </w:r>
      <w:r w:rsidR="008171B1">
        <w:rPr>
          <w:rFonts w:eastAsia="Times New Roman" w:cs="Times New Roman"/>
          <w:color w:val="000000"/>
        </w:rPr>
        <w:t>-</w:t>
      </w:r>
      <w:r w:rsidRPr="00E36C4A">
        <w:rPr>
          <w:rFonts w:eastAsia="Times New Roman" w:cs="Times New Roman"/>
          <w:color w:val="000000"/>
        </w:rPr>
        <w:t>34, opioids were responsible for more than a third of all deaths, rising to more than 40% for men. In 2015, roughly two out of every three people who died from opioids were younger than 45.</w:t>
      </w:r>
    </w:p>
    <w:p w:rsidR="005E70E9" w:rsidRPr="00903DFF" w:rsidRDefault="0001339D" w:rsidP="006632F1">
      <w:pPr>
        <w:autoSpaceDE w:val="0"/>
        <w:autoSpaceDN w:val="0"/>
        <w:adjustRightInd w:val="0"/>
        <w:rPr>
          <w:rFonts w:eastAsia="Times New Roman" w:cs="Times New Roman"/>
          <w:color w:val="000000"/>
        </w:rPr>
      </w:pPr>
      <w:r>
        <w:rPr>
          <w:rFonts w:eastAsia="Times New Roman" w:cs="Times New Roman"/>
          <w:b/>
          <w:color w:val="000000"/>
        </w:rPr>
        <w:t>Key Findings</w:t>
      </w:r>
      <w:r w:rsidR="005E70E9" w:rsidRPr="00F448B1">
        <w:rPr>
          <w:rFonts w:eastAsia="Times New Roman" w:cs="Times New Roman"/>
          <w:color w:val="000000"/>
        </w:rPr>
        <w:t>:</w:t>
      </w:r>
    </w:p>
    <w:p w:rsidR="005E70E9" w:rsidRPr="00CB5C2A" w:rsidRDefault="005E70E9" w:rsidP="00CB5C2A">
      <w:pPr>
        <w:pStyle w:val="ListParagraph"/>
        <w:numPr>
          <w:ilvl w:val="0"/>
          <w:numId w:val="5"/>
        </w:numPr>
        <w:spacing w:after="120" w:line="276" w:lineRule="auto"/>
        <w:rPr>
          <w:rFonts w:ascii="Calibri" w:hAnsi="Calibri"/>
          <w:i/>
        </w:rPr>
      </w:pPr>
      <w:r w:rsidRPr="00CB5C2A">
        <w:rPr>
          <w:bCs/>
          <w:kern w:val="32"/>
        </w:rPr>
        <w:t>Between 2014 and 2015, an overwhelming majority of the opioid-related overdose deaths had either stimulants or another drug identified in toxicology analysis at the time of death</w:t>
      </w:r>
      <w:r w:rsidRPr="00CB5C2A">
        <w:rPr>
          <w:rFonts w:ascii="Calibri" w:hAnsi="Calibri"/>
        </w:rPr>
        <w:t xml:space="preserve">. Persons in the age groups 25-44 and 45+ were nearly two times more likely than the youngest age group (11-24) to overdose with stimulants present </w:t>
      </w:r>
      <w:r w:rsidR="00CE28E5" w:rsidRPr="00CB5C2A">
        <w:rPr>
          <w:rFonts w:ascii="Calibri" w:hAnsi="Calibri"/>
        </w:rPr>
        <w:t xml:space="preserve">in </w:t>
      </w:r>
      <w:r w:rsidRPr="00CB5C2A">
        <w:rPr>
          <w:rFonts w:ascii="Calibri" w:hAnsi="Calibri"/>
        </w:rPr>
        <w:t xml:space="preserve">toxicology </w:t>
      </w:r>
      <w:r w:rsidR="00CE28E5" w:rsidRPr="00CB5C2A">
        <w:rPr>
          <w:rFonts w:ascii="Calibri" w:hAnsi="Calibri"/>
        </w:rPr>
        <w:t xml:space="preserve">analysis </w:t>
      </w:r>
      <w:r w:rsidRPr="00CB5C2A">
        <w:rPr>
          <w:rFonts w:ascii="Calibri" w:hAnsi="Calibri"/>
        </w:rPr>
        <w:t>than with opioids alone (odds ratio (OR): 1.84, 95% CI: 1.23-2.76, and OR 1.7, 95% CI: 1.10-2.64, respect</w:t>
      </w:r>
      <w:r w:rsidR="00CB5C2A">
        <w:rPr>
          <w:rFonts w:ascii="Calibri" w:hAnsi="Calibri"/>
        </w:rPr>
        <w:t>ively)</w:t>
      </w:r>
      <w:r w:rsidR="0070075F">
        <w:rPr>
          <w:rFonts w:ascii="Calibri" w:hAnsi="Calibri"/>
        </w:rPr>
        <w:t>.</w:t>
      </w:r>
      <w:r w:rsidR="00CB5C2A" w:rsidRPr="00CB5C2A">
        <w:rPr>
          <w:rFonts w:ascii="Calibri" w:hAnsi="Calibri"/>
          <w:vertAlign w:val="superscript"/>
        </w:rPr>
        <w:t>29</w:t>
      </w:r>
    </w:p>
    <w:p w:rsidR="00CB5C2A" w:rsidRPr="00CB5C2A" w:rsidRDefault="00CB5C2A" w:rsidP="00CB5C2A">
      <w:pPr>
        <w:pStyle w:val="ListParagraph"/>
        <w:spacing w:after="120" w:line="276" w:lineRule="auto"/>
        <w:ind w:left="1080"/>
        <w:rPr>
          <w:rFonts w:ascii="Calibri" w:hAnsi="Calibri"/>
          <w:i/>
        </w:rPr>
      </w:pPr>
    </w:p>
    <w:p w:rsidR="00824A61" w:rsidRDefault="005E70E9" w:rsidP="005F4E48">
      <w:pPr>
        <w:pStyle w:val="ListParagraph"/>
        <w:numPr>
          <w:ilvl w:val="0"/>
          <w:numId w:val="5"/>
        </w:numPr>
        <w:spacing w:after="120" w:line="276" w:lineRule="auto"/>
        <w:rPr>
          <w:rFonts w:eastAsia="Times New Roman" w:cs="Times New Roman"/>
          <w:color w:val="000000"/>
        </w:rPr>
      </w:pPr>
      <w:r w:rsidRPr="00903DFF">
        <w:rPr>
          <w:rFonts w:eastAsia="Times New Roman" w:cs="Times New Roman"/>
          <w:color w:val="000000"/>
        </w:rPr>
        <w:t xml:space="preserve">Between 2012 and 2014, of the 22,506 individuals who experienced </w:t>
      </w:r>
      <w:r>
        <w:rPr>
          <w:rFonts w:eastAsia="Times New Roman" w:cs="Times New Roman"/>
          <w:color w:val="000000"/>
        </w:rPr>
        <w:t xml:space="preserve">a non-fatal </w:t>
      </w:r>
      <w:r w:rsidR="006D5B18">
        <w:rPr>
          <w:rFonts w:eastAsia="Times New Roman" w:cs="Times New Roman"/>
          <w:color w:val="000000"/>
        </w:rPr>
        <w:t xml:space="preserve">opioid </w:t>
      </w:r>
      <w:r>
        <w:rPr>
          <w:rFonts w:eastAsia="Times New Roman" w:cs="Times New Roman"/>
          <w:color w:val="000000"/>
        </w:rPr>
        <w:t>overdose (</w:t>
      </w:r>
      <w:r w:rsidRPr="00903DFF">
        <w:rPr>
          <w:rFonts w:eastAsia="Times New Roman" w:cs="Times New Roman"/>
          <w:color w:val="000000"/>
        </w:rPr>
        <w:t>NFOD</w:t>
      </w:r>
      <w:r>
        <w:rPr>
          <w:rFonts w:eastAsia="Times New Roman" w:cs="Times New Roman"/>
          <w:color w:val="000000"/>
        </w:rPr>
        <w:t>)</w:t>
      </w:r>
      <w:r w:rsidRPr="00903DFF">
        <w:rPr>
          <w:rFonts w:eastAsia="Times New Roman" w:cs="Times New Roman"/>
          <w:color w:val="000000"/>
        </w:rPr>
        <w:t>, 0.9% (195) were 11</w:t>
      </w:r>
      <w:r w:rsidR="008171B1">
        <w:rPr>
          <w:rFonts w:eastAsia="Times New Roman" w:cs="Times New Roman"/>
          <w:color w:val="000000"/>
        </w:rPr>
        <w:t>-</w:t>
      </w:r>
      <w:r w:rsidRPr="00903DFF">
        <w:rPr>
          <w:rFonts w:eastAsia="Times New Roman" w:cs="Times New Roman"/>
          <w:color w:val="000000"/>
        </w:rPr>
        <w:t>17: 27% were 11</w:t>
      </w:r>
      <w:r w:rsidR="008171B1">
        <w:rPr>
          <w:rFonts w:eastAsia="Times New Roman" w:cs="Times New Roman"/>
          <w:color w:val="000000"/>
        </w:rPr>
        <w:t>-</w:t>
      </w:r>
      <w:r w:rsidRPr="00903DFF">
        <w:rPr>
          <w:rFonts w:eastAsia="Times New Roman" w:cs="Times New Roman"/>
          <w:color w:val="000000"/>
        </w:rPr>
        <w:t>14 and 73% were 15</w:t>
      </w:r>
      <w:r w:rsidR="008171B1">
        <w:rPr>
          <w:rFonts w:eastAsia="Times New Roman" w:cs="Times New Roman"/>
          <w:color w:val="000000"/>
        </w:rPr>
        <w:t>-</w:t>
      </w:r>
      <w:r w:rsidRPr="00903DFF">
        <w:rPr>
          <w:rFonts w:eastAsia="Times New Roman" w:cs="Times New Roman"/>
          <w:color w:val="000000"/>
        </w:rPr>
        <w:t xml:space="preserve">17 years of age. Adolescents </w:t>
      </w:r>
      <w:r w:rsidRPr="00903DFF">
        <w:rPr>
          <w:rFonts w:cs="AdvOT596495f2"/>
        </w:rPr>
        <w:t xml:space="preserve">experiencing </w:t>
      </w:r>
      <w:r>
        <w:rPr>
          <w:rFonts w:cs="AdvOT596495f2"/>
        </w:rPr>
        <w:t>a NFOD</w:t>
      </w:r>
      <w:r w:rsidRPr="00903DFF">
        <w:rPr>
          <w:rFonts w:eastAsia="Times New Roman" w:cs="Times New Roman"/>
          <w:color w:val="000000"/>
        </w:rPr>
        <w:t xml:space="preserve"> were more likely to be female (52% vs. 38% of adults), more likely to have an address in a rural zip code (14% vs. 7% of adults), less likely to be enrolled in MassHealth (57% vs. 73% of adults), </w:t>
      </w:r>
      <w:r>
        <w:rPr>
          <w:rFonts w:eastAsia="Times New Roman" w:cs="Times New Roman"/>
          <w:color w:val="000000"/>
        </w:rPr>
        <w:t xml:space="preserve">and </w:t>
      </w:r>
      <w:r w:rsidRPr="00903DFF">
        <w:rPr>
          <w:rFonts w:eastAsia="Times New Roman" w:cs="Times New Roman"/>
          <w:color w:val="000000"/>
        </w:rPr>
        <w:t>less likely to have a diagnosis of anxiety (13% vs. 19% of adults) or de</w:t>
      </w:r>
      <w:r w:rsidR="00601F0B">
        <w:rPr>
          <w:rFonts w:eastAsia="Times New Roman" w:cs="Times New Roman"/>
          <w:color w:val="000000"/>
        </w:rPr>
        <w:t>pression (16% vs. 23% of adults)</w:t>
      </w:r>
      <w:r w:rsidR="00F25806">
        <w:rPr>
          <w:rFonts w:eastAsia="Times New Roman" w:cs="Times New Roman"/>
          <w:color w:val="000000"/>
        </w:rPr>
        <w:t>.</w:t>
      </w:r>
      <w:r w:rsidR="00601F0B" w:rsidRPr="005F44D7">
        <w:rPr>
          <w:rStyle w:val="FootnoteReference"/>
        </w:rPr>
        <w:footnoteReference w:id="44"/>
      </w:r>
    </w:p>
    <w:p w:rsidR="007E07D0" w:rsidRPr="00AE7594" w:rsidRDefault="007E07D0" w:rsidP="00AE7594">
      <w:pPr>
        <w:rPr>
          <w:rFonts w:eastAsia="Times New Roman" w:cs="Times New Roman"/>
          <w:color w:val="000000"/>
        </w:rPr>
      </w:pPr>
    </w:p>
    <w:tbl>
      <w:tblPr>
        <w:tblStyle w:val="LightShading-Accent1"/>
        <w:tblW w:w="8280" w:type="dxa"/>
        <w:jc w:val="center"/>
        <w:tblLook w:val="04A0" w:firstRow="1" w:lastRow="0" w:firstColumn="1" w:lastColumn="0" w:noHBand="0" w:noVBand="1"/>
      </w:tblPr>
      <w:tblGrid>
        <w:gridCol w:w="4590"/>
        <w:gridCol w:w="1620"/>
        <w:gridCol w:w="1260"/>
        <w:gridCol w:w="810"/>
      </w:tblGrid>
      <w:tr w:rsidR="005E70E9" w:rsidTr="00A1795E">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8280" w:type="dxa"/>
            <w:gridSpan w:val="4"/>
          </w:tcPr>
          <w:p w:rsidR="005E70E9" w:rsidRPr="00E76F5B" w:rsidRDefault="00824A61" w:rsidP="00F42712">
            <w:pPr>
              <w:autoSpaceDE w:val="0"/>
              <w:autoSpaceDN w:val="0"/>
              <w:adjustRightInd w:val="0"/>
              <w:rPr>
                <w:rFonts w:cs="AdvOT596495f2"/>
              </w:rPr>
            </w:pPr>
            <w:r w:rsidRPr="00E76F5B">
              <w:t xml:space="preserve">Table </w:t>
            </w:r>
            <w:r w:rsidR="008030D6">
              <w:fldChar w:fldCharType="begin"/>
            </w:r>
            <w:r w:rsidR="008030D6">
              <w:instrText xml:space="preserve"> SEQ Table \* ARABIC </w:instrText>
            </w:r>
            <w:r w:rsidR="008030D6">
              <w:fldChar w:fldCharType="separate"/>
            </w:r>
            <w:r w:rsidR="00FA5C39">
              <w:rPr>
                <w:noProof/>
              </w:rPr>
              <w:t>1</w:t>
            </w:r>
            <w:r w:rsidR="008030D6">
              <w:rPr>
                <w:noProof/>
              </w:rPr>
              <w:fldChar w:fldCharType="end"/>
            </w:r>
            <w:r w:rsidRPr="00E76F5B">
              <w:t xml:space="preserve">. </w:t>
            </w:r>
            <w:r w:rsidR="005E70E9" w:rsidRPr="00E76F5B">
              <w:rPr>
                <w:rFonts w:cs="AdvOT596495f2"/>
              </w:rPr>
              <w:t xml:space="preserve">Characteristics of </w:t>
            </w:r>
            <w:r w:rsidR="003D7F97">
              <w:rPr>
                <w:rFonts w:cs="AdvOT596495f2"/>
              </w:rPr>
              <w:t>I</w:t>
            </w:r>
            <w:r w:rsidR="003D7F97" w:rsidRPr="00E76F5B">
              <w:rPr>
                <w:rFonts w:cs="AdvOT596495f2"/>
              </w:rPr>
              <w:t xml:space="preserve">ndividuals </w:t>
            </w:r>
            <w:r w:rsidR="003D7F97">
              <w:rPr>
                <w:rFonts w:cs="AdvOT596495f2"/>
              </w:rPr>
              <w:t>E</w:t>
            </w:r>
            <w:r w:rsidR="003D7F97" w:rsidRPr="00E76F5B">
              <w:rPr>
                <w:rFonts w:cs="AdvOT596495f2"/>
              </w:rPr>
              <w:t xml:space="preserve">xperiencing </w:t>
            </w:r>
            <w:r w:rsidR="003D7F97">
              <w:rPr>
                <w:rFonts w:cs="AdvOT596495f2"/>
              </w:rPr>
              <w:t>N</w:t>
            </w:r>
            <w:r w:rsidR="003D7F97" w:rsidRPr="00E76F5B">
              <w:rPr>
                <w:rFonts w:cs="AdvOT596495f2"/>
              </w:rPr>
              <w:t>on</w:t>
            </w:r>
            <w:r w:rsidR="005E70E9" w:rsidRPr="00E76F5B">
              <w:rPr>
                <w:rFonts w:cs="AdvOT596495f2"/>
              </w:rPr>
              <w:t>-</w:t>
            </w:r>
            <w:r w:rsidR="003D7F97">
              <w:rPr>
                <w:rFonts w:cs="AdvOT596495f2"/>
              </w:rPr>
              <w:t>F</w:t>
            </w:r>
            <w:r w:rsidR="003D7F97" w:rsidRPr="00E76F5B">
              <w:rPr>
                <w:rFonts w:cs="AdvOT596495f2"/>
              </w:rPr>
              <w:t xml:space="preserve">atal </w:t>
            </w:r>
            <w:r w:rsidR="003D7F97">
              <w:rPr>
                <w:rFonts w:cs="AdvOT596495f2"/>
              </w:rPr>
              <w:t>O</w:t>
            </w:r>
            <w:r w:rsidR="003D7F97" w:rsidRPr="00E76F5B">
              <w:rPr>
                <w:rFonts w:cs="AdvOT596495f2"/>
              </w:rPr>
              <w:t xml:space="preserve">pioid </w:t>
            </w:r>
            <w:r w:rsidR="003D7F97">
              <w:rPr>
                <w:rFonts w:cs="AdvOT596495f2"/>
              </w:rPr>
              <w:t>O</w:t>
            </w:r>
            <w:r w:rsidR="003D7F97" w:rsidRPr="00E76F5B">
              <w:rPr>
                <w:rFonts w:cs="AdvOT596495f2"/>
              </w:rPr>
              <w:t xml:space="preserve">verdose </w:t>
            </w:r>
            <w:r w:rsidR="005E70E9" w:rsidRPr="00E76F5B">
              <w:rPr>
                <w:rFonts w:cs="AdvOT596495f2"/>
              </w:rPr>
              <w:t xml:space="preserve">in Massachusetts </w:t>
            </w:r>
            <w:r w:rsidR="00F42712">
              <w:rPr>
                <w:rFonts w:cs="AdvOT596495f2"/>
              </w:rPr>
              <w:t>B</w:t>
            </w:r>
            <w:r w:rsidR="00F42712" w:rsidRPr="00E76F5B">
              <w:rPr>
                <w:rFonts w:cs="AdvOT596495f2"/>
              </w:rPr>
              <w:t xml:space="preserve">etween </w:t>
            </w:r>
            <w:r w:rsidR="005E70E9" w:rsidRPr="00E76F5B">
              <w:rPr>
                <w:rFonts w:cs="AdvOT596495f2"/>
              </w:rPr>
              <w:t xml:space="preserve">2012 and 2014, </w:t>
            </w:r>
            <w:r w:rsidR="003D7F97">
              <w:rPr>
                <w:rFonts w:cs="AdvOT596495f2"/>
              </w:rPr>
              <w:t>A</w:t>
            </w:r>
            <w:r w:rsidR="003D7F97" w:rsidRPr="00E76F5B">
              <w:rPr>
                <w:rFonts w:cs="AdvOT596495f2"/>
              </w:rPr>
              <w:t xml:space="preserve">dolescents </w:t>
            </w:r>
            <w:r w:rsidR="003D7F97">
              <w:rPr>
                <w:rFonts w:cs="AdvOT596495f2"/>
              </w:rPr>
              <w:t>A</w:t>
            </w:r>
            <w:r w:rsidR="003D7F97" w:rsidRPr="00E76F5B">
              <w:rPr>
                <w:rFonts w:cs="AdvOT596495f2"/>
              </w:rPr>
              <w:t xml:space="preserve">ged </w:t>
            </w:r>
            <w:r w:rsidR="005E70E9" w:rsidRPr="00E76F5B">
              <w:rPr>
                <w:rFonts w:cs="AdvOT596495f2"/>
              </w:rPr>
              <w:t>11</w:t>
            </w:r>
            <w:r w:rsidR="005E70E9" w:rsidRPr="00E76F5B">
              <w:rPr>
                <w:rFonts w:cs="AdvOT596495f2+20"/>
              </w:rPr>
              <w:t>–</w:t>
            </w:r>
            <w:r w:rsidR="005E70E9" w:rsidRPr="00E76F5B">
              <w:rPr>
                <w:rFonts w:cs="AdvOT596495f2"/>
              </w:rPr>
              <w:t xml:space="preserve">17 </w:t>
            </w:r>
            <w:r w:rsidR="003D7F97">
              <w:rPr>
                <w:rFonts w:cs="AdvOT596495f2"/>
              </w:rPr>
              <w:t>Y</w:t>
            </w:r>
            <w:r w:rsidR="003D7F97" w:rsidRPr="00E76F5B">
              <w:rPr>
                <w:rFonts w:cs="AdvOT596495f2"/>
              </w:rPr>
              <w:t xml:space="preserve">ears </w:t>
            </w:r>
            <w:r w:rsidR="005E70E9" w:rsidRPr="00E76F5B">
              <w:rPr>
                <w:rFonts w:cs="AdvOT596495f2"/>
              </w:rPr>
              <w:t xml:space="preserve">vs. </w:t>
            </w:r>
            <w:r w:rsidR="003D7F97">
              <w:rPr>
                <w:rFonts w:cs="AdvOT596495f2"/>
              </w:rPr>
              <w:t>A</w:t>
            </w:r>
            <w:r w:rsidR="003D7F97" w:rsidRPr="00E76F5B">
              <w:rPr>
                <w:rFonts w:cs="AdvOT596495f2"/>
              </w:rPr>
              <w:t xml:space="preserve">dults </w:t>
            </w:r>
            <w:r w:rsidR="005E70E9" w:rsidRPr="00E76F5B">
              <w:rPr>
                <w:rFonts w:cs="AdvOT596495f2"/>
              </w:rPr>
              <w:t xml:space="preserve">&gt; 18 </w:t>
            </w:r>
            <w:r w:rsidR="003D7F97">
              <w:rPr>
                <w:rFonts w:cs="AdvOT596495f2"/>
              </w:rPr>
              <w:t>Y</w:t>
            </w:r>
            <w:r w:rsidR="003D7F97" w:rsidRPr="00E76F5B">
              <w:rPr>
                <w:rFonts w:cs="AdvOT596495f2"/>
              </w:rPr>
              <w:t>ears</w:t>
            </w:r>
          </w:p>
        </w:tc>
      </w:tr>
      <w:tr w:rsidR="005E70E9" w:rsidTr="00A1795E">
        <w:trPr>
          <w:cnfStyle w:val="000000100000" w:firstRow="0" w:lastRow="0" w:firstColumn="0" w:lastColumn="0" w:oddVBand="0" w:evenVBand="0" w:oddHBand="1" w:evenHBand="0" w:firstRowFirstColumn="0" w:firstRowLastColumn="0" w:lastRowFirstColumn="0" w:lastRowLastColumn="0"/>
          <w:trHeight w:val="908"/>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E76F5B" w:rsidRDefault="005E70E9" w:rsidP="0023175C">
            <w:pPr>
              <w:rPr>
                <w:rFonts w:eastAsia="Times New Roman" w:cs="Times New Roman"/>
                <w:color w:val="000000"/>
              </w:rPr>
            </w:pPr>
            <w:r w:rsidRPr="00E76F5B">
              <w:rPr>
                <w:rFonts w:cs="AdvOT596495f2"/>
              </w:rPr>
              <w:t>Characteristic</w:t>
            </w:r>
          </w:p>
        </w:tc>
        <w:tc>
          <w:tcPr>
            <w:tcW w:w="1620" w:type="dxa"/>
          </w:tcPr>
          <w:p w:rsidR="005E70E9" w:rsidRPr="00324E8F" w:rsidRDefault="005E70E9" w:rsidP="0023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 xml:space="preserve">% (n) for </w:t>
            </w:r>
            <w:r>
              <w:rPr>
                <w:rFonts w:cs="AdvOT596495f2"/>
                <w:b/>
              </w:rPr>
              <w:t xml:space="preserve">Ages </w:t>
            </w:r>
            <w:r w:rsidRPr="00324E8F">
              <w:rPr>
                <w:rFonts w:cs="AdvOT596495f2"/>
                <w:b/>
              </w:rPr>
              <w:t>11-17</w:t>
            </w:r>
          </w:p>
          <w:p w:rsidR="005E70E9" w:rsidRPr="00324E8F" w:rsidRDefault="005E70E9" w:rsidP="0023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N=195</w:t>
            </w:r>
          </w:p>
        </w:tc>
        <w:tc>
          <w:tcPr>
            <w:tcW w:w="1260" w:type="dxa"/>
          </w:tcPr>
          <w:p w:rsidR="005E70E9" w:rsidRPr="00324E8F" w:rsidRDefault="005E70E9" w:rsidP="0023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Pr>
                <w:rFonts w:cs="AdvOT596495f2"/>
                <w:b/>
              </w:rPr>
              <w:t>% (n) for Ages 18+</w:t>
            </w:r>
          </w:p>
          <w:p w:rsidR="005E70E9" w:rsidRPr="00324E8F" w:rsidRDefault="005E70E9" w:rsidP="0023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N=22,311</w:t>
            </w:r>
          </w:p>
        </w:tc>
        <w:tc>
          <w:tcPr>
            <w:tcW w:w="810" w:type="dxa"/>
          </w:tcPr>
          <w:p w:rsidR="005E70E9" w:rsidRPr="00324E8F" w:rsidRDefault="005E70E9" w:rsidP="0023175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 xml:space="preserve">P-Value </w:t>
            </w:r>
          </w:p>
        </w:tc>
      </w:tr>
      <w:tr w:rsidR="005E70E9" w:rsidTr="00A1795E">
        <w:trPr>
          <w:trHeight w:val="305"/>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7E104C" w:rsidRDefault="005E70E9" w:rsidP="0023175C">
            <w:pPr>
              <w:autoSpaceDE w:val="0"/>
              <w:autoSpaceDN w:val="0"/>
              <w:adjustRightInd w:val="0"/>
              <w:rPr>
                <w:rFonts w:cs="AdvOT596495f2"/>
                <w:sz w:val="20"/>
                <w:szCs w:val="20"/>
              </w:rPr>
            </w:pPr>
            <w:r w:rsidRPr="007E104C">
              <w:rPr>
                <w:rFonts w:cs="AdvOT596495f2"/>
                <w:sz w:val="20"/>
                <w:szCs w:val="20"/>
              </w:rPr>
              <w:t xml:space="preserve">Female </w:t>
            </w:r>
          </w:p>
        </w:tc>
        <w:tc>
          <w:tcPr>
            <w:tcW w:w="162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52 (102)</w:t>
            </w:r>
          </w:p>
        </w:tc>
        <w:tc>
          <w:tcPr>
            <w:tcW w:w="126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 xml:space="preserve">38 (8461) </w:t>
            </w:r>
          </w:p>
        </w:tc>
        <w:tc>
          <w:tcPr>
            <w:tcW w:w="81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5E70E9" w:rsidTr="00A1795E">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7E104C" w:rsidRDefault="005E70E9" w:rsidP="0023175C">
            <w:pPr>
              <w:autoSpaceDE w:val="0"/>
              <w:autoSpaceDN w:val="0"/>
              <w:adjustRightInd w:val="0"/>
              <w:rPr>
                <w:rFonts w:cs="AdvOT596495f2"/>
                <w:sz w:val="20"/>
                <w:szCs w:val="20"/>
              </w:rPr>
            </w:pPr>
            <w:r w:rsidRPr="007E104C">
              <w:rPr>
                <w:rFonts w:cs="AdvOT596495f2"/>
                <w:sz w:val="20"/>
                <w:szCs w:val="20"/>
              </w:rPr>
              <w:t xml:space="preserve">Rural zip code </w:t>
            </w:r>
          </w:p>
        </w:tc>
        <w:tc>
          <w:tcPr>
            <w:tcW w:w="162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14 (27)</w:t>
            </w:r>
          </w:p>
        </w:tc>
        <w:tc>
          <w:tcPr>
            <w:tcW w:w="126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7 (1525)</w:t>
            </w:r>
          </w:p>
        </w:tc>
        <w:tc>
          <w:tcPr>
            <w:tcW w:w="81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5E70E9" w:rsidTr="00A1795E">
        <w:trPr>
          <w:trHeight w:val="242"/>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7E104C" w:rsidRDefault="005E70E9" w:rsidP="0023175C">
            <w:pPr>
              <w:autoSpaceDE w:val="0"/>
              <w:autoSpaceDN w:val="0"/>
              <w:adjustRightInd w:val="0"/>
              <w:rPr>
                <w:rFonts w:cs="AdvOT596495f2"/>
                <w:sz w:val="20"/>
                <w:szCs w:val="20"/>
              </w:rPr>
            </w:pPr>
            <w:r w:rsidRPr="007E104C">
              <w:rPr>
                <w:rFonts w:cs="AdvOT596495f2"/>
                <w:sz w:val="20"/>
                <w:szCs w:val="20"/>
              </w:rPr>
              <w:t xml:space="preserve">Enrolled in MassHealth </w:t>
            </w:r>
          </w:p>
        </w:tc>
        <w:tc>
          <w:tcPr>
            <w:tcW w:w="162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57 (111)</w:t>
            </w:r>
          </w:p>
        </w:tc>
        <w:tc>
          <w:tcPr>
            <w:tcW w:w="126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73 (16202)</w:t>
            </w:r>
          </w:p>
        </w:tc>
        <w:tc>
          <w:tcPr>
            <w:tcW w:w="81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5E70E9" w:rsidTr="00A1795E">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7E104C" w:rsidRDefault="005E70E9" w:rsidP="0023175C">
            <w:pPr>
              <w:autoSpaceDE w:val="0"/>
              <w:autoSpaceDN w:val="0"/>
              <w:adjustRightInd w:val="0"/>
              <w:rPr>
                <w:rFonts w:cs="AdvOT596495f2"/>
                <w:sz w:val="20"/>
                <w:szCs w:val="20"/>
              </w:rPr>
            </w:pPr>
            <w:r w:rsidRPr="007E104C">
              <w:rPr>
                <w:rFonts w:cs="AdvOT596495f2"/>
                <w:sz w:val="20"/>
                <w:szCs w:val="20"/>
              </w:rPr>
              <w:t xml:space="preserve">Diagnosis of Anxiety </w:t>
            </w:r>
          </w:p>
        </w:tc>
        <w:tc>
          <w:tcPr>
            <w:tcW w:w="162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13 (25)</w:t>
            </w:r>
          </w:p>
        </w:tc>
        <w:tc>
          <w:tcPr>
            <w:tcW w:w="126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19 (4251)</w:t>
            </w:r>
          </w:p>
        </w:tc>
        <w:tc>
          <w:tcPr>
            <w:tcW w:w="810" w:type="dxa"/>
          </w:tcPr>
          <w:p w:rsidR="005E70E9" w:rsidRPr="007E104C" w:rsidRDefault="005E70E9"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0.03</w:t>
            </w:r>
          </w:p>
        </w:tc>
      </w:tr>
      <w:tr w:rsidR="005E70E9" w:rsidTr="00A1795E">
        <w:trPr>
          <w:trHeight w:val="262"/>
          <w:jc w:val="center"/>
        </w:trPr>
        <w:tc>
          <w:tcPr>
            <w:cnfStyle w:val="001000000000" w:firstRow="0" w:lastRow="0" w:firstColumn="1" w:lastColumn="0" w:oddVBand="0" w:evenVBand="0" w:oddHBand="0" w:evenHBand="0" w:firstRowFirstColumn="0" w:firstRowLastColumn="0" w:lastRowFirstColumn="0" w:lastRowLastColumn="0"/>
            <w:tcW w:w="4590" w:type="dxa"/>
          </w:tcPr>
          <w:p w:rsidR="005E70E9" w:rsidRPr="007E104C" w:rsidRDefault="005E70E9" w:rsidP="0023175C">
            <w:pPr>
              <w:autoSpaceDE w:val="0"/>
              <w:autoSpaceDN w:val="0"/>
              <w:adjustRightInd w:val="0"/>
              <w:rPr>
                <w:rFonts w:cs="AdvOT596495f2"/>
                <w:sz w:val="20"/>
                <w:szCs w:val="20"/>
              </w:rPr>
            </w:pPr>
            <w:r w:rsidRPr="007E104C">
              <w:rPr>
                <w:rFonts w:cs="AdvOT596495f2"/>
                <w:sz w:val="20"/>
                <w:szCs w:val="20"/>
              </w:rPr>
              <w:t xml:space="preserve">Diagnosis of Depression </w:t>
            </w:r>
          </w:p>
        </w:tc>
        <w:tc>
          <w:tcPr>
            <w:tcW w:w="162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16 (32)</w:t>
            </w:r>
          </w:p>
        </w:tc>
        <w:tc>
          <w:tcPr>
            <w:tcW w:w="126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23 (5196)</w:t>
            </w:r>
          </w:p>
        </w:tc>
        <w:tc>
          <w:tcPr>
            <w:tcW w:w="810" w:type="dxa"/>
          </w:tcPr>
          <w:p w:rsidR="005E70E9" w:rsidRPr="007E104C" w:rsidRDefault="005E70E9"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0.02</w:t>
            </w:r>
          </w:p>
        </w:tc>
      </w:tr>
    </w:tbl>
    <w:p w:rsidR="00824A61" w:rsidRDefault="005E70E9" w:rsidP="00824A61">
      <w:pPr>
        <w:pStyle w:val="ListParagraph"/>
        <w:numPr>
          <w:ilvl w:val="0"/>
          <w:numId w:val="5"/>
        </w:numPr>
        <w:spacing w:after="120" w:line="276" w:lineRule="auto"/>
        <w:rPr>
          <w:rFonts w:eastAsia="Times New Roman" w:cs="Times New Roman"/>
          <w:color w:val="000000"/>
        </w:rPr>
      </w:pPr>
      <w:r w:rsidRPr="00903DFF">
        <w:rPr>
          <w:rFonts w:eastAsia="Times New Roman" w:cs="Times New Roman"/>
          <w:color w:val="000000"/>
        </w:rPr>
        <w:lastRenderedPageBreak/>
        <w:t xml:space="preserve">In addition, adolescents </w:t>
      </w:r>
      <w:r w:rsidRPr="0090369A">
        <w:rPr>
          <w:rFonts w:eastAsia="Times New Roman" w:cs="Times New Roman"/>
          <w:color w:val="000000"/>
        </w:rPr>
        <w:t xml:space="preserve">experiencing </w:t>
      </w:r>
      <w:r>
        <w:rPr>
          <w:rFonts w:eastAsia="Times New Roman" w:cs="Times New Roman"/>
          <w:color w:val="000000"/>
        </w:rPr>
        <w:t xml:space="preserve">a </w:t>
      </w:r>
      <w:r w:rsidRPr="0090369A">
        <w:rPr>
          <w:rFonts w:eastAsia="Times New Roman" w:cs="Times New Roman"/>
          <w:color w:val="000000"/>
        </w:rPr>
        <w:t>NFOD</w:t>
      </w:r>
      <w:r w:rsidRPr="00903DFF">
        <w:rPr>
          <w:rFonts w:eastAsia="Times New Roman" w:cs="Times New Roman"/>
          <w:color w:val="000000"/>
        </w:rPr>
        <w:t xml:space="preserve"> </w:t>
      </w:r>
      <w:r w:rsidRPr="0090369A">
        <w:rPr>
          <w:rFonts w:eastAsia="Times New Roman" w:cs="Times New Roman"/>
          <w:color w:val="000000"/>
        </w:rPr>
        <w:t>between 2012 and 2014</w:t>
      </w:r>
      <w:r>
        <w:rPr>
          <w:rFonts w:cs="AdvOT596495f2"/>
          <w:b/>
        </w:rPr>
        <w:t xml:space="preserve"> </w:t>
      </w:r>
      <w:r w:rsidRPr="00903DFF">
        <w:rPr>
          <w:rFonts w:eastAsia="Times New Roman" w:cs="Times New Roman"/>
          <w:color w:val="000000"/>
        </w:rPr>
        <w:t xml:space="preserve">were less likely to receive an opioid prescription in the 12 months preceding </w:t>
      </w:r>
      <w:r>
        <w:rPr>
          <w:rFonts w:eastAsia="Times New Roman" w:cs="Times New Roman"/>
          <w:color w:val="000000"/>
        </w:rPr>
        <w:t xml:space="preserve">the </w:t>
      </w:r>
      <w:r w:rsidRPr="00903DFF">
        <w:rPr>
          <w:rFonts w:eastAsia="Times New Roman" w:cs="Times New Roman"/>
          <w:color w:val="000000"/>
        </w:rPr>
        <w:t>NFOD (11% vs.</w:t>
      </w:r>
      <w:r w:rsidR="00F42712">
        <w:rPr>
          <w:rFonts w:eastAsia="Times New Roman" w:cs="Times New Roman"/>
          <w:color w:val="000000"/>
        </w:rPr>
        <w:t xml:space="preserve"> </w:t>
      </w:r>
      <w:r w:rsidRPr="00903DFF">
        <w:rPr>
          <w:rFonts w:eastAsia="Times New Roman" w:cs="Times New Roman"/>
          <w:color w:val="000000"/>
        </w:rPr>
        <w:t xml:space="preserve">43% of adults). In the 12 months after </w:t>
      </w:r>
      <w:r>
        <w:rPr>
          <w:rFonts w:eastAsia="Times New Roman" w:cs="Times New Roman"/>
          <w:color w:val="000000"/>
        </w:rPr>
        <w:t xml:space="preserve">a </w:t>
      </w:r>
      <w:r w:rsidRPr="00903DFF">
        <w:rPr>
          <w:rFonts w:eastAsia="Times New Roman" w:cs="Times New Roman"/>
          <w:color w:val="000000"/>
        </w:rPr>
        <w:t>NFOD, 8% (15</w:t>
      </w:r>
      <w:r>
        <w:rPr>
          <w:rFonts w:eastAsia="Times New Roman" w:cs="Times New Roman"/>
          <w:color w:val="000000"/>
        </w:rPr>
        <w:t xml:space="preserve"> of </w:t>
      </w:r>
      <w:r w:rsidRPr="00903DFF">
        <w:rPr>
          <w:rFonts w:eastAsia="Times New Roman" w:cs="Times New Roman"/>
          <w:color w:val="000000"/>
        </w:rPr>
        <w:t xml:space="preserve">195) of adolescents received any </w:t>
      </w:r>
      <w:r w:rsidR="009E1006" w:rsidRPr="008E672A">
        <w:t xml:space="preserve">medications for opioid use disorder </w:t>
      </w:r>
      <w:r w:rsidR="009E1006">
        <w:t>(</w:t>
      </w:r>
      <w:r w:rsidR="00601F0B">
        <w:rPr>
          <w:rFonts w:eastAsia="Times New Roman" w:cs="Times New Roman"/>
          <w:color w:val="000000"/>
        </w:rPr>
        <w:t>MOUD</w:t>
      </w:r>
      <w:r w:rsidR="009E1006">
        <w:rPr>
          <w:rFonts w:eastAsia="Times New Roman" w:cs="Times New Roman"/>
          <w:color w:val="000000"/>
        </w:rPr>
        <w:t>)</w:t>
      </w:r>
      <w:r w:rsidR="00601F0B">
        <w:rPr>
          <w:rFonts w:eastAsia="Times New Roman" w:cs="Times New Roman"/>
          <w:color w:val="000000"/>
        </w:rPr>
        <w:t>, compared to 29% of adults</w:t>
      </w:r>
      <w:r w:rsidR="00F42712">
        <w:rPr>
          <w:rFonts w:eastAsia="Times New Roman" w:cs="Times New Roman"/>
          <w:color w:val="000000"/>
        </w:rPr>
        <w:t>.</w:t>
      </w:r>
      <w:r w:rsidR="00DB2284" w:rsidRPr="005F44D7">
        <w:rPr>
          <w:rStyle w:val="FootnoteReference"/>
        </w:rPr>
        <w:footnoteReference w:id="45"/>
      </w:r>
    </w:p>
    <w:p w:rsidR="005607E6" w:rsidRPr="00824A61" w:rsidRDefault="005607E6" w:rsidP="00023798">
      <w:pPr>
        <w:pStyle w:val="ListParagraph"/>
        <w:ind w:left="360"/>
        <w:rPr>
          <w:rFonts w:eastAsia="Times New Roman" w:cs="Times New Roman"/>
          <w:color w:val="000000"/>
        </w:rPr>
      </w:pPr>
    </w:p>
    <w:tbl>
      <w:tblPr>
        <w:tblStyle w:val="LightShading-Accent1"/>
        <w:tblW w:w="8820" w:type="dxa"/>
        <w:jc w:val="center"/>
        <w:tblLook w:val="04A0" w:firstRow="1" w:lastRow="0" w:firstColumn="1" w:lastColumn="0" w:noHBand="0" w:noVBand="1"/>
      </w:tblPr>
      <w:tblGrid>
        <w:gridCol w:w="5220"/>
        <w:gridCol w:w="1440"/>
        <w:gridCol w:w="1260"/>
        <w:gridCol w:w="900"/>
      </w:tblGrid>
      <w:tr w:rsidR="00824A61" w:rsidTr="00A1795E">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8820" w:type="dxa"/>
            <w:gridSpan w:val="4"/>
          </w:tcPr>
          <w:p w:rsidR="00824A61" w:rsidRPr="00E76F5B" w:rsidRDefault="00824A61" w:rsidP="00F42712">
            <w:pPr>
              <w:autoSpaceDE w:val="0"/>
              <w:autoSpaceDN w:val="0"/>
              <w:adjustRightInd w:val="0"/>
              <w:rPr>
                <w:rFonts w:cs="AdvOT596495f2"/>
              </w:rPr>
            </w:pPr>
            <w:r w:rsidRPr="00E76F5B">
              <w:t xml:space="preserve">Table </w:t>
            </w:r>
            <w:r w:rsidRPr="00B102F1">
              <w:fldChar w:fldCharType="begin"/>
            </w:r>
            <w:r w:rsidRPr="00E76F5B">
              <w:instrText xml:space="preserve"> SEQ Table \* ARABIC </w:instrText>
            </w:r>
            <w:r w:rsidRPr="00B102F1">
              <w:fldChar w:fldCharType="separate"/>
            </w:r>
            <w:r w:rsidR="00FA5C39">
              <w:rPr>
                <w:noProof/>
              </w:rPr>
              <w:t>2</w:t>
            </w:r>
            <w:r w:rsidRPr="00B102F1">
              <w:fldChar w:fldCharType="end"/>
            </w:r>
            <w:r w:rsidRPr="00E76F5B">
              <w:t>.</w:t>
            </w:r>
            <w:r w:rsidRPr="00B102F1">
              <w:rPr>
                <w:rFonts w:ascii="AdvOT596495f2" w:hAnsi="AdvOT596495f2" w:cs="AdvOT596495f2"/>
                <w:sz w:val="14"/>
                <w:szCs w:val="14"/>
              </w:rPr>
              <w:t xml:space="preserve"> </w:t>
            </w:r>
            <w:r w:rsidRPr="00E76F5B">
              <w:rPr>
                <w:rFonts w:cs="AdvOT596495f2"/>
              </w:rPr>
              <w:t xml:space="preserve">Characteristics of </w:t>
            </w:r>
            <w:r w:rsidR="00F42712">
              <w:rPr>
                <w:rFonts w:cs="AdvOT596495f2"/>
              </w:rPr>
              <w:t>I</w:t>
            </w:r>
            <w:r w:rsidR="00F42712" w:rsidRPr="00E76F5B">
              <w:rPr>
                <w:rFonts w:cs="AdvOT596495f2"/>
              </w:rPr>
              <w:t xml:space="preserve">ndividuals </w:t>
            </w:r>
            <w:r w:rsidR="00F42712">
              <w:rPr>
                <w:rFonts w:cs="AdvOT596495f2"/>
              </w:rPr>
              <w:t>E</w:t>
            </w:r>
            <w:r w:rsidR="00F42712" w:rsidRPr="00E76F5B">
              <w:rPr>
                <w:rFonts w:cs="AdvOT596495f2"/>
              </w:rPr>
              <w:t xml:space="preserve">xperiencing </w:t>
            </w:r>
            <w:r w:rsidR="00F42712">
              <w:rPr>
                <w:rFonts w:cs="AdvOT596495f2"/>
              </w:rPr>
              <w:t>N</w:t>
            </w:r>
            <w:r w:rsidR="00F42712" w:rsidRPr="00E76F5B">
              <w:rPr>
                <w:rFonts w:cs="AdvOT596495f2"/>
              </w:rPr>
              <w:t>on</w:t>
            </w:r>
            <w:r w:rsidRPr="00E76F5B">
              <w:rPr>
                <w:rFonts w:cs="AdvOT596495f2"/>
              </w:rPr>
              <w:t>-</w:t>
            </w:r>
            <w:r w:rsidR="00F42712">
              <w:rPr>
                <w:rFonts w:cs="AdvOT596495f2"/>
              </w:rPr>
              <w:t>F</w:t>
            </w:r>
            <w:r w:rsidR="00F42712" w:rsidRPr="00E76F5B">
              <w:rPr>
                <w:rFonts w:cs="AdvOT596495f2"/>
              </w:rPr>
              <w:t xml:space="preserve">atal </w:t>
            </w:r>
            <w:r w:rsidR="00F42712">
              <w:rPr>
                <w:rFonts w:cs="AdvOT596495f2"/>
              </w:rPr>
              <w:t>O</w:t>
            </w:r>
            <w:r w:rsidR="00F42712" w:rsidRPr="00E76F5B">
              <w:rPr>
                <w:rFonts w:cs="AdvOT596495f2"/>
              </w:rPr>
              <w:t xml:space="preserve">pioid </w:t>
            </w:r>
            <w:r w:rsidR="00F42712">
              <w:rPr>
                <w:rFonts w:cs="AdvOT596495f2"/>
              </w:rPr>
              <w:t>O</w:t>
            </w:r>
            <w:r w:rsidR="00F42712" w:rsidRPr="00E76F5B">
              <w:rPr>
                <w:rFonts w:cs="AdvOT596495f2"/>
              </w:rPr>
              <w:t xml:space="preserve">verdose </w:t>
            </w:r>
            <w:r w:rsidRPr="00E76F5B">
              <w:rPr>
                <w:rFonts w:cs="AdvOT596495f2"/>
              </w:rPr>
              <w:t xml:space="preserve">in Massachusetts </w:t>
            </w:r>
            <w:r w:rsidR="00F42712">
              <w:rPr>
                <w:rFonts w:cs="AdvOT596495f2"/>
              </w:rPr>
              <w:t>B</w:t>
            </w:r>
            <w:r w:rsidR="00F42712" w:rsidRPr="00E76F5B">
              <w:rPr>
                <w:rFonts w:cs="AdvOT596495f2"/>
              </w:rPr>
              <w:t xml:space="preserve">etween </w:t>
            </w:r>
            <w:r w:rsidRPr="00E76F5B">
              <w:rPr>
                <w:rFonts w:cs="AdvOT596495f2"/>
              </w:rPr>
              <w:t xml:space="preserve">2012 and 2014, </w:t>
            </w:r>
            <w:r w:rsidR="00F42712">
              <w:rPr>
                <w:rFonts w:cs="AdvOT596495f2"/>
              </w:rPr>
              <w:t>A</w:t>
            </w:r>
            <w:r w:rsidR="00F42712" w:rsidRPr="00E76F5B">
              <w:rPr>
                <w:rFonts w:cs="AdvOT596495f2"/>
              </w:rPr>
              <w:t xml:space="preserve">dolescents </w:t>
            </w:r>
            <w:r w:rsidR="00F42712">
              <w:rPr>
                <w:rFonts w:cs="AdvOT596495f2"/>
              </w:rPr>
              <w:t>A</w:t>
            </w:r>
            <w:r w:rsidR="00F42712" w:rsidRPr="00E76F5B">
              <w:rPr>
                <w:rFonts w:cs="AdvOT596495f2"/>
              </w:rPr>
              <w:t xml:space="preserve">ged </w:t>
            </w:r>
            <w:r w:rsidRPr="00E76F5B">
              <w:rPr>
                <w:rFonts w:cs="AdvOT596495f2"/>
              </w:rPr>
              <w:t>11</w:t>
            </w:r>
            <w:r w:rsidRPr="00E76F5B">
              <w:rPr>
                <w:rFonts w:cs="AdvOT596495f2+20"/>
              </w:rPr>
              <w:t>–</w:t>
            </w:r>
            <w:r w:rsidRPr="00E76F5B">
              <w:rPr>
                <w:rFonts w:cs="AdvOT596495f2"/>
              </w:rPr>
              <w:t xml:space="preserve">17 </w:t>
            </w:r>
            <w:r w:rsidR="00F42712">
              <w:rPr>
                <w:rFonts w:cs="AdvOT596495f2"/>
              </w:rPr>
              <w:t>Y</w:t>
            </w:r>
            <w:r w:rsidR="00F42712" w:rsidRPr="00E76F5B">
              <w:rPr>
                <w:rFonts w:cs="AdvOT596495f2"/>
              </w:rPr>
              <w:t xml:space="preserve">ears </w:t>
            </w:r>
            <w:r w:rsidRPr="00E76F5B">
              <w:rPr>
                <w:rFonts w:cs="AdvOT596495f2"/>
              </w:rPr>
              <w:t xml:space="preserve">vs. </w:t>
            </w:r>
            <w:r w:rsidR="00F42712">
              <w:rPr>
                <w:rFonts w:cs="AdvOT596495f2"/>
              </w:rPr>
              <w:t>A</w:t>
            </w:r>
            <w:r w:rsidR="00F42712" w:rsidRPr="00E76F5B">
              <w:rPr>
                <w:rFonts w:cs="AdvOT596495f2"/>
              </w:rPr>
              <w:t xml:space="preserve">dults </w:t>
            </w:r>
            <w:r w:rsidRPr="00E76F5B">
              <w:rPr>
                <w:rFonts w:cs="AdvOT596495f2"/>
              </w:rPr>
              <w:t xml:space="preserve">&gt; 18 </w:t>
            </w:r>
            <w:r w:rsidR="00F42712">
              <w:rPr>
                <w:rFonts w:cs="AdvOT596495f2"/>
              </w:rPr>
              <w:t>Y</w:t>
            </w:r>
            <w:r w:rsidR="00F42712" w:rsidRPr="00E76F5B">
              <w:rPr>
                <w:rFonts w:cs="AdvOT596495f2"/>
              </w:rPr>
              <w:t>ears</w:t>
            </w:r>
          </w:p>
        </w:tc>
      </w:tr>
      <w:tr w:rsidR="00824A61" w:rsidTr="00A1795E">
        <w:trPr>
          <w:cnfStyle w:val="000000100000" w:firstRow="0" w:lastRow="0" w:firstColumn="0" w:lastColumn="0" w:oddVBand="0" w:evenVBand="0" w:oddHBand="1"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E76F5B" w:rsidRDefault="00824A61" w:rsidP="00DF2CB8">
            <w:pPr>
              <w:rPr>
                <w:rFonts w:eastAsia="Times New Roman" w:cs="Times New Roman"/>
                <w:color w:val="000000"/>
              </w:rPr>
            </w:pPr>
            <w:r w:rsidRPr="00E76F5B">
              <w:rPr>
                <w:rFonts w:cs="AdvOT596495f2"/>
              </w:rPr>
              <w:t>Characteristic</w:t>
            </w:r>
          </w:p>
        </w:tc>
        <w:tc>
          <w:tcPr>
            <w:tcW w:w="1440" w:type="dxa"/>
          </w:tcPr>
          <w:p w:rsidR="00824A61" w:rsidRPr="00324E8F" w:rsidRDefault="00824A61" w:rsidP="00DF2C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 xml:space="preserve">% (n) for </w:t>
            </w:r>
            <w:r>
              <w:rPr>
                <w:rFonts w:cs="AdvOT596495f2"/>
                <w:b/>
              </w:rPr>
              <w:t xml:space="preserve">Ages </w:t>
            </w:r>
            <w:r w:rsidRPr="00324E8F">
              <w:rPr>
                <w:rFonts w:cs="AdvOT596495f2"/>
                <w:b/>
              </w:rPr>
              <w:t>11-17</w:t>
            </w:r>
          </w:p>
          <w:p w:rsidR="00824A61" w:rsidRPr="00324E8F" w:rsidRDefault="00824A61" w:rsidP="00DF2C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N=195</w:t>
            </w:r>
          </w:p>
        </w:tc>
        <w:tc>
          <w:tcPr>
            <w:tcW w:w="1260" w:type="dxa"/>
          </w:tcPr>
          <w:p w:rsidR="00824A61" w:rsidRPr="00324E8F" w:rsidRDefault="00824A61" w:rsidP="00DF2C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Pr>
                <w:rFonts w:cs="AdvOT596495f2"/>
                <w:b/>
              </w:rPr>
              <w:t>% (n) for Ages 18+</w:t>
            </w:r>
          </w:p>
          <w:p w:rsidR="00824A61" w:rsidRPr="00324E8F" w:rsidRDefault="00824A61" w:rsidP="00DF2C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N=22,311</w:t>
            </w:r>
          </w:p>
        </w:tc>
        <w:tc>
          <w:tcPr>
            <w:tcW w:w="900" w:type="dxa"/>
          </w:tcPr>
          <w:p w:rsidR="00824A61" w:rsidRPr="00324E8F" w:rsidRDefault="00824A61" w:rsidP="00DF2C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dvOT596495f2"/>
                <w:b/>
              </w:rPr>
            </w:pPr>
            <w:r w:rsidRPr="00324E8F">
              <w:rPr>
                <w:rFonts w:cs="AdvOT596495f2"/>
                <w:b/>
              </w:rPr>
              <w:t xml:space="preserve">P-Value </w:t>
            </w:r>
          </w:p>
        </w:tc>
      </w:tr>
      <w:tr w:rsidR="00824A61" w:rsidTr="00A1795E">
        <w:trPr>
          <w:trHeight w:val="233"/>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Prescription for Opioids Prior 12 months</w:t>
            </w:r>
          </w:p>
        </w:tc>
        <w:tc>
          <w:tcPr>
            <w:tcW w:w="144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11 (21)</w:t>
            </w:r>
          </w:p>
        </w:tc>
        <w:tc>
          <w:tcPr>
            <w:tcW w:w="126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43 (9544)</w:t>
            </w:r>
          </w:p>
        </w:tc>
        <w:tc>
          <w:tcPr>
            <w:tcW w:w="90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 xml:space="preserve">Prescription for Benzodiazepines Prior 12 months  </w:t>
            </w:r>
          </w:p>
        </w:tc>
        <w:tc>
          <w:tcPr>
            <w:tcW w:w="144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5 (10)</w:t>
            </w:r>
          </w:p>
        </w:tc>
        <w:tc>
          <w:tcPr>
            <w:tcW w:w="126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29 (6454)</w:t>
            </w:r>
          </w:p>
        </w:tc>
        <w:tc>
          <w:tcPr>
            <w:tcW w:w="90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trHeight w:val="260"/>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Any Medication for OUD</w:t>
            </w:r>
            <w:r w:rsidRPr="007E104C">
              <w:rPr>
                <w:rFonts w:cs="AdvOT596495f2"/>
                <w:sz w:val="20"/>
                <w:szCs w:val="20"/>
                <w:vertAlign w:val="superscript"/>
              </w:rPr>
              <w:t>a</w:t>
            </w:r>
            <w:r w:rsidRPr="007E104C">
              <w:rPr>
                <w:rFonts w:cs="AdvOT596495f2"/>
                <w:sz w:val="20"/>
                <w:szCs w:val="20"/>
              </w:rPr>
              <w:t xml:space="preserve"> Prior 12 months </w:t>
            </w:r>
          </w:p>
        </w:tc>
        <w:tc>
          <w:tcPr>
            <w:tcW w:w="144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&lt;5 (&lt; 10)</w:t>
            </w:r>
          </w:p>
        </w:tc>
        <w:tc>
          <w:tcPr>
            <w:tcW w:w="126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23 (5077)</w:t>
            </w:r>
          </w:p>
        </w:tc>
        <w:tc>
          <w:tcPr>
            <w:tcW w:w="90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 xml:space="preserve">Prescription for Buprenorphine Prior 12 months </w:t>
            </w:r>
          </w:p>
        </w:tc>
        <w:tc>
          <w:tcPr>
            <w:tcW w:w="144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&lt;5 (&lt; 10)</w:t>
            </w:r>
          </w:p>
        </w:tc>
        <w:tc>
          <w:tcPr>
            <w:tcW w:w="126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11 (2548)</w:t>
            </w:r>
          </w:p>
        </w:tc>
        <w:tc>
          <w:tcPr>
            <w:tcW w:w="90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trHeight w:val="260"/>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 xml:space="preserve">Prescription for Naltrexone Prior 12 months </w:t>
            </w:r>
          </w:p>
        </w:tc>
        <w:tc>
          <w:tcPr>
            <w:tcW w:w="144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&lt;5 (&lt; 10)</w:t>
            </w:r>
          </w:p>
        </w:tc>
        <w:tc>
          <w:tcPr>
            <w:tcW w:w="126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4 (1002)</w:t>
            </w:r>
          </w:p>
        </w:tc>
        <w:tc>
          <w:tcPr>
            <w:tcW w:w="90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23175C">
            <w:pPr>
              <w:autoSpaceDE w:val="0"/>
              <w:autoSpaceDN w:val="0"/>
              <w:adjustRightInd w:val="0"/>
              <w:rPr>
                <w:rFonts w:cs="AdvOT596495f2"/>
                <w:sz w:val="20"/>
                <w:szCs w:val="20"/>
              </w:rPr>
            </w:pPr>
            <w:r w:rsidRPr="007E104C">
              <w:rPr>
                <w:rFonts w:cs="AdvOT596495f2"/>
                <w:sz w:val="20"/>
                <w:szCs w:val="20"/>
              </w:rPr>
              <w:t xml:space="preserve">Methadone Maintenance Prior 12 months </w:t>
            </w:r>
          </w:p>
        </w:tc>
        <w:tc>
          <w:tcPr>
            <w:tcW w:w="144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0 (0)</w:t>
            </w:r>
          </w:p>
        </w:tc>
        <w:tc>
          <w:tcPr>
            <w:tcW w:w="126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10 (2195)</w:t>
            </w:r>
          </w:p>
        </w:tc>
        <w:tc>
          <w:tcPr>
            <w:tcW w:w="900" w:type="dxa"/>
          </w:tcPr>
          <w:p w:rsidR="00824A61" w:rsidRPr="007E104C" w:rsidRDefault="00824A61" w:rsidP="0023175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trHeight w:val="287"/>
          <w:jc w:val="center"/>
        </w:trPr>
        <w:tc>
          <w:tcPr>
            <w:cnfStyle w:val="001000000000" w:firstRow="0" w:lastRow="0" w:firstColumn="1" w:lastColumn="0" w:oddVBand="0" w:evenVBand="0" w:oddHBand="0" w:evenHBand="0" w:firstRowFirstColumn="0" w:firstRowLastColumn="0" w:lastRowFirstColumn="0" w:lastRowLastColumn="0"/>
            <w:tcW w:w="5220" w:type="dxa"/>
          </w:tcPr>
          <w:p w:rsidR="00824A61" w:rsidRPr="007E104C" w:rsidRDefault="00824A61" w:rsidP="00601F0B">
            <w:pPr>
              <w:autoSpaceDE w:val="0"/>
              <w:autoSpaceDN w:val="0"/>
              <w:adjustRightInd w:val="0"/>
              <w:rPr>
                <w:rFonts w:cs="AdvOT596495f2"/>
                <w:sz w:val="20"/>
                <w:szCs w:val="20"/>
              </w:rPr>
            </w:pPr>
            <w:r w:rsidRPr="007E104C">
              <w:rPr>
                <w:rFonts w:cs="AdvOT596495f2"/>
                <w:sz w:val="20"/>
                <w:szCs w:val="20"/>
              </w:rPr>
              <w:t>Any Medication for OUD</w:t>
            </w:r>
            <w:r w:rsidRPr="007E104C">
              <w:rPr>
                <w:rFonts w:cs="AdvOT596495f2"/>
                <w:sz w:val="20"/>
                <w:szCs w:val="20"/>
                <w:vertAlign w:val="superscript"/>
              </w:rPr>
              <w:t>a</w:t>
            </w:r>
            <w:r w:rsidRPr="007E104C">
              <w:rPr>
                <w:rFonts w:cs="AdvOT596495f2"/>
                <w:sz w:val="20"/>
                <w:szCs w:val="20"/>
              </w:rPr>
              <w:t xml:space="preserve"> in the 12 months following </w:t>
            </w:r>
            <w:r>
              <w:rPr>
                <w:rFonts w:cs="AdvOT596495f2"/>
                <w:sz w:val="20"/>
                <w:szCs w:val="20"/>
              </w:rPr>
              <w:t>N</w:t>
            </w:r>
            <w:r w:rsidRPr="007E104C">
              <w:rPr>
                <w:rFonts w:cs="AdvOT596495f2"/>
                <w:sz w:val="20"/>
                <w:szCs w:val="20"/>
              </w:rPr>
              <w:t>FOD</w:t>
            </w:r>
            <w:r w:rsidRPr="007E104C">
              <w:rPr>
                <w:rFonts w:cs="AdvOT596495f2"/>
                <w:sz w:val="20"/>
                <w:szCs w:val="20"/>
                <w:vertAlign w:val="superscript"/>
              </w:rPr>
              <w:t xml:space="preserve">b </w:t>
            </w:r>
          </w:p>
        </w:tc>
        <w:tc>
          <w:tcPr>
            <w:tcW w:w="144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8 (15)</w:t>
            </w:r>
          </w:p>
        </w:tc>
        <w:tc>
          <w:tcPr>
            <w:tcW w:w="126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29 (6472)</w:t>
            </w:r>
          </w:p>
        </w:tc>
        <w:tc>
          <w:tcPr>
            <w:tcW w:w="900" w:type="dxa"/>
          </w:tcPr>
          <w:p w:rsidR="00824A61" w:rsidRPr="007E104C" w:rsidRDefault="00824A61" w:rsidP="0023175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7E104C">
              <w:rPr>
                <w:rFonts w:cs="AdvOT596495f2"/>
                <w:sz w:val="20"/>
                <w:szCs w:val="20"/>
              </w:rPr>
              <w:t>&lt;0.001</w:t>
            </w:r>
          </w:p>
        </w:tc>
      </w:tr>
      <w:tr w:rsidR="00824A61" w:rsidTr="00A1795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8820" w:type="dxa"/>
            <w:gridSpan w:val="4"/>
          </w:tcPr>
          <w:p w:rsidR="00824A61" w:rsidRPr="00601F0B" w:rsidRDefault="00824A61" w:rsidP="0023175C">
            <w:pPr>
              <w:autoSpaceDE w:val="0"/>
              <w:autoSpaceDN w:val="0"/>
              <w:adjustRightInd w:val="0"/>
              <w:rPr>
                <w:rFonts w:cs="AdvOT596495f2"/>
                <w:sz w:val="16"/>
                <w:szCs w:val="16"/>
                <w:vertAlign w:val="superscript"/>
              </w:rPr>
            </w:pPr>
            <w:r w:rsidRPr="00601F0B">
              <w:rPr>
                <w:rFonts w:cs="AdvOT596495f2"/>
                <w:sz w:val="16"/>
                <w:szCs w:val="16"/>
                <w:vertAlign w:val="superscript"/>
              </w:rPr>
              <w:t xml:space="preserve">a </w:t>
            </w:r>
            <w:r w:rsidRPr="00601F0B">
              <w:rPr>
                <w:rFonts w:cs="AdvOT596495f2"/>
                <w:sz w:val="16"/>
                <w:szCs w:val="16"/>
              </w:rPr>
              <w:t>OUD: Opioid Use Disorder</w:t>
            </w:r>
          </w:p>
          <w:p w:rsidR="00824A61" w:rsidRPr="00601F0B" w:rsidRDefault="00824A61" w:rsidP="0023175C">
            <w:pPr>
              <w:autoSpaceDE w:val="0"/>
              <w:autoSpaceDN w:val="0"/>
              <w:adjustRightInd w:val="0"/>
              <w:rPr>
                <w:rFonts w:eastAsia="Times New Roman" w:cs="Times New Roman"/>
                <w:color w:val="000000"/>
                <w:sz w:val="16"/>
                <w:szCs w:val="16"/>
                <w:vertAlign w:val="superscript"/>
              </w:rPr>
            </w:pPr>
            <w:r w:rsidRPr="00601F0B">
              <w:rPr>
                <w:rFonts w:cs="AdvOT596495f2"/>
                <w:sz w:val="16"/>
                <w:szCs w:val="16"/>
                <w:vertAlign w:val="superscript"/>
              </w:rPr>
              <w:t xml:space="preserve">b </w:t>
            </w:r>
            <w:r w:rsidRPr="00601F0B">
              <w:rPr>
                <w:rFonts w:cs="AdvOT596495f2"/>
                <w:sz w:val="16"/>
                <w:szCs w:val="16"/>
              </w:rPr>
              <w:t>NFOD: Non-Fatal Overdose</w:t>
            </w:r>
          </w:p>
        </w:tc>
      </w:tr>
    </w:tbl>
    <w:p w:rsidR="005E70E9" w:rsidRDefault="005E70E9" w:rsidP="005E70E9">
      <w:pPr>
        <w:rPr>
          <w:rFonts w:cs="Times New Roman"/>
          <w:sz w:val="8"/>
          <w:szCs w:val="8"/>
        </w:rPr>
      </w:pPr>
    </w:p>
    <w:p w:rsidR="005E70E9" w:rsidRPr="0090369A" w:rsidRDefault="005E70E9" w:rsidP="005E70E9">
      <w:pPr>
        <w:rPr>
          <w:rFonts w:cs="Times New Roman"/>
          <w:sz w:val="8"/>
          <w:szCs w:val="8"/>
        </w:rPr>
      </w:pPr>
    </w:p>
    <w:p w:rsidR="00824FA5" w:rsidRPr="007E07D0" w:rsidRDefault="00824FA5" w:rsidP="00824FA5">
      <w:pPr>
        <w:rPr>
          <w:rFonts w:eastAsia="Times New Roman" w:cs="Times New Roman"/>
          <w:color w:val="000000"/>
        </w:rPr>
      </w:pPr>
    </w:p>
    <w:p w:rsidR="007E07D0" w:rsidRDefault="007E07D0" w:rsidP="004B7BB9">
      <w:pPr>
        <w:pStyle w:val="ListParagraph"/>
        <w:numPr>
          <w:ilvl w:val="0"/>
          <w:numId w:val="5"/>
        </w:numPr>
        <w:spacing w:after="120" w:line="276" w:lineRule="auto"/>
        <w:rPr>
          <w:rFonts w:eastAsia="Times New Roman" w:cs="Times New Roman"/>
          <w:color w:val="000000"/>
        </w:rPr>
      </w:pPr>
      <w:r w:rsidRPr="007E07D0">
        <w:rPr>
          <w:rFonts w:eastAsia="Times New Roman" w:cs="Times New Roman"/>
          <w:color w:val="000000"/>
        </w:rPr>
        <w:t xml:space="preserve">Analysis shows that 18-21 year olds were the least likely to receive any MOUD overall and less likely to receive methadone or buprenorphine, specifically, in the 12 months following nonfatal </w:t>
      </w:r>
      <w:r w:rsidR="009D3806">
        <w:rPr>
          <w:rFonts w:eastAsia="Times New Roman" w:cs="Times New Roman"/>
          <w:color w:val="000000"/>
        </w:rPr>
        <w:t xml:space="preserve">opioid </w:t>
      </w:r>
      <w:r w:rsidRPr="007E07D0">
        <w:rPr>
          <w:rFonts w:eastAsia="Times New Roman" w:cs="Times New Roman"/>
          <w:color w:val="000000"/>
        </w:rPr>
        <w:t xml:space="preserve">overdose. They were the most likely </w:t>
      </w:r>
      <w:r w:rsidRPr="005F4E48">
        <w:rPr>
          <w:rFonts w:eastAsia="Times New Roman" w:cs="Times New Roman"/>
          <w:color w:val="000000"/>
        </w:rPr>
        <w:t xml:space="preserve">to receive </w:t>
      </w:r>
      <w:r w:rsidRPr="00F508E7">
        <w:rPr>
          <w:rFonts w:eastAsia="Times New Roman" w:cs="Times New Roman"/>
          <w:color w:val="000000"/>
        </w:rPr>
        <w:t>naltrexone</w:t>
      </w:r>
      <w:r w:rsidR="00284C44">
        <w:rPr>
          <w:rFonts w:eastAsia="Times New Roman" w:cs="Times New Roman"/>
          <w:color w:val="000000"/>
        </w:rPr>
        <w:t xml:space="preserve"> </w:t>
      </w:r>
      <w:r w:rsidR="00284C44">
        <w:rPr>
          <w:rFonts w:cs="Times New Roman"/>
        </w:rPr>
        <w:t xml:space="preserve">(Figure </w:t>
      </w:r>
      <w:r w:rsidR="00042910">
        <w:rPr>
          <w:rFonts w:cs="Times New Roman"/>
        </w:rPr>
        <w:t>2</w:t>
      </w:r>
      <w:r w:rsidR="00A06D2B">
        <w:rPr>
          <w:rFonts w:cs="Times New Roman"/>
        </w:rPr>
        <w:t>8</w:t>
      </w:r>
      <w:r w:rsidR="00284C44">
        <w:rPr>
          <w:rFonts w:cs="Times New Roman"/>
        </w:rPr>
        <w:t>).</w:t>
      </w:r>
      <w:r w:rsidR="00284C44" w:rsidRPr="00C46DCC">
        <w:rPr>
          <w:rFonts w:cs="Times New Roman"/>
        </w:rPr>
        <w:t xml:space="preserve"> </w:t>
      </w:r>
      <w:r w:rsidR="005F4E48" w:rsidRPr="005F4E48">
        <w:rPr>
          <w:rFonts w:eastAsia="Times New Roman" w:cs="Times New Roman"/>
          <w:color w:val="000000"/>
        </w:rPr>
        <w:t xml:space="preserve"> </w:t>
      </w:r>
    </w:p>
    <w:p w:rsidR="006F6064" w:rsidRPr="005607E6" w:rsidRDefault="006F6064" w:rsidP="006F6064">
      <w:pPr>
        <w:ind w:left="360"/>
        <w:rPr>
          <w:rFonts w:cs="Arial"/>
          <w:b/>
          <w:sz w:val="8"/>
          <w:szCs w:val="8"/>
        </w:rPr>
      </w:pPr>
    </w:p>
    <w:p w:rsidR="006F6064" w:rsidRPr="00B10267" w:rsidRDefault="00B10267" w:rsidP="00480A9B">
      <w:pPr>
        <w:pStyle w:val="Caption"/>
        <w:ind w:left="720"/>
        <w:rPr>
          <w:rFonts w:cs="Arial"/>
          <w:b w:val="0"/>
          <w:color w:val="auto"/>
          <w:sz w:val="22"/>
          <w:szCs w:val="22"/>
        </w:rPr>
      </w:pPr>
      <w:r w:rsidRPr="00B10267">
        <w:rPr>
          <w:color w:val="auto"/>
          <w:sz w:val="22"/>
          <w:szCs w:val="22"/>
        </w:rPr>
        <w:t xml:space="preserve">Figure </w:t>
      </w:r>
      <w:r w:rsidRPr="00B10267">
        <w:rPr>
          <w:color w:val="auto"/>
          <w:sz w:val="22"/>
          <w:szCs w:val="22"/>
        </w:rPr>
        <w:fldChar w:fldCharType="begin"/>
      </w:r>
      <w:r w:rsidRPr="00B10267">
        <w:rPr>
          <w:color w:val="auto"/>
          <w:sz w:val="22"/>
          <w:szCs w:val="22"/>
        </w:rPr>
        <w:instrText xml:space="preserve"> SEQ Figure \* ARABIC </w:instrText>
      </w:r>
      <w:r w:rsidRPr="00B10267">
        <w:rPr>
          <w:color w:val="auto"/>
          <w:sz w:val="22"/>
          <w:szCs w:val="22"/>
        </w:rPr>
        <w:fldChar w:fldCharType="separate"/>
      </w:r>
      <w:r w:rsidR="002B3BC3">
        <w:rPr>
          <w:noProof/>
          <w:color w:val="auto"/>
          <w:sz w:val="22"/>
          <w:szCs w:val="22"/>
        </w:rPr>
        <w:t>28</w:t>
      </w:r>
      <w:r w:rsidRPr="00B10267">
        <w:rPr>
          <w:color w:val="auto"/>
          <w:sz w:val="22"/>
          <w:szCs w:val="22"/>
        </w:rPr>
        <w:fldChar w:fldCharType="end"/>
      </w:r>
      <w:r w:rsidRPr="00B10267">
        <w:rPr>
          <w:color w:val="auto"/>
          <w:sz w:val="22"/>
          <w:szCs w:val="22"/>
        </w:rPr>
        <w:t xml:space="preserve">. </w:t>
      </w:r>
      <w:r w:rsidR="006F6064" w:rsidRPr="00B10267">
        <w:rPr>
          <w:rFonts w:cs="Arial"/>
          <w:color w:val="auto"/>
          <w:sz w:val="22"/>
          <w:szCs w:val="22"/>
        </w:rPr>
        <w:t xml:space="preserve">Receipt of </w:t>
      </w:r>
      <w:r w:rsidR="008171B1">
        <w:rPr>
          <w:rFonts w:cs="Arial"/>
          <w:color w:val="auto"/>
          <w:sz w:val="22"/>
          <w:szCs w:val="22"/>
        </w:rPr>
        <w:t>M</w:t>
      </w:r>
      <w:r w:rsidR="008171B1" w:rsidRPr="00B10267">
        <w:rPr>
          <w:rFonts w:cs="Arial"/>
          <w:color w:val="auto"/>
          <w:sz w:val="22"/>
          <w:szCs w:val="22"/>
        </w:rPr>
        <w:t xml:space="preserve">edication </w:t>
      </w:r>
      <w:r w:rsidR="008171B1">
        <w:rPr>
          <w:rFonts w:cs="Arial"/>
          <w:color w:val="auto"/>
          <w:sz w:val="22"/>
          <w:szCs w:val="22"/>
        </w:rPr>
        <w:t>T</w:t>
      </w:r>
      <w:r w:rsidR="008171B1" w:rsidRPr="00B10267">
        <w:rPr>
          <w:rFonts w:cs="Arial"/>
          <w:color w:val="auto"/>
          <w:sz w:val="22"/>
          <w:szCs w:val="22"/>
        </w:rPr>
        <w:t xml:space="preserve">reatment </w:t>
      </w:r>
      <w:r w:rsidR="006F6064" w:rsidRPr="00B10267">
        <w:rPr>
          <w:rFonts w:cs="Arial"/>
          <w:color w:val="auto"/>
          <w:sz w:val="22"/>
          <w:szCs w:val="22"/>
        </w:rPr>
        <w:t xml:space="preserve">in 12 </w:t>
      </w:r>
      <w:r w:rsidR="00AB2754">
        <w:rPr>
          <w:rFonts w:cs="Arial"/>
          <w:color w:val="auto"/>
          <w:sz w:val="22"/>
          <w:szCs w:val="22"/>
        </w:rPr>
        <w:t>M</w:t>
      </w:r>
      <w:r w:rsidR="00AB2754" w:rsidRPr="00B10267">
        <w:rPr>
          <w:rFonts w:cs="Arial"/>
          <w:color w:val="auto"/>
          <w:sz w:val="22"/>
          <w:szCs w:val="22"/>
        </w:rPr>
        <w:t xml:space="preserve">onths </w:t>
      </w:r>
      <w:r w:rsidR="008171B1">
        <w:rPr>
          <w:rFonts w:cs="Arial"/>
          <w:color w:val="auto"/>
          <w:sz w:val="22"/>
          <w:szCs w:val="22"/>
        </w:rPr>
        <w:t>F</w:t>
      </w:r>
      <w:r w:rsidR="008171B1" w:rsidRPr="00B10267">
        <w:rPr>
          <w:rFonts w:cs="Arial"/>
          <w:color w:val="auto"/>
          <w:sz w:val="22"/>
          <w:szCs w:val="22"/>
        </w:rPr>
        <w:t xml:space="preserve">ollowing </w:t>
      </w:r>
      <w:r w:rsidR="006F6064" w:rsidRPr="00B10267">
        <w:rPr>
          <w:rFonts w:cs="Arial"/>
          <w:color w:val="auto"/>
          <w:sz w:val="22"/>
          <w:szCs w:val="22"/>
        </w:rPr>
        <w:t xml:space="preserve">a </w:t>
      </w:r>
      <w:r w:rsidR="008171B1">
        <w:rPr>
          <w:rFonts w:cs="Arial"/>
          <w:color w:val="auto"/>
          <w:sz w:val="22"/>
          <w:szCs w:val="22"/>
        </w:rPr>
        <w:t>N</w:t>
      </w:r>
      <w:r w:rsidR="008171B1" w:rsidRPr="00B10267">
        <w:rPr>
          <w:rFonts w:cs="Arial"/>
          <w:color w:val="auto"/>
          <w:sz w:val="22"/>
          <w:szCs w:val="22"/>
        </w:rPr>
        <w:t>on</w:t>
      </w:r>
      <w:r w:rsidR="00AB2754">
        <w:rPr>
          <w:rFonts w:cs="Arial"/>
          <w:color w:val="auto"/>
          <w:sz w:val="22"/>
          <w:szCs w:val="22"/>
        </w:rPr>
        <w:t>-F</w:t>
      </w:r>
      <w:r w:rsidR="008171B1" w:rsidRPr="00B10267">
        <w:rPr>
          <w:rFonts w:cs="Arial"/>
          <w:color w:val="auto"/>
          <w:sz w:val="22"/>
          <w:szCs w:val="22"/>
        </w:rPr>
        <w:t xml:space="preserve">atal </w:t>
      </w:r>
      <w:r w:rsidR="008171B1">
        <w:rPr>
          <w:rFonts w:cs="Arial"/>
          <w:color w:val="auto"/>
          <w:sz w:val="22"/>
          <w:szCs w:val="22"/>
        </w:rPr>
        <w:t>O</w:t>
      </w:r>
      <w:r w:rsidR="008171B1" w:rsidRPr="00B10267">
        <w:rPr>
          <w:rFonts w:cs="Arial"/>
          <w:color w:val="auto"/>
          <w:sz w:val="22"/>
          <w:szCs w:val="22"/>
        </w:rPr>
        <w:t xml:space="preserve">verdose </w:t>
      </w:r>
      <w:r w:rsidR="008171B1">
        <w:rPr>
          <w:rFonts w:cs="Arial"/>
          <w:color w:val="auto"/>
          <w:sz w:val="22"/>
          <w:szCs w:val="22"/>
        </w:rPr>
        <w:t>S</w:t>
      </w:r>
      <w:r w:rsidR="008171B1" w:rsidRPr="00B10267">
        <w:rPr>
          <w:rFonts w:cs="Arial"/>
          <w:color w:val="auto"/>
          <w:sz w:val="22"/>
          <w:szCs w:val="22"/>
        </w:rPr>
        <w:t xml:space="preserve">tratified </w:t>
      </w:r>
      <w:r w:rsidR="006F6064" w:rsidRPr="00B10267">
        <w:rPr>
          <w:rFonts w:cs="Arial"/>
          <w:color w:val="auto"/>
          <w:sz w:val="22"/>
          <w:szCs w:val="22"/>
        </w:rPr>
        <w:t xml:space="preserve">by </w:t>
      </w:r>
      <w:r w:rsidR="008171B1">
        <w:rPr>
          <w:rFonts w:cs="Arial"/>
          <w:color w:val="auto"/>
          <w:sz w:val="22"/>
          <w:szCs w:val="22"/>
        </w:rPr>
        <w:t>A</w:t>
      </w:r>
      <w:r w:rsidR="008171B1" w:rsidRPr="00B10267">
        <w:rPr>
          <w:rFonts w:cs="Arial"/>
          <w:color w:val="auto"/>
          <w:sz w:val="22"/>
          <w:szCs w:val="22"/>
        </w:rPr>
        <w:t xml:space="preserve">ge </w:t>
      </w:r>
      <w:r w:rsidR="008171B1">
        <w:rPr>
          <w:rFonts w:cs="Arial"/>
          <w:color w:val="auto"/>
          <w:sz w:val="22"/>
          <w:szCs w:val="22"/>
        </w:rPr>
        <w:t>G</w:t>
      </w:r>
      <w:r w:rsidR="008171B1" w:rsidRPr="00B10267">
        <w:rPr>
          <w:rFonts w:cs="Arial"/>
          <w:color w:val="auto"/>
          <w:sz w:val="22"/>
          <w:szCs w:val="22"/>
        </w:rPr>
        <w:t>roups</w:t>
      </w:r>
      <w:r w:rsidR="00E741AD">
        <w:rPr>
          <w:rFonts w:cs="Arial"/>
          <w:color w:val="auto"/>
          <w:sz w:val="22"/>
          <w:szCs w:val="22"/>
        </w:rPr>
        <w:t>,</w:t>
      </w:r>
      <w:r w:rsidR="008171B1">
        <w:rPr>
          <w:rFonts w:cs="Arial"/>
          <w:color w:val="auto"/>
          <w:sz w:val="22"/>
          <w:szCs w:val="22"/>
        </w:rPr>
        <w:t xml:space="preserve"> MA: </w:t>
      </w:r>
      <w:r w:rsidR="00E741AD">
        <w:rPr>
          <w:rFonts w:cs="Arial"/>
          <w:color w:val="auto"/>
          <w:sz w:val="22"/>
          <w:szCs w:val="22"/>
        </w:rPr>
        <w:t xml:space="preserve"> 2012-2014</w:t>
      </w:r>
    </w:p>
    <w:p w:rsidR="006F6064" w:rsidRPr="006F6064" w:rsidRDefault="00790D79" w:rsidP="00425BFC">
      <w:pPr>
        <w:spacing w:after="120" w:line="276" w:lineRule="auto"/>
        <w:ind w:left="360"/>
        <w:rPr>
          <w:rFonts w:eastAsia="Times New Roman" w:cs="Times New Roman"/>
          <w:color w:val="000000"/>
        </w:rPr>
      </w:pPr>
      <w:r>
        <w:rPr>
          <w:noProof/>
        </w:rPr>
        <w:drawing>
          <wp:inline distT="0" distB="0" distL="0" distR="0" wp14:anchorId="46C1B044" wp14:editId="0F9400EA">
            <wp:extent cx="5943600" cy="2672080"/>
            <wp:effectExtent l="0" t="0" r="0" b="0"/>
            <wp:docPr id="38" name="Chart 38">
              <a:extLst xmlns:a="http://schemas.openxmlformats.org/drawingml/2006/main">
                <a:ext uri="{FF2B5EF4-FFF2-40B4-BE49-F238E27FC236}">
                  <a16:creationId xmlns:xdr="http://schemas.openxmlformats.org/drawingml/2006/spreadsheetDrawing"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lc="http://schemas.openxmlformats.org/drawingml/2006/lockedCanvas" id="{E79C43F7-9AF6-AA41-8034-45DE7104B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E70E9" w:rsidRPr="00824A61" w:rsidRDefault="005E70E9" w:rsidP="00480A9B">
      <w:pPr>
        <w:pStyle w:val="ListParagraph"/>
        <w:numPr>
          <w:ilvl w:val="0"/>
          <w:numId w:val="5"/>
        </w:numPr>
        <w:rPr>
          <w:rFonts w:cs="Times New Roman"/>
        </w:rPr>
      </w:pPr>
      <w:r w:rsidRPr="002408C5">
        <w:rPr>
          <w:rFonts w:eastAsia="Times New Roman" w:cs="Times New Roman"/>
          <w:color w:val="000000"/>
        </w:rPr>
        <w:lastRenderedPageBreak/>
        <w:t>Compared with wom</w:t>
      </w:r>
      <w:r>
        <w:rPr>
          <w:rFonts w:eastAsia="Times New Roman" w:cs="Times New Roman"/>
          <w:color w:val="000000"/>
        </w:rPr>
        <w:t xml:space="preserve">en with </w:t>
      </w:r>
      <w:r w:rsidRPr="002408C5">
        <w:rPr>
          <w:rFonts w:eastAsia="Times New Roman" w:cs="Times New Roman"/>
          <w:color w:val="000000"/>
        </w:rPr>
        <w:t xml:space="preserve">evidence of OUD who had no </w:t>
      </w:r>
      <w:r w:rsidR="009A1493">
        <w:rPr>
          <w:rFonts w:eastAsia="Times New Roman" w:cs="Times New Roman"/>
          <w:color w:val="000000"/>
        </w:rPr>
        <w:t>opioid overdose</w:t>
      </w:r>
      <w:r w:rsidRPr="002408C5">
        <w:rPr>
          <w:rFonts w:eastAsia="Times New Roman" w:cs="Times New Roman"/>
          <w:color w:val="000000"/>
        </w:rPr>
        <w:t xml:space="preserve"> events and</w:t>
      </w:r>
      <w:r>
        <w:rPr>
          <w:rFonts w:eastAsia="Times New Roman" w:cs="Times New Roman"/>
          <w:color w:val="000000"/>
        </w:rPr>
        <w:t xml:space="preserve"> </w:t>
      </w:r>
      <w:r w:rsidRPr="002408C5">
        <w:rPr>
          <w:rFonts w:eastAsia="Times New Roman" w:cs="Times New Roman"/>
          <w:color w:val="000000"/>
        </w:rPr>
        <w:t xml:space="preserve">all women who delivered a </w:t>
      </w:r>
      <w:r>
        <w:rPr>
          <w:rFonts w:eastAsia="Times New Roman" w:cs="Times New Roman"/>
          <w:color w:val="000000"/>
        </w:rPr>
        <w:t>live birth</w:t>
      </w:r>
      <w:r w:rsidRPr="002408C5">
        <w:rPr>
          <w:rFonts w:eastAsia="Times New Roman" w:cs="Times New Roman"/>
          <w:color w:val="000000"/>
        </w:rPr>
        <w:t>,</w:t>
      </w:r>
      <w:r>
        <w:rPr>
          <w:rFonts w:eastAsia="Times New Roman" w:cs="Times New Roman"/>
          <w:color w:val="000000"/>
        </w:rPr>
        <w:t xml:space="preserve"> </w:t>
      </w:r>
      <w:r w:rsidRPr="002408C5">
        <w:rPr>
          <w:rFonts w:eastAsia="Times New Roman" w:cs="Times New Roman"/>
          <w:color w:val="000000"/>
        </w:rPr>
        <w:t xml:space="preserve">women with an </w:t>
      </w:r>
      <w:r w:rsidR="009A1493">
        <w:rPr>
          <w:rFonts w:eastAsia="Times New Roman" w:cs="Times New Roman"/>
          <w:color w:val="000000"/>
        </w:rPr>
        <w:t>opioid overdose</w:t>
      </w:r>
      <w:r w:rsidRPr="002408C5">
        <w:rPr>
          <w:rFonts w:eastAsia="Times New Roman" w:cs="Times New Roman"/>
          <w:color w:val="000000"/>
        </w:rPr>
        <w:t xml:space="preserve"> event</w:t>
      </w:r>
      <w:r>
        <w:rPr>
          <w:rFonts w:eastAsia="Times New Roman" w:cs="Times New Roman"/>
          <w:color w:val="000000"/>
        </w:rPr>
        <w:t xml:space="preserve"> were more likely to be younger: 30%</w:t>
      </w:r>
      <w:r w:rsidRPr="002408C5">
        <w:rPr>
          <w:rFonts w:eastAsia="Times New Roman" w:cs="Times New Roman"/>
          <w:color w:val="000000"/>
        </w:rPr>
        <w:t xml:space="preserve"> of women with an </w:t>
      </w:r>
      <w:r w:rsidR="009A1493">
        <w:rPr>
          <w:rFonts w:eastAsia="Times New Roman" w:cs="Times New Roman"/>
          <w:color w:val="000000"/>
        </w:rPr>
        <w:t>opioid overdose</w:t>
      </w:r>
      <w:r w:rsidRPr="002408C5">
        <w:rPr>
          <w:rFonts w:eastAsia="Times New Roman" w:cs="Times New Roman"/>
          <w:color w:val="000000"/>
        </w:rPr>
        <w:t xml:space="preserve"> event </w:t>
      </w:r>
      <w:r>
        <w:rPr>
          <w:rFonts w:eastAsia="Times New Roman" w:cs="Times New Roman"/>
          <w:color w:val="000000"/>
        </w:rPr>
        <w:t>were ages 24 and under</w:t>
      </w:r>
      <w:r w:rsidRPr="002408C5">
        <w:rPr>
          <w:rFonts w:eastAsia="Times New Roman" w:cs="Times New Roman"/>
          <w:color w:val="000000"/>
        </w:rPr>
        <w:t xml:space="preserve"> compared with </w:t>
      </w:r>
      <w:r>
        <w:rPr>
          <w:rFonts w:eastAsia="Times New Roman" w:cs="Times New Roman"/>
          <w:color w:val="000000"/>
        </w:rPr>
        <w:t>21</w:t>
      </w:r>
      <w:r w:rsidRPr="002408C5">
        <w:rPr>
          <w:rFonts w:eastAsia="Times New Roman" w:cs="Times New Roman"/>
          <w:color w:val="000000"/>
        </w:rPr>
        <w:t xml:space="preserve">% of women with OUD but no </w:t>
      </w:r>
      <w:r w:rsidR="009A1493">
        <w:rPr>
          <w:rFonts w:eastAsia="Times New Roman" w:cs="Times New Roman"/>
          <w:color w:val="000000"/>
        </w:rPr>
        <w:t>opioid overdose</w:t>
      </w:r>
      <w:r w:rsidRPr="002408C5">
        <w:rPr>
          <w:rFonts w:eastAsia="Times New Roman" w:cs="Times New Roman"/>
          <w:color w:val="000000"/>
        </w:rPr>
        <w:t xml:space="preserve"> and </w:t>
      </w:r>
      <w:r>
        <w:rPr>
          <w:rFonts w:eastAsia="Times New Roman" w:cs="Times New Roman"/>
          <w:color w:val="000000"/>
        </w:rPr>
        <w:t>16</w:t>
      </w:r>
      <w:r w:rsidRPr="002408C5">
        <w:rPr>
          <w:rFonts w:eastAsia="Times New Roman" w:cs="Times New Roman"/>
          <w:color w:val="000000"/>
        </w:rPr>
        <w:t>% of women who delivered a live</w:t>
      </w:r>
      <w:r>
        <w:rPr>
          <w:rFonts w:eastAsia="Times New Roman" w:cs="Times New Roman"/>
          <w:color w:val="000000"/>
        </w:rPr>
        <w:t xml:space="preserve"> birth </w:t>
      </w:r>
      <w:r w:rsidRPr="002408C5">
        <w:rPr>
          <w:rFonts w:eastAsia="Times New Roman" w:cs="Times New Roman"/>
          <w:color w:val="000000"/>
        </w:rPr>
        <w:t>without OUD</w:t>
      </w:r>
      <w:r w:rsidR="00AB2754">
        <w:rPr>
          <w:rFonts w:eastAsia="Times New Roman" w:cs="Times New Roman"/>
          <w:color w:val="000000"/>
        </w:rPr>
        <w:t>.</w:t>
      </w:r>
      <w:r w:rsidR="00A345A8" w:rsidRPr="005F44D7">
        <w:rPr>
          <w:rStyle w:val="FootnoteReference"/>
        </w:rPr>
        <w:footnoteReference w:id="46"/>
      </w:r>
    </w:p>
    <w:p w:rsidR="00A345A8" w:rsidRPr="00B00E4D" w:rsidRDefault="00A345A8" w:rsidP="00AB2754">
      <w:pPr>
        <w:rPr>
          <w:rFonts w:cs="Times New Roman"/>
        </w:rPr>
      </w:pPr>
    </w:p>
    <w:p w:rsidR="005E70E9" w:rsidRPr="007B0FD5" w:rsidRDefault="00493E96" w:rsidP="00480A9B">
      <w:pPr>
        <w:pStyle w:val="ListParagraph"/>
        <w:numPr>
          <w:ilvl w:val="0"/>
          <w:numId w:val="5"/>
        </w:numPr>
        <w:rPr>
          <w:rFonts w:cs="Times New Roman"/>
        </w:rPr>
      </w:pPr>
      <w:r w:rsidRPr="00B9530A">
        <w:t>Inpatient treatment for substance use disorders has been standa</w:t>
      </w:r>
      <w:r>
        <w:t xml:space="preserve">rdized as a succession of steps—or “cascade” -- </w:t>
      </w:r>
      <w:r w:rsidRPr="00B9530A">
        <w:t>from acute detoxification to long‐ term residential</w:t>
      </w:r>
      <w:r>
        <w:t xml:space="preserve"> care</w:t>
      </w:r>
      <w:r w:rsidR="00F502D6" w:rsidRPr="00692B54">
        <w:t>.</w:t>
      </w:r>
      <w:r w:rsidR="00F502D6">
        <w:t> </w:t>
      </w:r>
      <w:r w:rsidR="005E70E9" w:rsidRPr="00C761B4">
        <w:t xml:space="preserve">Populations along the inpatient cascade of care at higher </w:t>
      </w:r>
      <w:r w:rsidR="00EC588C">
        <w:t xml:space="preserve">opioid </w:t>
      </w:r>
      <w:r w:rsidR="005E70E9" w:rsidRPr="00C761B4">
        <w:t xml:space="preserve">overdose risk included emerging adults </w:t>
      </w:r>
      <w:r w:rsidR="005E70E9">
        <w:t>aged 18 to 29</w:t>
      </w:r>
      <w:r w:rsidR="005E70E9" w:rsidRPr="00C761B4">
        <w:t xml:space="preserve"> (11.0 overdoses per 100 person-years</w:t>
      </w:r>
      <w:r w:rsidR="009428C8">
        <w:t>).</w:t>
      </w:r>
    </w:p>
    <w:p w:rsidR="00A345A8" w:rsidRPr="00B00E4D" w:rsidRDefault="00A345A8" w:rsidP="00AB2754">
      <w:pPr>
        <w:rPr>
          <w:rFonts w:cs="Times New Roman"/>
        </w:rPr>
      </w:pPr>
    </w:p>
    <w:p w:rsidR="00B00E4D" w:rsidRPr="006F0C1F" w:rsidRDefault="005E70E9" w:rsidP="00480A9B">
      <w:pPr>
        <w:pStyle w:val="ListParagraph"/>
        <w:numPr>
          <w:ilvl w:val="0"/>
          <w:numId w:val="5"/>
        </w:numPr>
      </w:pPr>
      <w:r w:rsidRPr="00E74C7F">
        <w:rPr>
          <w:rFonts w:cs="Times New Roman"/>
        </w:rPr>
        <w:t>The rate of any potentially inappropriate prescribing (PIP)</w:t>
      </w:r>
      <w:r>
        <w:rPr>
          <w:rFonts w:cs="Times New Roman"/>
        </w:rPr>
        <w:t xml:space="preserve"> increased with age, from 2% of </w:t>
      </w:r>
      <w:r w:rsidR="00824FA5">
        <w:rPr>
          <w:rFonts w:cs="Times New Roman"/>
        </w:rPr>
        <w:t xml:space="preserve">individuals </w:t>
      </w:r>
      <w:r w:rsidRPr="00E74C7F">
        <w:rPr>
          <w:rFonts w:cs="Times New Roman"/>
        </w:rPr>
        <w:t>ages 18 to 29 to 14% of those aged 50 and older</w:t>
      </w:r>
      <w:r w:rsidR="00A345A8" w:rsidRPr="005F44D7">
        <w:rPr>
          <w:rStyle w:val="FootnoteReference"/>
        </w:rPr>
        <w:footnoteReference w:id="47"/>
      </w:r>
      <w:r w:rsidR="00284C44">
        <w:rPr>
          <w:rFonts w:cs="Times New Roman"/>
        </w:rPr>
        <w:t xml:space="preserve"> (Figure </w:t>
      </w:r>
      <w:r w:rsidR="00A06D2B">
        <w:rPr>
          <w:rFonts w:cs="Times New Roman"/>
        </w:rPr>
        <w:t>29</w:t>
      </w:r>
      <w:r w:rsidR="00284C44">
        <w:rPr>
          <w:rFonts w:cs="Times New Roman"/>
        </w:rPr>
        <w:t>).</w:t>
      </w:r>
    </w:p>
    <w:p w:rsidR="005F4E48" w:rsidRPr="00A345A8" w:rsidRDefault="005F4E48" w:rsidP="003575CB">
      <w:pPr>
        <w:rPr>
          <w:rFonts w:cs="Times New Roman"/>
          <w:sz w:val="8"/>
          <w:szCs w:val="8"/>
        </w:rPr>
      </w:pPr>
    </w:p>
    <w:p w:rsidR="00AB2754" w:rsidRDefault="00AB2754" w:rsidP="00F01997">
      <w:pPr>
        <w:autoSpaceDE w:val="0"/>
        <w:autoSpaceDN w:val="0"/>
        <w:adjustRightInd w:val="0"/>
        <w:rPr>
          <w:b/>
        </w:rPr>
      </w:pPr>
    </w:p>
    <w:p w:rsidR="005E70E9" w:rsidRDefault="005E70E9" w:rsidP="00042910">
      <w:pPr>
        <w:autoSpaceDE w:val="0"/>
        <w:autoSpaceDN w:val="0"/>
        <w:adjustRightInd w:val="0"/>
        <w:ind w:firstLine="270"/>
        <w:rPr>
          <w:b/>
        </w:rPr>
      </w:pPr>
      <w:r w:rsidRPr="00512E2C">
        <w:rPr>
          <w:b/>
        </w:rPr>
        <w:t xml:space="preserve">Figure </w:t>
      </w:r>
      <w:r w:rsidRPr="00512E2C">
        <w:rPr>
          <w:b/>
        </w:rPr>
        <w:fldChar w:fldCharType="begin"/>
      </w:r>
      <w:r w:rsidRPr="00512E2C">
        <w:rPr>
          <w:b/>
        </w:rPr>
        <w:instrText xml:space="preserve"> SEQ Figure \* ARABIC </w:instrText>
      </w:r>
      <w:r w:rsidRPr="00512E2C">
        <w:rPr>
          <w:b/>
        </w:rPr>
        <w:fldChar w:fldCharType="separate"/>
      </w:r>
      <w:r w:rsidR="002B3BC3">
        <w:rPr>
          <w:b/>
          <w:noProof/>
        </w:rPr>
        <w:t>29</w:t>
      </w:r>
      <w:r w:rsidRPr="00512E2C">
        <w:rPr>
          <w:b/>
        </w:rPr>
        <w:fldChar w:fldCharType="end"/>
      </w:r>
      <w:r w:rsidRPr="00512E2C">
        <w:rPr>
          <w:b/>
        </w:rPr>
        <w:t>.</w:t>
      </w:r>
      <w:r>
        <w:rPr>
          <w:b/>
        </w:rPr>
        <w:t xml:space="preserve">  </w:t>
      </w:r>
      <w:r w:rsidRPr="005158E1">
        <w:rPr>
          <w:b/>
        </w:rPr>
        <w:t>Age-</w:t>
      </w:r>
      <w:r w:rsidR="00E2210D">
        <w:rPr>
          <w:b/>
        </w:rPr>
        <w:t>S</w:t>
      </w:r>
      <w:r w:rsidRPr="005158E1">
        <w:rPr>
          <w:b/>
        </w:rPr>
        <w:t xml:space="preserve">pecific </w:t>
      </w:r>
      <w:r w:rsidR="00E2210D">
        <w:rPr>
          <w:b/>
        </w:rPr>
        <w:t>P</w:t>
      </w:r>
      <w:r w:rsidR="00E2210D" w:rsidRPr="005158E1">
        <w:rPr>
          <w:b/>
        </w:rPr>
        <w:t xml:space="preserve">ercentages </w:t>
      </w:r>
      <w:r w:rsidRPr="005158E1">
        <w:rPr>
          <w:b/>
        </w:rPr>
        <w:t xml:space="preserve">of </w:t>
      </w:r>
      <w:r w:rsidR="00E2210D">
        <w:rPr>
          <w:b/>
        </w:rPr>
        <w:t>A</w:t>
      </w:r>
      <w:r w:rsidR="00E2210D" w:rsidRPr="005158E1">
        <w:rPr>
          <w:b/>
        </w:rPr>
        <w:t xml:space="preserve">dult </w:t>
      </w:r>
      <w:r w:rsidR="002830EA">
        <w:rPr>
          <w:b/>
        </w:rPr>
        <w:t>P</w:t>
      </w:r>
      <w:r w:rsidR="002830EA" w:rsidRPr="005158E1">
        <w:rPr>
          <w:b/>
        </w:rPr>
        <w:t xml:space="preserve">rescription </w:t>
      </w:r>
      <w:r w:rsidR="00E2210D">
        <w:rPr>
          <w:b/>
        </w:rPr>
        <w:t>O</w:t>
      </w:r>
      <w:r w:rsidR="00E2210D" w:rsidRPr="005158E1">
        <w:rPr>
          <w:b/>
        </w:rPr>
        <w:t xml:space="preserve">pioid </w:t>
      </w:r>
      <w:r w:rsidR="00E2210D">
        <w:rPr>
          <w:b/>
        </w:rPr>
        <w:t>R</w:t>
      </w:r>
      <w:r w:rsidR="00E2210D" w:rsidRPr="005158E1">
        <w:rPr>
          <w:b/>
        </w:rPr>
        <w:t xml:space="preserve">ecipients </w:t>
      </w:r>
      <w:r w:rsidR="00824FA5">
        <w:rPr>
          <w:b/>
        </w:rPr>
        <w:t xml:space="preserve">by </w:t>
      </w:r>
      <w:r w:rsidR="00F71608">
        <w:rPr>
          <w:b/>
        </w:rPr>
        <w:t>PIP</w:t>
      </w:r>
      <w:r w:rsidR="00E741AD">
        <w:rPr>
          <w:b/>
        </w:rPr>
        <w:t xml:space="preserve">, </w:t>
      </w:r>
      <w:r w:rsidR="00E2210D">
        <w:rPr>
          <w:b/>
        </w:rPr>
        <w:t xml:space="preserve">MA: </w:t>
      </w:r>
      <w:r w:rsidR="00E741AD">
        <w:rPr>
          <w:b/>
        </w:rPr>
        <w:t>2011-2015</w:t>
      </w:r>
    </w:p>
    <w:p w:rsidR="00A345A8" w:rsidRPr="005158E1" w:rsidRDefault="00A345A8" w:rsidP="00F71608">
      <w:pPr>
        <w:autoSpaceDE w:val="0"/>
        <w:autoSpaceDN w:val="0"/>
        <w:adjustRightInd w:val="0"/>
        <w:ind w:left="360"/>
        <w:jc w:val="center"/>
        <w:rPr>
          <w:b/>
        </w:rPr>
      </w:pPr>
    </w:p>
    <w:p w:rsidR="005B7F89" w:rsidRDefault="005B7F89" w:rsidP="00480A9B">
      <w:pPr>
        <w:pStyle w:val="ListParagraph"/>
        <w:ind w:left="360"/>
      </w:pPr>
      <w:r>
        <w:rPr>
          <w:noProof/>
        </w:rPr>
        <w:drawing>
          <wp:inline distT="0" distB="0" distL="0" distR="0" wp14:anchorId="3BF3CD2D" wp14:editId="13130BB8">
            <wp:extent cx="5943600" cy="2478405"/>
            <wp:effectExtent l="0" t="0" r="0" b="0"/>
            <wp:docPr id="148"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F01997" w:rsidRDefault="00F01997" w:rsidP="00F01997">
      <w:pPr>
        <w:pStyle w:val="ListParagraph"/>
        <w:spacing w:after="120" w:line="276" w:lineRule="auto"/>
        <w:ind w:left="360"/>
      </w:pPr>
    </w:p>
    <w:p w:rsidR="00F01997" w:rsidRDefault="00F01997" w:rsidP="00F01997">
      <w:pPr>
        <w:pStyle w:val="ListParagraph"/>
        <w:spacing w:after="120" w:line="276" w:lineRule="auto"/>
        <w:ind w:left="360"/>
      </w:pPr>
    </w:p>
    <w:p w:rsidR="00F01997" w:rsidRDefault="00F01997" w:rsidP="00F01997">
      <w:pPr>
        <w:pStyle w:val="ListParagraph"/>
        <w:spacing w:after="120" w:line="276" w:lineRule="auto"/>
        <w:ind w:left="360"/>
      </w:pPr>
    </w:p>
    <w:p w:rsidR="00A345A8" w:rsidRPr="00B00E4D" w:rsidRDefault="005E70E9" w:rsidP="00B00E4D">
      <w:pPr>
        <w:pStyle w:val="ListParagraph"/>
        <w:numPr>
          <w:ilvl w:val="0"/>
          <w:numId w:val="5"/>
        </w:numPr>
        <w:spacing w:after="120" w:line="276" w:lineRule="auto"/>
      </w:pPr>
      <w:r w:rsidRPr="00B00E4D">
        <w:t>While the majority of the total MassHealth population were adults, the criminal justice involved population had proportionately more persons in the ‘young adult’ (21-34 years) age group</w:t>
      </w:r>
      <w:r w:rsidR="008B31B3" w:rsidRPr="00B00E4D">
        <w:t>.</w:t>
      </w:r>
      <w:r w:rsidR="00B00E4D" w:rsidRPr="00B00E4D">
        <w:t xml:space="preserve"> MassHealth members with unstable housing were more likely to be 11 to 20 years compared to the other two high-risk populations</w:t>
      </w:r>
      <w:r w:rsidR="00B00E4D">
        <w:t xml:space="preserve"> (homeless and criminal justice involved)</w:t>
      </w:r>
      <w:r w:rsidR="00B00E4D" w:rsidRPr="00B00E4D">
        <w:t>, in a similar proportion to th</w:t>
      </w:r>
      <w:r w:rsidR="00B00E4D">
        <w:t>e overall MassHealth membership</w:t>
      </w:r>
      <w:r w:rsidR="00284C44">
        <w:t xml:space="preserve"> </w:t>
      </w:r>
      <w:r w:rsidR="00284C44">
        <w:rPr>
          <w:rFonts w:cs="Times New Roman"/>
        </w:rPr>
        <w:t xml:space="preserve">(Figure </w:t>
      </w:r>
      <w:r w:rsidR="00042910">
        <w:rPr>
          <w:rFonts w:cs="Times New Roman"/>
        </w:rPr>
        <w:t>3</w:t>
      </w:r>
      <w:r w:rsidR="00A06D2B">
        <w:rPr>
          <w:rFonts w:cs="Times New Roman"/>
        </w:rPr>
        <w:t>0</w:t>
      </w:r>
      <w:r w:rsidR="00284C44">
        <w:rPr>
          <w:rFonts w:cs="Times New Roman"/>
        </w:rPr>
        <w:t>).</w:t>
      </w:r>
    </w:p>
    <w:p w:rsidR="003339E3" w:rsidRDefault="003339E3" w:rsidP="005E70E9">
      <w:pPr>
        <w:pStyle w:val="ListParagraph"/>
        <w:ind w:left="1080"/>
        <w:jc w:val="center"/>
        <w:rPr>
          <w:rFonts w:cs="Times New Roman"/>
        </w:rPr>
      </w:pPr>
    </w:p>
    <w:p w:rsidR="00F01997" w:rsidRDefault="00F01997" w:rsidP="00084F10">
      <w:pPr>
        <w:rPr>
          <w:rFonts w:cs="Times New Roman"/>
        </w:rPr>
      </w:pPr>
    </w:p>
    <w:p w:rsidR="00042910" w:rsidRPr="00084F10" w:rsidRDefault="00042910" w:rsidP="00084F10">
      <w:pPr>
        <w:rPr>
          <w:rFonts w:cs="Times New Roman"/>
        </w:rPr>
      </w:pPr>
    </w:p>
    <w:p w:rsidR="005E70E9" w:rsidRDefault="005E70E9" w:rsidP="00A345A8">
      <w:pPr>
        <w:pStyle w:val="ListParagraph"/>
        <w:rPr>
          <w:rFonts w:cs="Times New Roman"/>
          <w:b/>
        </w:rPr>
      </w:pPr>
      <w:r w:rsidRPr="00903B49">
        <w:rPr>
          <w:rFonts w:cs="Times New Roman"/>
          <w:b/>
        </w:rPr>
        <w:lastRenderedPageBreak/>
        <w:t xml:space="preserve">Figure </w:t>
      </w:r>
      <w:r w:rsidRPr="00903B49">
        <w:rPr>
          <w:rFonts w:cs="Times New Roman"/>
          <w:b/>
        </w:rPr>
        <w:fldChar w:fldCharType="begin"/>
      </w:r>
      <w:r w:rsidRPr="00903B49">
        <w:rPr>
          <w:rFonts w:cs="Times New Roman"/>
          <w:b/>
        </w:rPr>
        <w:instrText xml:space="preserve"> SEQ Figure \* ARABIC </w:instrText>
      </w:r>
      <w:r w:rsidRPr="00903B49">
        <w:rPr>
          <w:rFonts w:cs="Times New Roman"/>
          <w:b/>
        </w:rPr>
        <w:fldChar w:fldCharType="separate"/>
      </w:r>
      <w:r w:rsidR="002B3BC3">
        <w:rPr>
          <w:rFonts w:cs="Times New Roman"/>
          <w:b/>
          <w:noProof/>
        </w:rPr>
        <w:t>30</w:t>
      </w:r>
      <w:r w:rsidRPr="00903B49">
        <w:rPr>
          <w:rFonts w:cs="Times New Roman"/>
          <w:b/>
        </w:rPr>
        <w:fldChar w:fldCharType="end"/>
      </w:r>
      <w:r w:rsidRPr="00903B49">
        <w:rPr>
          <w:rFonts w:cs="Times New Roman"/>
          <w:b/>
        </w:rPr>
        <w:t>.  High-Risk Populations of MassHealth Members</w:t>
      </w:r>
      <w:r w:rsidR="003575CB">
        <w:rPr>
          <w:rFonts w:cs="Times New Roman"/>
          <w:b/>
        </w:rPr>
        <w:t xml:space="preserve"> by Age</w:t>
      </w:r>
      <w:r w:rsidRPr="00903B49">
        <w:rPr>
          <w:rFonts w:cs="Times New Roman"/>
          <w:b/>
        </w:rPr>
        <w:t>,</w:t>
      </w:r>
      <w:r w:rsidR="00E2210D">
        <w:rPr>
          <w:rFonts w:cs="Times New Roman"/>
          <w:b/>
        </w:rPr>
        <w:t xml:space="preserve"> MA:</w:t>
      </w:r>
      <w:r w:rsidRPr="00903B49">
        <w:rPr>
          <w:rFonts w:cs="Times New Roman"/>
          <w:b/>
        </w:rPr>
        <w:t xml:space="preserve"> 2011-2015</w:t>
      </w:r>
    </w:p>
    <w:p w:rsidR="00A345A8" w:rsidRPr="00903B49" w:rsidRDefault="00A345A8" w:rsidP="00A345A8">
      <w:pPr>
        <w:pStyle w:val="ListParagraph"/>
        <w:rPr>
          <w:rFonts w:cs="Times New Roman"/>
          <w:b/>
        </w:rPr>
      </w:pPr>
    </w:p>
    <w:p w:rsidR="00F01997" w:rsidRPr="00790D79" w:rsidRDefault="00790D79" w:rsidP="00790D79">
      <w:pPr>
        <w:pStyle w:val="ListParagraph"/>
        <w:ind w:left="360"/>
      </w:pPr>
      <w:r>
        <w:rPr>
          <w:noProof/>
        </w:rPr>
        <w:drawing>
          <wp:inline distT="0" distB="0" distL="0" distR="0" wp14:anchorId="5CB5598C" wp14:editId="3439498B">
            <wp:extent cx="5581650" cy="28956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9A01E7" w:rsidRDefault="009A01E7" w:rsidP="00F01997">
      <w:pPr>
        <w:pStyle w:val="ListParagraph"/>
        <w:tabs>
          <w:tab w:val="left" w:pos="1170"/>
        </w:tabs>
        <w:spacing w:after="120" w:line="276" w:lineRule="auto"/>
        <w:ind w:left="360"/>
        <w:rPr>
          <w:rFonts w:cs="Times New Roman"/>
        </w:rPr>
      </w:pPr>
    </w:p>
    <w:p w:rsidR="00824A61" w:rsidRPr="00824A61" w:rsidRDefault="005E70E9" w:rsidP="00824A61">
      <w:pPr>
        <w:pStyle w:val="ListParagraph"/>
        <w:numPr>
          <w:ilvl w:val="0"/>
          <w:numId w:val="5"/>
        </w:numPr>
        <w:tabs>
          <w:tab w:val="left" w:pos="1170"/>
        </w:tabs>
        <w:spacing w:after="120" w:line="276" w:lineRule="auto"/>
        <w:rPr>
          <w:rFonts w:cs="Times New Roman"/>
        </w:rPr>
      </w:pPr>
      <w:r w:rsidRPr="00103DC5">
        <w:rPr>
          <w:rFonts w:cs="Times New Roman"/>
        </w:rPr>
        <w:t xml:space="preserve">While 95% of </w:t>
      </w:r>
      <w:r>
        <w:rPr>
          <w:rFonts w:cs="Times New Roman"/>
        </w:rPr>
        <w:t xml:space="preserve">MassHealth </w:t>
      </w:r>
      <w:r w:rsidRPr="00103DC5">
        <w:rPr>
          <w:rFonts w:cs="Times New Roman"/>
        </w:rPr>
        <w:t xml:space="preserve">members aged 11-20 experienced just one or two non-fatal </w:t>
      </w:r>
      <w:r w:rsidR="00EC588C">
        <w:rPr>
          <w:rFonts w:cs="Times New Roman"/>
        </w:rPr>
        <w:t xml:space="preserve">opioid </w:t>
      </w:r>
      <w:r w:rsidRPr="00103DC5">
        <w:rPr>
          <w:rFonts w:cs="Times New Roman"/>
        </w:rPr>
        <w:t>overdoses</w:t>
      </w:r>
      <w:r>
        <w:rPr>
          <w:rFonts w:cs="Times New Roman"/>
        </w:rPr>
        <w:t xml:space="preserve"> </w:t>
      </w:r>
      <w:r w:rsidRPr="00103DC5">
        <w:rPr>
          <w:rFonts w:cs="Times New Roman"/>
        </w:rPr>
        <w:t>(mean=1.2), the remaining 5% of members had as many as five non-fatal overdoses</w:t>
      </w:r>
      <w:r w:rsidR="008B31B3">
        <w:rPr>
          <w:rFonts w:cs="Times New Roman"/>
        </w:rPr>
        <w:t>.</w:t>
      </w:r>
    </w:p>
    <w:p w:rsidR="005E70E9" w:rsidRDefault="005E70E9" w:rsidP="005E70E9">
      <w:pPr>
        <w:pStyle w:val="ListParagraph"/>
        <w:ind w:left="1080"/>
        <w:rPr>
          <w:rFonts w:cs="Times New Roman"/>
        </w:rPr>
      </w:pPr>
    </w:p>
    <w:tbl>
      <w:tblPr>
        <w:tblStyle w:val="LightShading-Accent1"/>
        <w:tblpPr w:leftFromText="180" w:rightFromText="180" w:vertAnchor="text" w:horzAnchor="page" w:tblpX="2188" w:tblpY="125"/>
        <w:tblW w:w="7645" w:type="dxa"/>
        <w:tblLook w:val="04A0" w:firstRow="1" w:lastRow="0" w:firstColumn="1" w:lastColumn="0" w:noHBand="0" w:noVBand="1"/>
      </w:tblPr>
      <w:tblGrid>
        <w:gridCol w:w="1451"/>
        <w:gridCol w:w="1026"/>
        <w:gridCol w:w="1096"/>
        <w:gridCol w:w="1026"/>
        <w:gridCol w:w="1010"/>
        <w:gridCol w:w="1026"/>
        <w:gridCol w:w="1010"/>
      </w:tblGrid>
      <w:tr w:rsidR="00555B62" w:rsidRPr="00B77E07" w:rsidTr="00A1795E">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7645" w:type="dxa"/>
            <w:gridSpan w:val="7"/>
          </w:tcPr>
          <w:p w:rsidR="00555B62" w:rsidRPr="00E76F5B" w:rsidRDefault="00555B62" w:rsidP="002830EA">
            <w:pPr>
              <w:rPr>
                <w:i/>
                <w:iCs/>
              </w:rPr>
            </w:pPr>
            <w:r w:rsidRPr="00E76F5B">
              <w:t xml:space="preserve">Table </w:t>
            </w:r>
            <w:r w:rsidRPr="00B102F1">
              <w:fldChar w:fldCharType="begin"/>
            </w:r>
            <w:r w:rsidRPr="00E76F5B">
              <w:instrText xml:space="preserve"> SEQ Table \* ARABIC </w:instrText>
            </w:r>
            <w:r w:rsidRPr="00B102F1">
              <w:fldChar w:fldCharType="separate"/>
            </w:r>
            <w:r w:rsidR="00FA5C39">
              <w:rPr>
                <w:noProof/>
              </w:rPr>
              <w:t>3</w:t>
            </w:r>
            <w:r w:rsidRPr="00B102F1">
              <w:fldChar w:fldCharType="end"/>
            </w:r>
            <w:r w:rsidRPr="00E76F5B">
              <w:t xml:space="preserve">. </w:t>
            </w:r>
            <w:r w:rsidRPr="00E76F5B">
              <w:rPr>
                <w:iCs/>
              </w:rPr>
              <w:t xml:space="preserve">Distribution of </w:t>
            </w:r>
            <w:r w:rsidR="002830EA">
              <w:rPr>
                <w:iCs/>
              </w:rPr>
              <w:t>N</w:t>
            </w:r>
            <w:r w:rsidR="002830EA" w:rsidRPr="00E76F5B">
              <w:rPr>
                <w:iCs/>
              </w:rPr>
              <w:t>on</w:t>
            </w:r>
            <w:r w:rsidRPr="00E76F5B">
              <w:rPr>
                <w:iCs/>
              </w:rPr>
              <w:t>-</w:t>
            </w:r>
            <w:r w:rsidR="002830EA">
              <w:rPr>
                <w:iCs/>
              </w:rPr>
              <w:t>F</w:t>
            </w:r>
            <w:r w:rsidR="002830EA" w:rsidRPr="00E76F5B">
              <w:rPr>
                <w:iCs/>
              </w:rPr>
              <w:t xml:space="preserve">atal </w:t>
            </w:r>
            <w:r w:rsidR="002830EA">
              <w:rPr>
                <w:iCs/>
              </w:rPr>
              <w:t>O</w:t>
            </w:r>
            <w:r w:rsidR="002830EA" w:rsidRPr="00E76F5B">
              <w:rPr>
                <w:iCs/>
              </w:rPr>
              <w:t xml:space="preserve">verdoses </w:t>
            </w:r>
            <w:r w:rsidR="002830EA">
              <w:rPr>
                <w:iCs/>
              </w:rPr>
              <w:t>A</w:t>
            </w:r>
            <w:r w:rsidR="002830EA" w:rsidRPr="00E76F5B">
              <w:rPr>
                <w:iCs/>
              </w:rPr>
              <w:t xml:space="preserve">mong </w:t>
            </w:r>
            <w:r w:rsidRPr="00E76F5B">
              <w:rPr>
                <w:iCs/>
              </w:rPr>
              <w:t xml:space="preserve">MassHealth </w:t>
            </w:r>
            <w:r w:rsidR="002830EA">
              <w:rPr>
                <w:iCs/>
              </w:rPr>
              <w:t>M</w:t>
            </w:r>
            <w:r w:rsidR="002830EA" w:rsidRPr="00E76F5B">
              <w:rPr>
                <w:iCs/>
              </w:rPr>
              <w:t xml:space="preserve">embers </w:t>
            </w:r>
            <w:r w:rsidRPr="00E76F5B">
              <w:rPr>
                <w:iCs/>
              </w:rPr>
              <w:t xml:space="preserve">with at </w:t>
            </w:r>
            <w:r w:rsidR="002830EA">
              <w:rPr>
                <w:iCs/>
              </w:rPr>
              <w:t>L</w:t>
            </w:r>
            <w:r w:rsidR="002830EA" w:rsidRPr="00E76F5B">
              <w:rPr>
                <w:iCs/>
              </w:rPr>
              <w:t xml:space="preserve">east </w:t>
            </w:r>
            <w:r w:rsidR="002830EA">
              <w:rPr>
                <w:iCs/>
              </w:rPr>
              <w:t>O</w:t>
            </w:r>
            <w:r w:rsidR="002830EA" w:rsidRPr="00E76F5B">
              <w:rPr>
                <w:iCs/>
              </w:rPr>
              <w:t xml:space="preserve">ne </w:t>
            </w:r>
            <w:r w:rsidR="002830EA">
              <w:rPr>
                <w:iCs/>
              </w:rPr>
              <w:t>N</w:t>
            </w:r>
            <w:r w:rsidR="002830EA" w:rsidRPr="00E76F5B">
              <w:rPr>
                <w:iCs/>
              </w:rPr>
              <w:t>on</w:t>
            </w:r>
            <w:r w:rsidRPr="00E76F5B">
              <w:rPr>
                <w:iCs/>
              </w:rPr>
              <w:t>-</w:t>
            </w:r>
            <w:r w:rsidR="002830EA">
              <w:rPr>
                <w:iCs/>
              </w:rPr>
              <w:t>F</w:t>
            </w:r>
            <w:r w:rsidR="002830EA" w:rsidRPr="00E76F5B">
              <w:rPr>
                <w:iCs/>
              </w:rPr>
              <w:t xml:space="preserve">atal </w:t>
            </w:r>
            <w:r w:rsidR="002830EA">
              <w:rPr>
                <w:iCs/>
              </w:rPr>
              <w:t>O</w:t>
            </w:r>
            <w:r w:rsidR="002830EA" w:rsidRPr="00E76F5B">
              <w:rPr>
                <w:iCs/>
              </w:rPr>
              <w:t xml:space="preserve">verdose </w:t>
            </w:r>
            <w:r w:rsidRPr="00E76F5B">
              <w:rPr>
                <w:iCs/>
              </w:rPr>
              <w:t xml:space="preserve">by </w:t>
            </w:r>
            <w:r w:rsidR="002830EA">
              <w:rPr>
                <w:iCs/>
              </w:rPr>
              <w:t>A</w:t>
            </w:r>
            <w:r w:rsidRPr="00E76F5B">
              <w:rPr>
                <w:iCs/>
              </w:rPr>
              <w:t xml:space="preserve">ge </w:t>
            </w:r>
            <w:r w:rsidR="002830EA">
              <w:rPr>
                <w:iCs/>
              </w:rPr>
              <w:t>G</w:t>
            </w:r>
            <w:r w:rsidR="002830EA" w:rsidRPr="00E76F5B">
              <w:rPr>
                <w:iCs/>
              </w:rPr>
              <w:t>roup</w:t>
            </w:r>
            <w:r w:rsidR="00D05501" w:rsidRPr="00E76F5B">
              <w:rPr>
                <w:iCs/>
              </w:rPr>
              <w:t>, 2011-2015</w:t>
            </w:r>
            <w:r w:rsidRPr="00E76F5B">
              <w:rPr>
                <w:i/>
                <w:iCs/>
              </w:rPr>
              <w:t xml:space="preserve">  </w:t>
            </w:r>
          </w:p>
        </w:tc>
      </w:tr>
      <w:tr w:rsidR="00555B62" w:rsidRPr="00B77E07" w:rsidTr="00A1795E">
        <w:trPr>
          <w:cnfStyle w:val="000000100000" w:firstRow="0" w:lastRow="0" w:firstColumn="0" w:lastColumn="0" w:oddVBand="0" w:evenVBand="0" w:oddHBand="1" w:evenHBand="0"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1451" w:type="dxa"/>
            <w:vMerge w:val="restart"/>
            <w:hideMark/>
          </w:tcPr>
          <w:p w:rsidR="00555B62" w:rsidRPr="00E76F5B" w:rsidRDefault="00555B62" w:rsidP="00555B62">
            <w:pPr>
              <w:jc w:val="center"/>
              <w:rPr>
                <w:rFonts w:eastAsia="Times New Roman" w:cs="Times New Roman"/>
              </w:rPr>
            </w:pPr>
            <w:r w:rsidRPr="00E76F5B">
              <w:rPr>
                <w:rFonts w:eastAsia="Times New Roman" w:cs="Times New Roman"/>
              </w:rPr>
              <w:t>Count of Non-Fatal Overdoses</w:t>
            </w:r>
          </w:p>
        </w:tc>
        <w:tc>
          <w:tcPr>
            <w:tcW w:w="2122" w:type="dxa"/>
            <w:gridSpan w:val="2"/>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E76F5B">
              <w:rPr>
                <w:rFonts w:eastAsia="Times New Roman" w:cs="Times New Roman"/>
                <w:b/>
              </w:rPr>
              <w:t>Ages 11-20 Years (N=479)</w:t>
            </w:r>
          </w:p>
        </w:tc>
        <w:tc>
          <w:tcPr>
            <w:tcW w:w="2036" w:type="dxa"/>
            <w:gridSpan w:val="2"/>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E76F5B">
              <w:rPr>
                <w:rFonts w:eastAsia="Times New Roman" w:cs="Times New Roman"/>
                <w:b/>
              </w:rPr>
              <w:t>Ages 21-64 Years (N=22,507)</w:t>
            </w:r>
          </w:p>
        </w:tc>
        <w:tc>
          <w:tcPr>
            <w:tcW w:w="2036" w:type="dxa"/>
            <w:gridSpan w:val="2"/>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E76F5B">
              <w:rPr>
                <w:rFonts w:eastAsia="Times New Roman" w:cs="Times New Roman"/>
                <w:b/>
              </w:rPr>
              <w:t>Total Members: Ages 11-64 Years (N=22,986)</w:t>
            </w:r>
          </w:p>
        </w:tc>
      </w:tr>
      <w:tr w:rsidR="00555B62" w:rsidRPr="00B77E07" w:rsidTr="00A1795E">
        <w:trPr>
          <w:trHeight w:val="513"/>
        </w:trPr>
        <w:tc>
          <w:tcPr>
            <w:cnfStyle w:val="001000000000" w:firstRow="0" w:lastRow="0" w:firstColumn="1" w:lastColumn="0" w:oddVBand="0" w:evenVBand="0" w:oddHBand="0" w:evenHBand="0" w:firstRowFirstColumn="0" w:firstRowLastColumn="0" w:lastRowFirstColumn="0" w:lastRowLastColumn="0"/>
            <w:tcW w:w="1451" w:type="dxa"/>
            <w:vMerge/>
            <w:hideMark/>
          </w:tcPr>
          <w:p w:rsidR="00555B62" w:rsidRPr="00E76F5B" w:rsidRDefault="00555B62" w:rsidP="00555B62">
            <w:pPr>
              <w:rPr>
                <w:rFonts w:eastAsia="Times New Roman" w:cs="Times New Roman"/>
              </w:rPr>
            </w:pP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Member Count</w:t>
            </w:r>
          </w:p>
        </w:tc>
        <w:tc>
          <w:tcPr>
            <w:tcW w:w="109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Percent</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Member Count</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Percent</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Member Count</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Percent</w:t>
            </w:r>
          </w:p>
        </w:tc>
      </w:tr>
      <w:tr w:rsidR="00555B62" w:rsidRPr="00B77E07" w:rsidTr="00A1795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51" w:type="dxa"/>
            <w:hideMark/>
          </w:tcPr>
          <w:p w:rsidR="00555B62" w:rsidRPr="00E76F5B" w:rsidRDefault="00555B62" w:rsidP="00555B62">
            <w:pPr>
              <w:jc w:val="center"/>
              <w:rPr>
                <w:rFonts w:eastAsia="Times New Roman" w:cs="Times New Roman"/>
              </w:rPr>
            </w:pPr>
            <w:r w:rsidRPr="00E76F5B">
              <w:rPr>
                <w:rFonts w:eastAsia="Times New Roman" w:cs="Times New Roman"/>
              </w:rPr>
              <w:t>1</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425</w:t>
            </w:r>
          </w:p>
        </w:tc>
        <w:tc>
          <w:tcPr>
            <w:tcW w:w="109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88.7%</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16,088</w:t>
            </w:r>
          </w:p>
        </w:tc>
        <w:tc>
          <w:tcPr>
            <w:tcW w:w="1010"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71.5%</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16,513</w:t>
            </w:r>
          </w:p>
        </w:tc>
        <w:tc>
          <w:tcPr>
            <w:tcW w:w="1010"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71.8%</w:t>
            </w:r>
          </w:p>
        </w:tc>
      </w:tr>
      <w:tr w:rsidR="00555B62" w:rsidRPr="00B77E07" w:rsidTr="00A1795E">
        <w:trPr>
          <w:trHeight w:val="332"/>
        </w:trPr>
        <w:tc>
          <w:tcPr>
            <w:cnfStyle w:val="001000000000" w:firstRow="0" w:lastRow="0" w:firstColumn="1" w:lastColumn="0" w:oddVBand="0" w:evenVBand="0" w:oddHBand="0" w:evenHBand="0" w:firstRowFirstColumn="0" w:firstRowLastColumn="0" w:lastRowFirstColumn="0" w:lastRowLastColumn="0"/>
            <w:tcW w:w="1451" w:type="dxa"/>
            <w:hideMark/>
          </w:tcPr>
          <w:p w:rsidR="00555B62" w:rsidRPr="00E76F5B" w:rsidRDefault="00555B62" w:rsidP="00555B62">
            <w:pPr>
              <w:jc w:val="center"/>
              <w:rPr>
                <w:rFonts w:eastAsia="Times New Roman" w:cs="Times New Roman"/>
              </w:rPr>
            </w:pPr>
            <w:r w:rsidRPr="00E76F5B">
              <w:rPr>
                <w:rFonts w:eastAsia="Times New Roman" w:cs="Times New Roman"/>
              </w:rPr>
              <w:t>2</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30</w:t>
            </w:r>
          </w:p>
        </w:tc>
        <w:tc>
          <w:tcPr>
            <w:tcW w:w="109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6.3%</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3,671</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16.3%</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3,701</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76F5B">
              <w:rPr>
                <w:rFonts w:eastAsia="Times New Roman" w:cs="Times New Roman"/>
              </w:rPr>
              <w:t>16.1%</w:t>
            </w:r>
          </w:p>
        </w:tc>
      </w:tr>
      <w:tr w:rsidR="00555B62" w:rsidRPr="00B77E07" w:rsidTr="00A1795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451" w:type="dxa"/>
            <w:hideMark/>
          </w:tcPr>
          <w:p w:rsidR="00555B62" w:rsidRPr="00E76F5B" w:rsidRDefault="00555B62" w:rsidP="00555B62">
            <w:pPr>
              <w:jc w:val="center"/>
              <w:rPr>
                <w:rFonts w:eastAsia="Times New Roman" w:cs="Times New Roman"/>
              </w:rPr>
            </w:pPr>
            <w:r w:rsidRPr="00E76F5B">
              <w:rPr>
                <w:rFonts w:eastAsia="Times New Roman" w:cs="Times New Roman"/>
              </w:rPr>
              <w:t>3+</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24</w:t>
            </w:r>
          </w:p>
        </w:tc>
        <w:tc>
          <w:tcPr>
            <w:tcW w:w="109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5.0%</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2,748</w:t>
            </w:r>
          </w:p>
        </w:tc>
        <w:tc>
          <w:tcPr>
            <w:tcW w:w="1010"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12.2%</w:t>
            </w:r>
          </w:p>
        </w:tc>
        <w:tc>
          <w:tcPr>
            <w:tcW w:w="1026"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2,772</w:t>
            </w:r>
          </w:p>
        </w:tc>
        <w:tc>
          <w:tcPr>
            <w:tcW w:w="1010" w:type="dxa"/>
            <w:hideMark/>
          </w:tcPr>
          <w:p w:rsidR="00555B62" w:rsidRPr="00E76F5B" w:rsidRDefault="00555B62" w:rsidP="00555B6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E76F5B">
              <w:rPr>
                <w:rFonts w:eastAsia="Times New Roman" w:cs="Times New Roman"/>
              </w:rPr>
              <w:t>12.1%</w:t>
            </w:r>
          </w:p>
        </w:tc>
      </w:tr>
      <w:tr w:rsidR="00555B62" w:rsidRPr="00B77E07" w:rsidTr="00A1795E">
        <w:trPr>
          <w:trHeight w:val="332"/>
        </w:trPr>
        <w:tc>
          <w:tcPr>
            <w:cnfStyle w:val="001000000000" w:firstRow="0" w:lastRow="0" w:firstColumn="1" w:lastColumn="0" w:oddVBand="0" w:evenVBand="0" w:oddHBand="0" w:evenHBand="0" w:firstRowFirstColumn="0" w:firstRowLastColumn="0" w:lastRowFirstColumn="0" w:lastRowLastColumn="0"/>
            <w:tcW w:w="1451" w:type="dxa"/>
            <w:hideMark/>
          </w:tcPr>
          <w:p w:rsidR="00555B62" w:rsidRPr="00E76F5B" w:rsidRDefault="00555B62" w:rsidP="00555B62">
            <w:pPr>
              <w:jc w:val="center"/>
              <w:rPr>
                <w:rFonts w:eastAsia="Times New Roman" w:cs="Times New Roman"/>
                <w:b w:val="0"/>
              </w:rPr>
            </w:pPr>
            <w:r w:rsidRPr="00E76F5B">
              <w:rPr>
                <w:rFonts w:eastAsia="Times New Roman" w:cs="Times New Roman"/>
                <w:b w:val="0"/>
              </w:rPr>
              <w:t>Total</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479</w:t>
            </w:r>
          </w:p>
        </w:tc>
        <w:tc>
          <w:tcPr>
            <w:tcW w:w="109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 </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22,507</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 </w:t>
            </w:r>
          </w:p>
        </w:tc>
        <w:tc>
          <w:tcPr>
            <w:tcW w:w="1026"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22,986</w:t>
            </w:r>
          </w:p>
        </w:tc>
        <w:tc>
          <w:tcPr>
            <w:tcW w:w="1010" w:type="dxa"/>
            <w:hideMark/>
          </w:tcPr>
          <w:p w:rsidR="00555B62" w:rsidRPr="00E76F5B" w:rsidRDefault="00555B62" w:rsidP="00555B6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E76F5B">
              <w:rPr>
                <w:rFonts w:eastAsia="Times New Roman" w:cs="Times New Roman"/>
                <w:b/>
              </w:rPr>
              <w:t> </w:t>
            </w:r>
          </w:p>
        </w:tc>
      </w:tr>
    </w:tbl>
    <w:p w:rsidR="00824A61" w:rsidRPr="00E74C7F" w:rsidRDefault="00824A61" w:rsidP="005E70E9">
      <w:pPr>
        <w:pStyle w:val="ListParagraph"/>
        <w:ind w:left="1080"/>
        <w:rPr>
          <w:rFonts w:cs="Times New Roman"/>
        </w:rPr>
      </w:pPr>
    </w:p>
    <w:p w:rsidR="005E70E9" w:rsidRDefault="005E70E9" w:rsidP="005E70E9">
      <w:pPr>
        <w:rPr>
          <w:rFonts w:cs="Times New Roman"/>
          <w:b/>
          <w:i/>
          <w:color w:val="7030A0"/>
        </w:rPr>
      </w:pPr>
      <w:r>
        <w:rPr>
          <w:rFonts w:cs="Times New Roman"/>
          <w:b/>
          <w:i/>
          <w:color w:val="7030A0"/>
        </w:rPr>
        <w:br w:type="page"/>
      </w:r>
    </w:p>
    <w:p w:rsidR="003A35FA" w:rsidRPr="00D3478C" w:rsidRDefault="005E70E9" w:rsidP="00A1795E">
      <w:pPr>
        <w:pStyle w:val="Heading2"/>
        <w:rPr>
          <w:sz w:val="36"/>
          <w:szCs w:val="36"/>
        </w:rPr>
      </w:pPr>
      <w:bookmarkStart w:id="12" w:name="_Toc20134881"/>
      <w:r w:rsidRPr="00D3478C">
        <w:rPr>
          <w:sz w:val="36"/>
          <w:szCs w:val="36"/>
        </w:rPr>
        <w:lastRenderedPageBreak/>
        <w:t>Veterans</w:t>
      </w:r>
      <w:bookmarkEnd w:id="12"/>
      <w:r w:rsidRPr="00D3478C">
        <w:rPr>
          <w:sz w:val="36"/>
          <w:szCs w:val="36"/>
        </w:rPr>
        <w:tab/>
      </w:r>
    </w:p>
    <w:p w:rsidR="00EC588C" w:rsidRPr="00EC588C" w:rsidRDefault="00EC588C" w:rsidP="00EC588C"/>
    <w:p w:rsidR="00FC0C33" w:rsidRDefault="00BA69C6" w:rsidP="00DD7070">
      <w:pPr>
        <w:autoSpaceDE w:val="0"/>
        <w:autoSpaceDN w:val="0"/>
        <w:adjustRightInd w:val="0"/>
        <w:rPr>
          <w:b/>
        </w:rPr>
      </w:pPr>
      <w:r>
        <w:rPr>
          <w:b/>
        </w:rPr>
        <w:t xml:space="preserve">Background: </w:t>
      </w:r>
    </w:p>
    <w:p w:rsidR="003E6E63" w:rsidRPr="003E6E63" w:rsidRDefault="005E70E9" w:rsidP="00217830">
      <w:pPr>
        <w:autoSpaceDE w:val="0"/>
        <w:autoSpaceDN w:val="0"/>
        <w:adjustRightInd w:val="0"/>
      </w:pPr>
      <w:r>
        <w:t xml:space="preserve">The opioid epidemic has greatly impacted active-duty military personnel and veterans who face especially elevated risks of opioid </w:t>
      </w:r>
      <w:r w:rsidR="00EF2562">
        <w:t xml:space="preserve">use disorder </w:t>
      </w:r>
      <w:r>
        <w:t>and overdose</w:t>
      </w:r>
      <w:r w:rsidR="00111496">
        <w:t>.</w:t>
      </w:r>
      <w:r w:rsidRPr="005F44D7">
        <w:rPr>
          <w:rStyle w:val="FootnoteReference"/>
        </w:rPr>
        <w:footnoteReference w:id="48"/>
      </w:r>
      <w:r w:rsidRPr="00E85ED0">
        <w:rPr>
          <w:vertAlign w:val="superscript"/>
        </w:rPr>
        <w:t>,</w:t>
      </w:r>
      <w:r w:rsidRPr="005F44D7">
        <w:rPr>
          <w:rStyle w:val="FootnoteReference"/>
        </w:rPr>
        <w:footnoteReference w:id="49"/>
      </w:r>
      <w:r>
        <w:t xml:space="preserve"> The army has reported that among active-duty personnel, drug toxicity deaths more than doubled between 2006 and 2011, and overdose rates are greatly elevated among VA patients compared with the civilian population</w:t>
      </w:r>
      <w:r w:rsidR="00111496">
        <w:t>.</w:t>
      </w:r>
      <w:r w:rsidRPr="005F44D7">
        <w:rPr>
          <w:rStyle w:val="FootnoteReference"/>
        </w:rPr>
        <w:footnoteReference w:id="50"/>
      </w:r>
      <w:r>
        <w:t xml:space="preserve"> A May 2014 </w:t>
      </w:r>
      <w:r w:rsidR="00DD7070" w:rsidRPr="00DD7070">
        <w:t>Veterans Health</w:t>
      </w:r>
      <w:r w:rsidR="00DD7070">
        <w:t xml:space="preserve"> </w:t>
      </w:r>
      <w:r w:rsidR="00DD7070" w:rsidRPr="00DD7070">
        <w:t>Administration</w:t>
      </w:r>
      <w:r w:rsidR="00DD7070">
        <w:rPr>
          <w:rFonts w:ascii="DINOT-Medium" w:hAnsi="DINOT-Medium" w:cs="DINOT-Medium"/>
          <w:sz w:val="15"/>
          <w:szCs w:val="15"/>
        </w:rPr>
        <w:t xml:space="preserve"> (</w:t>
      </w:r>
      <w:r w:rsidRPr="00DD7070">
        <w:t>V</w:t>
      </w:r>
      <w:r>
        <w:t>HA</w:t>
      </w:r>
      <w:r w:rsidR="00DD7070">
        <w:t>)</w:t>
      </w:r>
      <w:r>
        <w:t xml:space="preserve"> report indicated that 440,000 current patients were prescribed opioids, placing them at potential risk, and 55,000 veteran patients were diagnosed as having a current opioid use disorder, placing them at even greater risk</w:t>
      </w:r>
      <w:r w:rsidR="00111496">
        <w:t>.</w:t>
      </w:r>
      <w:r w:rsidRPr="005F44D7">
        <w:rPr>
          <w:rStyle w:val="FootnoteReference"/>
        </w:rPr>
        <w:footnoteReference w:id="51"/>
      </w:r>
      <w:r>
        <w:t xml:space="preserve"> Previous studies have found that v</w:t>
      </w:r>
      <w:r w:rsidRPr="0083712A">
        <w:t xml:space="preserve">eterans </w:t>
      </w:r>
      <w:r>
        <w:t xml:space="preserve">are </w:t>
      </w:r>
      <w:r w:rsidRPr="0083712A">
        <w:t xml:space="preserve">more likely to have </w:t>
      </w:r>
      <w:r>
        <w:t xml:space="preserve">ever had an opioid prescription, </w:t>
      </w:r>
      <w:r w:rsidRPr="0083712A">
        <w:t>to have had a concurrent benzodiazepine prescription with t</w:t>
      </w:r>
      <w:r>
        <w:t>heir opioid prescription</w:t>
      </w:r>
      <w:r w:rsidRPr="0083712A">
        <w:t xml:space="preserve">, and to have had their opioid prescription for 3 or more months at a dosage of 120 morphine milligram </w:t>
      </w:r>
      <w:r w:rsidRPr="00064C86">
        <w:t>equivalent (MME) or higher.</w:t>
      </w:r>
      <w:r w:rsidRPr="0083712A">
        <w:t xml:space="preserve">  </w:t>
      </w:r>
    </w:p>
    <w:p w:rsidR="00FC0C33" w:rsidRDefault="00FC0C33" w:rsidP="00D41210">
      <w:pPr>
        <w:pStyle w:val="EndnoteText"/>
        <w:rPr>
          <w:rFonts w:eastAsia="Times New Roman" w:cs="Times New Roman"/>
          <w:b/>
          <w:color w:val="000000"/>
          <w:sz w:val="22"/>
          <w:szCs w:val="22"/>
        </w:rPr>
      </w:pPr>
    </w:p>
    <w:p w:rsidR="00FC0C33" w:rsidRPr="00FC0C33" w:rsidRDefault="00FC0C33" w:rsidP="00FC0C33">
      <w:pPr>
        <w:pStyle w:val="EndnoteText"/>
        <w:rPr>
          <w:rFonts w:cs="Times New Roman"/>
          <w:sz w:val="22"/>
          <w:szCs w:val="22"/>
        </w:rPr>
      </w:pPr>
      <w:r>
        <w:rPr>
          <w:rFonts w:eastAsia="Times New Roman" w:cs="Times New Roman"/>
          <w:b/>
          <w:color w:val="000000"/>
          <w:sz w:val="22"/>
          <w:szCs w:val="22"/>
        </w:rPr>
        <w:t>Key Findings:</w:t>
      </w:r>
      <w:r w:rsidR="005E70E9" w:rsidRPr="0053198D">
        <w:rPr>
          <w:i/>
          <w:sz w:val="22"/>
          <w:szCs w:val="22"/>
          <w:highlight w:val="yellow"/>
        </w:rPr>
        <w:t xml:space="preserve"> </w:t>
      </w:r>
    </w:p>
    <w:p w:rsidR="00DD7070" w:rsidRDefault="005E70E9" w:rsidP="00217830">
      <w:pPr>
        <w:pStyle w:val="ListParagraph"/>
        <w:numPr>
          <w:ilvl w:val="0"/>
          <w:numId w:val="5"/>
        </w:numPr>
      </w:pPr>
      <w:r w:rsidRPr="00C44459">
        <w:t>Veterans receiving opioid prescriptions from both VHA and non-VHA pharmacies are more likely to receive high-dose opioid therapy (26% vs. 7%), have concurrent prescriptions of opioids and benzodiazepines (3</w:t>
      </w:r>
      <w:r>
        <w:t>5</w:t>
      </w:r>
      <w:r w:rsidRPr="00C44459">
        <w:t>% vs. 8%), be homeless (</w:t>
      </w:r>
      <w:r>
        <w:t>2</w:t>
      </w:r>
      <w:r w:rsidRPr="00C44459">
        <w:t xml:space="preserve">% vs. </w:t>
      </w:r>
      <w:r>
        <w:t>1</w:t>
      </w:r>
      <w:r w:rsidRPr="00C44459">
        <w:t xml:space="preserve">%), and have higher </w:t>
      </w:r>
      <w:r w:rsidR="00367802" w:rsidRPr="00367802">
        <w:t>Elixhauser</w:t>
      </w:r>
      <w:r w:rsidR="00367802">
        <w:t xml:space="preserve"> </w:t>
      </w:r>
      <w:r w:rsidRPr="00C44459">
        <w:t>mean physical (3.0 vs. 1.3) and mental co-morbidity scores (0.6vs. 0.2) when compared to Veterans that only fill pres</w:t>
      </w:r>
      <w:r w:rsidR="00284C44">
        <w:t>criptions within the VHA system</w:t>
      </w:r>
      <w:r w:rsidR="00DD7070" w:rsidRPr="005F44D7">
        <w:rPr>
          <w:rStyle w:val="FootnoteReference"/>
        </w:rPr>
        <w:footnoteReference w:id="52"/>
      </w:r>
      <w:r w:rsidR="00284C44">
        <w:t xml:space="preserve"> </w:t>
      </w:r>
      <w:r w:rsidR="00284C44">
        <w:rPr>
          <w:rFonts w:cs="Times New Roman"/>
        </w:rPr>
        <w:t>(Figure 3</w:t>
      </w:r>
      <w:r w:rsidR="00A06D2B">
        <w:rPr>
          <w:rFonts w:cs="Times New Roman"/>
        </w:rPr>
        <w:t>1</w:t>
      </w:r>
      <w:r w:rsidR="00284C44">
        <w:rPr>
          <w:rFonts w:cs="Times New Roman"/>
        </w:rPr>
        <w:t>).</w:t>
      </w:r>
    </w:p>
    <w:p w:rsidR="00111496" w:rsidRDefault="00111496" w:rsidP="00084F10">
      <w:pPr>
        <w:pStyle w:val="Caption"/>
        <w:spacing w:after="0"/>
        <w:rPr>
          <w:color w:val="auto"/>
          <w:sz w:val="22"/>
          <w:szCs w:val="22"/>
        </w:rPr>
      </w:pPr>
    </w:p>
    <w:p w:rsidR="00367802" w:rsidRDefault="00367802" w:rsidP="00217830">
      <w:pPr>
        <w:pStyle w:val="Caption"/>
        <w:spacing w:after="0"/>
        <w:ind w:left="720"/>
        <w:rPr>
          <w:color w:val="auto"/>
          <w:sz w:val="22"/>
          <w:szCs w:val="22"/>
        </w:rPr>
      </w:pPr>
      <w:r w:rsidRPr="00367802">
        <w:rPr>
          <w:color w:val="auto"/>
          <w:sz w:val="22"/>
          <w:szCs w:val="22"/>
        </w:rPr>
        <w:t xml:space="preserve">Figure </w:t>
      </w:r>
      <w:r w:rsidRPr="00367802">
        <w:rPr>
          <w:color w:val="auto"/>
          <w:sz w:val="22"/>
          <w:szCs w:val="22"/>
        </w:rPr>
        <w:fldChar w:fldCharType="begin"/>
      </w:r>
      <w:r w:rsidRPr="00367802">
        <w:rPr>
          <w:color w:val="auto"/>
          <w:sz w:val="22"/>
          <w:szCs w:val="22"/>
        </w:rPr>
        <w:instrText xml:space="preserve"> SEQ Figure \* ARABIC </w:instrText>
      </w:r>
      <w:r w:rsidRPr="00367802">
        <w:rPr>
          <w:color w:val="auto"/>
          <w:sz w:val="22"/>
          <w:szCs w:val="22"/>
        </w:rPr>
        <w:fldChar w:fldCharType="separate"/>
      </w:r>
      <w:r w:rsidR="002B3BC3">
        <w:rPr>
          <w:noProof/>
          <w:color w:val="auto"/>
          <w:sz w:val="22"/>
          <w:szCs w:val="22"/>
        </w:rPr>
        <w:t>31</w:t>
      </w:r>
      <w:r w:rsidRPr="00367802">
        <w:rPr>
          <w:color w:val="auto"/>
          <w:sz w:val="22"/>
          <w:szCs w:val="22"/>
        </w:rPr>
        <w:fldChar w:fldCharType="end"/>
      </w:r>
      <w:r w:rsidRPr="00367802">
        <w:rPr>
          <w:color w:val="auto"/>
          <w:sz w:val="22"/>
          <w:szCs w:val="22"/>
        </w:rPr>
        <w:t>. Opioid Prescribing Patterns</w:t>
      </w:r>
      <w:r w:rsidR="00653A2E">
        <w:rPr>
          <w:color w:val="auto"/>
          <w:sz w:val="22"/>
          <w:szCs w:val="22"/>
        </w:rPr>
        <w:t>, MA</w:t>
      </w:r>
      <w:r w:rsidRPr="00367802">
        <w:rPr>
          <w:color w:val="auto"/>
          <w:sz w:val="22"/>
          <w:szCs w:val="22"/>
        </w:rPr>
        <w:t>: 2011-2015</w:t>
      </w:r>
    </w:p>
    <w:p w:rsidR="00084F10" w:rsidRPr="00084F10" w:rsidRDefault="00084F10" w:rsidP="00084F10"/>
    <w:p w:rsidR="00FC0C33" w:rsidRDefault="00FD0147" w:rsidP="00E832F5">
      <w:pPr>
        <w:pStyle w:val="ListParagraph"/>
        <w:spacing w:after="200" w:line="276" w:lineRule="auto"/>
        <w:ind w:left="360"/>
      </w:pPr>
      <w:r>
        <w:rPr>
          <w:noProof/>
        </w:rPr>
        <w:drawing>
          <wp:inline distT="0" distB="0" distL="0" distR="0" wp14:anchorId="14C732BD" wp14:editId="38F23CF3">
            <wp:extent cx="5743575" cy="2295525"/>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367802" w:rsidRDefault="00367802" w:rsidP="008D311B">
      <w:pPr>
        <w:pStyle w:val="ListParagraph"/>
        <w:numPr>
          <w:ilvl w:val="0"/>
          <w:numId w:val="5"/>
        </w:numPr>
        <w:spacing w:after="200" w:line="276" w:lineRule="auto"/>
      </w:pPr>
      <w:r w:rsidRPr="00C44459">
        <w:lastRenderedPageBreak/>
        <w:t xml:space="preserve">Veterans receiving opioid prescriptions from both VHA and non-VHA pharmacies are more likely </w:t>
      </w:r>
      <w:r>
        <w:t>to</w:t>
      </w:r>
      <w:r w:rsidRPr="00C44459">
        <w:t xml:space="preserve"> have documented opioid use disorder (</w:t>
      </w:r>
      <w:r>
        <w:t>7</w:t>
      </w:r>
      <w:r w:rsidRPr="00C44459">
        <w:t xml:space="preserve">% vs. </w:t>
      </w:r>
      <w:r>
        <w:t>2</w:t>
      </w:r>
      <w:r w:rsidRPr="00C44459">
        <w:t xml:space="preserve">%), </w:t>
      </w:r>
      <w:r>
        <w:t>and</w:t>
      </w:r>
      <w:r w:rsidR="00FC0C33" w:rsidRPr="00C44459">
        <w:t xml:space="preserve"> </w:t>
      </w:r>
      <w:r w:rsidR="005E70E9" w:rsidRPr="00C44459">
        <w:t xml:space="preserve">have 29% higher odds of a non-fatal </w:t>
      </w:r>
      <w:r w:rsidR="00D41210">
        <w:t xml:space="preserve">opioid </w:t>
      </w:r>
      <w:r w:rsidR="005E70E9" w:rsidRPr="00C44459">
        <w:t>overdose and 66% higher odds of all-cause mortality</w:t>
      </w:r>
      <w:r w:rsidRPr="00367802">
        <w:t xml:space="preserve"> </w:t>
      </w:r>
      <w:r w:rsidRPr="00C44459">
        <w:t>when compared to Veterans that only fill pres</w:t>
      </w:r>
      <w:r>
        <w:t xml:space="preserve">criptions within the VHA </w:t>
      </w:r>
      <w:r w:rsidR="00EE483A">
        <w:t>system</w:t>
      </w:r>
      <w:r w:rsidR="00653A2E">
        <w:t>.</w:t>
      </w:r>
      <w:r w:rsidR="007D1230">
        <w:rPr>
          <w:vertAlign w:val="superscript"/>
        </w:rPr>
        <w:t>5</w:t>
      </w:r>
      <w:r w:rsidR="00E248B6">
        <w:rPr>
          <w:vertAlign w:val="superscript"/>
        </w:rPr>
        <w:t>2</w:t>
      </w:r>
    </w:p>
    <w:p w:rsidR="00DD7070" w:rsidRDefault="00DD7070" w:rsidP="00DD7070">
      <w:pPr>
        <w:pStyle w:val="ListParagraph"/>
      </w:pPr>
    </w:p>
    <w:p w:rsidR="00FC0C33" w:rsidRDefault="00FC0C33" w:rsidP="005E70E9">
      <w:pPr>
        <w:pStyle w:val="ListParagraph"/>
        <w:numPr>
          <w:ilvl w:val="0"/>
          <w:numId w:val="5"/>
        </w:numPr>
        <w:spacing w:after="200" w:line="276" w:lineRule="auto"/>
      </w:pPr>
      <w:r w:rsidRPr="0083712A">
        <w:t>Of the 6,282,697 non-veterans and 156,123 veterans in Massachusetts between 2011 and 2015, 0.63% (39,654) and 0.87% (1,366) had evidence of homelessness respectively. Further, 0.82% (51,692) of non</w:t>
      </w:r>
      <w:r>
        <w:t xml:space="preserve">-veterans and 0.67% (1,049) of </w:t>
      </w:r>
      <w:r w:rsidRPr="0083712A">
        <w:t>veterans had a history of incarceration between 2011 and 2015. Homeless and incarcerated veterans were older, more likely to be male, and were made up of a higher proportion of white non-Hispanic individuals than their non-veteran counterparts</w:t>
      </w:r>
      <w:r>
        <w:t>.</w:t>
      </w:r>
    </w:p>
    <w:p w:rsidR="00FC0C33" w:rsidRDefault="00FC0C33" w:rsidP="00FC0C33">
      <w:pPr>
        <w:pStyle w:val="ListParagraph"/>
      </w:pPr>
    </w:p>
    <w:p w:rsidR="005E70E9" w:rsidRDefault="005E70E9" w:rsidP="00217830">
      <w:pPr>
        <w:pStyle w:val="ListParagraph"/>
        <w:numPr>
          <w:ilvl w:val="0"/>
          <w:numId w:val="5"/>
        </w:numPr>
      </w:pPr>
      <w:r w:rsidRPr="00C44459">
        <w:t>Within homeless and incarcerated populations, Veterans were more likely to have ever had an opioid prescription, to have had a concurrent benzodiazepine prescription with their opioid prescription, and to have had their opioid prescription for 3 or more months at a dosage of 120 morphine milli</w:t>
      </w:r>
      <w:r w:rsidR="00BA369E">
        <w:t xml:space="preserve">gram equivalent (MME) or higher </w:t>
      </w:r>
      <w:r w:rsidR="00BA369E">
        <w:rPr>
          <w:rFonts w:cs="Times New Roman"/>
        </w:rPr>
        <w:t>(Figure 3</w:t>
      </w:r>
      <w:r w:rsidR="00A06D2B">
        <w:rPr>
          <w:rFonts w:cs="Times New Roman"/>
        </w:rPr>
        <w:t>2</w:t>
      </w:r>
      <w:r w:rsidR="00BA369E">
        <w:rPr>
          <w:rFonts w:cs="Times New Roman"/>
        </w:rPr>
        <w:t>).</w:t>
      </w:r>
    </w:p>
    <w:p w:rsidR="007D1230" w:rsidRDefault="007D1230" w:rsidP="00E832F5"/>
    <w:p w:rsidR="00BA369E" w:rsidRDefault="00BA369E" w:rsidP="00E832F5"/>
    <w:p w:rsidR="00B154A5" w:rsidRPr="00FD0147" w:rsidRDefault="008122B3" w:rsidP="00FD0147">
      <w:pPr>
        <w:pStyle w:val="Caption"/>
        <w:ind w:left="360"/>
        <w:rPr>
          <w:color w:val="auto"/>
          <w:sz w:val="22"/>
          <w:szCs w:val="22"/>
        </w:rPr>
      </w:pPr>
      <w:r w:rsidRPr="008122B3">
        <w:rPr>
          <w:color w:val="auto"/>
          <w:sz w:val="22"/>
          <w:szCs w:val="22"/>
        </w:rPr>
        <w:t xml:space="preserve">Figure </w:t>
      </w:r>
      <w:r w:rsidRPr="008122B3">
        <w:rPr>
          <w:color w:val="auto"/>
          <w:sz w:val="22"/>
          <w:szCs w:val="22"/>
        </w:rPr>
        <w:fldChar w:fldCharType="begin"/>
      </w:r>
      <w:r w:rsidRPr="008122B3">
        <w:rPr>
          <w:color w:val="auto"/>
          <w:sz w:val="22"/>
          <w:szCs w:val="22"/>
        </w:rPr>
        <w:instrText xml:space="preserve"> SEQ Figure \* ARABIC </w:instrText>
      </w:r>
      <w:r w:rsidRPr="008122B3">
        <w:rPr>
          <w:color w:val="auto"/>
          <w:sz w:val="22"/>
          <w:szCs w:val="22"/>
        </w:rPr>
        <w:fldChar w:fldCharType="separate"/>
      </w:r>
      <w:r w:rsidR="002B3BC3">
        <w:rPr>
          <w:noProof/>
          <w:color w:val="auto"/>
          <w:sz w:val="22"/>
          <w:szCs w:val="22"/>
        </w:rPr>
        <w:t>32</w:t>
      </w:r>
      <w:r w:rsidRPr="008122B3">
        <w:rPr>
          <w:color w:val="auto"/>
          <w:sz w:val="22"/>
          <w:szCs w:val="22"/>
        </w:rPr>
        <w:fldChar w:fldCharType="end"/>
      </w:r>
      <w:r w:rsidR="0011696E" w:rsidRPr="0011696E">
        <w:rPr>
          <w:color w:val="auto"/>
          <w:sz w:val="22"/>
          <w:szCs w:val="22"/>
        </w:rPr>
        <w:t>. Opioid Prescribing Patterns</w:t>
      </w:r>
      <w:r w:rsidR="0011696E">
        <w:rPr>
          <w:color w:val="auto"/>
          <w:sz w:val="22"/>
          <w:szCs w:val="22"/>
        </w:rPr>
        <w:t xml:space="preserve"> by Veteran Status</w:t>
      </w:r>
      <w:r w:rsidR="009B0AEB">
        <w:rPr>
          <w:color w:val="auto"/>
          <w:sz w:val="22"/>
          <w:szCs w:val="22"/>
        </w:rPr>
        <w:t>, MA</w:t>
      </w:r>
      <w:r w:rsidR="00FD0147">
        <w:rPr>
          <w:color w:val="auto"/>
          <w:sz w:val="22"/>
          <w:szCs w:val="22"/>
        </w:rPr>
        <w:t>: 2011-2015</w:t>
      </w:r>
    </w:p>
    <w:p w:rsidR="00FD0147" w:rsidRDefault="00FD0147" w:rsidP="00FD0147">
      <w:pPr>
        <w:pStyle w:val="ListParagraph"/>
        <w:spacing w:after="200" w:line="276" w:lineRule="auto"/>
        <w:ind w:left="360"/>
      </w:pPr>
      <w:r>
        <w:rPr>
          <w:noProof/>
        </w:rPr>
        <w:drawing>
          <wp:inline distT="0" distB="0" distL="0" distR="0" wp14:anchorId="40190A46" wp14:editId="1BABEAA9">
            <wp:extent cx="5943600" cy="2762885"/>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FD0147" w:rsidRDefault="00FD0147" w:rsidP="00262B90">
      <w:pPr>
        <w:spacing w:after="200" w:line="276" w:lineRule="auto"/>
      </w:pPr>
    </w:p>
    <w:p w:rsidR="00262B90" w:rsidRDefault="00262B90" w:rsidP="00262B90">
      <w:pPr>
        <w:pStyle w:val="ListParagraph"/>
        <w:numPr>
          <w:ilvl w:val="0"/>
          <w:numId w:val="5"/>
        </w:numPr>
        <w:spacing w:after="240" w:line="276" w:lineRule="auto"/>
      </w:pPr>
      <w:r w:rsidRPr="00C44459">
        <w:t xml:space="preserve">Within homeless and incarcerated populations, </w:t>
      </w:r>
      <w:r>
        <w:t xml:space="preserve">opioid overdoses (both non-fatal and fatal) were more common among veterans than non-veterans </w:t>
      </w:r>
      <w:r w:rsidRPr="00262B90">
        <w:rPr>
          <w:rFonts w:cs="Times New Roman"/>
        </w:rPr>
        <w:t>(Figure 3</w:t>
      </w:r>
      <w:r w:rsidR="00A06D2B">
        <w:rPr>
          <w:rFonts w:cs="Times New Roman"/>
        </w:rPr>
        <w:t>3</w:t>
      </w:r>
      <w:r w:rsidRPr="00262B90">
        <w:rPr>
          <w:rFonts w:cs="Times New Roman"/>
        </w:rPr>
        <w:t>).</w:t>
      </w:r>
    </w:p>
    <w:p w:rsidR="00262B90" w:rsidRDefault="00262B90" w:rsidP="00262B90"/>
    <w:p w:rsidR="00FD0147" w:rsidRDefault="00FD0147" w:rsidP="00262B90"/>
    <w:p w:rsidR="00FD0147" w:rsidRDefault="00FD0147" w:rsidP="00262B90"/>
    <w:p w:rsidR="00FD0147" w:rsidRDefault="00FD0147" w:rsidP="00262B90"/>
    <w:p w:rsidR="00FD0147" w:rsidRDefault="00FD0147" w:rsidP="00262B90"/>
    <w:p w:rsidR="00262B90" w:rsidRDefault="00262B90" w:rsidP="00D5328A">
      <w:pPr>
        <w:pStyle w:val="Caption"/>
        <w:ind w:left="720"/>
        <w:rPr>
          <w:color w:val="auto"/>
          <w:sz w:val="22"/>
          <w:szCs w:val="22"/>
        </w:rPr>
      </w:pPr>
      <w:r w:rsidRPr="0011696E">
        <w:rPr>
          <w:color w:val="auto"/>
          <w:sz w:val="22"/>
          <w:szCs w:val="22"/>
        </w:rPr>
        <w:lastRenderedPageBreak/>
        <w:t xml:space="preserve">Figure </w:t>
      </w:r>
      <w:r w:rsidRPr="0011696E">
        <w:rPr>
          <w:color w:val="auto"/>
          <w:sz w:val="22"/>
          <w:szCs w:val="22"/>
        </w:rPr>
        <w:fldChar w:fldCharType="begin"/>
      </w:r>
      <w:r w:rsidRPr="0011696E">
        <w:rPr>
          <w:color w:val="auto"/>
          <w:sz w:val="22"/>
          <w:szCs w:val="22"/>
        </w:rPr>
        <w:instrText xml:space="preserve"> SEQ Figure \* ARABIC </w:instrText>
      </w:r>
      <w:r w:rsidRPr="0011696E">
        <w:rPr>
          <w:color w:val="auto"/>
          <w:sz w:val="22"/>
          <w:szCs w:val="22"/>
        </w:rPr>
        <w:fldChar w:fldCharType="separate"/>
      </w:r>
      <w:r w:rsidR="002B3BC3">
        <w:rPr>
          <w:noProof/>
          <w:color w:val="auto"/>
          <w:sz w:val="22"/>
          <w:szCs w:val="22"/>
        </w:rPr>
        <w:t>33</w:t>
      </w:r>
      <w:r w:rsidRPr="0011696E">
        <w:rPr>
          <w:color w:val="auto"/>
          <w:sz w:val="22"/>
          <w:szCs w:val="22"/>
        </w:rPr>
        <w:fldChar w:fldCharType="end"/>
      </w:r>
      <w:r w:rsidRPr="0011696E">
        <w:rPr>
          <w:color w:val="auto"/>
          <w:sz w:val="22"/>
          <w:szCs w:val="22"/>
        </w:rPr>
        <w:t xml:space="preserve">. </w:t>
      </w:r>
      <w:r>
        <w:rPr>
          <w:color w:val="auto"/>
          <w:sz w:val="22"/>
          <w:szCs w:val="22"/>
        </w:rPr>
        <w:t>OUD and Opioid Overdoses by Veteran Status, MA</w:t>
      </w:r>
      <w:r w:rsidRPr="0011696E">
        <w:rPr>
          <w:color w:val="auto"/>
          <w:sz w:val="22"/>
          <w:szCs w:val="22"/>
        </w:rPr>
        <w:t>: 2011-2015</w:t>
      </w:r>
    </w:p>
    <w:p w:rsidR="00262B90" w:rsidRDefault="00FD0147" w:rsidP="00FD0147">
      <w:pPr>
        <w:ind w:left="360"/>
      </w:pPr>
      <w:r>
        <w:rPr>
          <w:noProof/>
        </w:rPr>
        <w:drawing>
          <wp:inline distT="0" distB="0" distL="0" distR="0" wp14:anchorId="2D5616F5" wp14:editId="5ABB8C5E">
            <wp:extent cx="5924550" cy="2928938"/>
            <wp:effectExtent l="0" t="0" r="0" b="508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262B90" w:rsidRPr="00262B90" w:rsidRDefault="00262B90" w:rsidP="00262B90"/>
    <w:p w:rsidR="005E70E9" w:rsidRPr="00C44459" w:rsidRDefault="005E70E9" w:rsidP="00413ECA">
      <w:pPr>
        <w:pStyle w:val="ListParagraph"/>
        <w:numPr>
          <w:ilvl w:val="0"/>
          <w:numId w:val="5"/>
        </w:numPr>
      </w:pPr>
      <w:r w:rsidRPr="00C44459">
        <w:t>When looking at a count of opioid prescriptions, Veterans had more prescriptions than non-</w:t>
      </w:r>
      <w:r>
        <w:t>veterans:</w:t>
      </w:r>
    </w:p>
    <w:p w:rsidR="005E70E9" w:rsidRPr="001428D9" w:rsidRDefault="005E70E9" w:rsidP="00A877D1">
      <w:pPr>
        <w:pStyle w:val="ListParagraph"/>
        <w:numPr>
          <w:ilvl w:val="1"/>
          <w:numId w:val="12"/>
        </w:numPr>
      </w:pPr>
      <w:r w:rsidRPr="001428D9">
        <w:t xml:space="preserve">11.2 prescriptions for recently incarcerated </w:t>
      </w:r>
      <w:r w:rsidR="00DF2CB8">
        <w:t>v</w:t>
      </w:r>
      <w:r w:rsidRPr="001428D9">
        <w:t>eterans versus 6.8 in the recently incarcerated non-</w:t>
      </w:r>
      <w:r>
        <w:t>v</w:t>
      </w:r>
      <w:r w:rsidRPr="001428D9">
        <w:t>eteran population</w:t>
      </w:r>
    </w:p>
    <w:p w:rsidR="005E70E9" w:rsidRDefault="005E70E9" w:rsidP="00A877D1">
      <w:pPr>
        <w:pStyle w:val="ListParagraph"/>
        <w:numPr>
          <w:ilvl w:val="1"/>
          <w:numId w:val="12"/>
        </w:numPr>
      </w:pPr>
      <w:r w:rsidRPr="001428D9">
        <w:t xml:space="preserve">12.6 prescriptions  for homeless </w:t>
      </w:r>
      <w:r>
        <w:t>v</w:t>
      </w:r>
      <w:r w:rsidRPr="001428D9">
        <w:t>eterans versus 9.2 in the homeless non-</w:t>
      </w:r>
      <w:r>
        <w:t>v</w:t>
      </w:r>
      <w:r w:rsidRPr="001428D9">
        <w:t>eteran population</w:t>
      </w:r>
    </w:p>
    <w:p w:rsidR="00413ECA" w:rsidRPr="00217830" w:rsidRDefault="00413ECA" w:rsidP="00E832F5">
      <w:pPr>
        <w:rPr>
          <w:szCs w:val="8"/>
        </w:rPr>
      </w:pPr>
    </w:p>
    <w:p w:rsidR="005E70E9" w:rsidRDefault="005E70E9" w:rsidP="00413ECA">
      <w:pPr>
        <w:pStyle w:val="ListParagraph"/>
        <w:numPr>
          <w:ilvl w:val="0"/>
          <w:numId w:val="5"/>
        </w:numPr>
      </w:pPr>
      <w:r w:rsidRPr="00C44459">
        <w:t xml:space="preserve">Within homeless and incarcerated populations, </w:t>
      </w:r>
      <w:r>
        <w:t>v</w:t>
      </w:r>
      <w:r w:rsidRPr="00C44459">
        <w:t xml:space="preserve">eterans had </w:t>
      </w:r>
      <w:r w:rsidR="00413ECA">
        <w:t xml:space="preserve">49% higher odds of a non-fatal </w:t>
      </w:r>
      <w:r w:rsidR="00DF2CB8">
        <w:t xml:space="preserve">opioid </w:t>
      </w:r>
      <w:r w:rsidR="00413ECA">
        <w:t>o</w:t>
      </w:r>
      <w:r w:rsidRPr="00C44459">
        <w:t>verdose (1.30-1.71) and 57% higher odds of a fatal overdose (1.15-2.13) than non-Veterans</w:t>
      </w:r>
      <w:r w:rsidR="00BA369E">
        <w:t xml:space="preserve"> </w:t>
      </w:r>
      <w:r w:rsidR="00BA369E">
        <w:rPr>
          <w:rFonts w:cs="Times New Roman"/>
        </w:rPr>
        <w:t>(Figure 3</w:t>
      </w:r>
      <w:r w:rsidR="00A06D2B">
        <w:rPr>
          <w:rFonts w:cs="Times New Roman"/>
        </w:rPr>
        <w:t>4</w:t>
      </w:r>
      <w:r w:rsidR="00BA369E">
        <w:rPr>
          <w:rFonts w:cs="Times New Roman"/>
        </w:rPr>
        <w:t>).</w:t>
      </w:r>
    </w:p>
    <w:p w:rsidR="00E3738E" w:rsidRPr="00E3738E" w:rsidRDefault="00E3738E" w:rsidP="00217830">
      <w:pPr>
        <w:pStyle w:val="Caption"/>
        <w:ind w:left="720"/>
        <w:rPr>
          <w:color w:val="auto"/>
          <w:sz w:val="8"/>
          <w:szCs w:val="8"/>
        </w:rPr>
      </w:pPr>
    </w:p>
    <w:p w:rsidR="004A05E5" w:rsidRPr="00B220F9" w:rsidRDefault="00413ECA" w:rsidP="00FD0147">
      <w:pPr>
        <w:pStyle w:val="Caption"/>
      </w:pPr>
      <w:r w:rsidRPr="00413ECA">
        <w:rPr>
          <w:color w:val="auto"/>
          <w:sz w:val="22"/>
          <w:szCs w:val="22"/>
        </w:rPr>
        <w:t xml:space="preserve">Figure </w:t>
      </w:r>
      <w:r w:rsidRPr="00413ECA">
        <w:rPr>
          <w:b w:val="0"/>
          <w:bCs w:val="0"/>
        </w:rPr>
        <w:fldChar w:fldCharType="begin"/>
      </w:r>
      <w:r w:rsidRPr="00413ECA">
        <w:rPr>
          <w:color w:val="auto"/>
          <w:sz w:val="22"/>
          <w:szCs w:val="22"/>
        </w:rPr>
        <w:instrText xml:space="preserve"> SEQ Figure \* ARABIC </w:instrText>
      </w:r>
      <w:r w:rsidRPr="00413ECA">
        <w:rPr>
          <w:b w:val="0"/>
          <w:bCs w:val="0"/>
        </w:rPr>
        <w:fldChar w:fldCharType="separate"/>
      </w:r>
      <w:r w:rsidR="002B3BC3">
        <w:rPr>
          <w:noProof/>
          <w:color w:val="auto"/>
          <w:sz w:val="22"/>
          <w:szCs w:val="22"/>
        </w:rPr>
        <w:t>34</w:t>
      </w:r>
      <w:r w:rsidRPr="00413ECA">
        <w:rPr>
          <w:b w:val="0"/>
          <w:bCs w:val="0"/>
        </w:rPr>
        <w:fldChar w:fldCharType="end"/>
      </w:r>
      <w:r w:rsidRPr="00413ECA">
        <w:rPr>
          <w:color w:val="auto"/>
          <w:sz w:val="22"/>
          <w:szCs w:val="22"/>
        </w:rPr>
        <w:t>.</w:t>
      </w:r>
      <w:r>
        <w:t xml:space="preserve"> </w:t>
      </w:r>
      <w:r w:rsidRPr="000D1972">
        <w:rPr>
          <w:color w:val="auto"/>
          <w:sz w:val="22"/>
          <w:szCs w:val="22"/>
        </w:rPr>
        <w:t>Adjusted Risk of Non-</w:t>
      </w:r>
      <w:r w:rsidR="00EF2562">
        <w:rPr>
          <w:color w:val="auto"/>
          <w:sz w:val="22"/>
          <w:szCs w:val="22"/>
        </w:rPr>
        <w:t>F</w:t>
      </w:r>
      <w:r w:rsidR="00EF2562" w:rsidRPr="000D1972">
        <w:rPr>
          <w:color w:val="auto"/>
          <w:sz w:val="22"/>
          <w:szCs w:val="22"/>
        </w:rPr>
        <w:t xml:space="preserve">atal </w:t>
      </w:r>
      <w:r w:rsidRPr="000D1972">
        <w:rPr>
          <w:color w:val="auto"/>
          <w:sz w:val="22"/>
          <w:szCs w:val="22"/>
        </w:rPr>
        <w:t xml:space="preserve">and Fatal Opioid Overdose by Veteran Status: </w:t>
      </w:r>
      <w:r w:rsidR="00EF2562">
        <w:rPr>
          <w:color w:val="auto"/>
          <w:sz w:val="22"/>
          <w:szCs w:val="22"/>
        </w:rPr>
        <w:t xml:space="preserve">MA, </w:t>
      </w:r>
      <w:r w:rsidRPr="000D1972">
        <w:rPr>
          <w:color w:val="auto"/>
          <w:sz w:val="22"/>
          <w:szCs w:val="22"/>
        </w:rPr>
        <w:t>2011-2015</w:t>
      </w:r>
      <w:r w:rsidR="00B154A5" w:rsidRPr="00B154A5">
        <w:rPr>
          <w:noProof/>
        </w:rPr>
        <w:t xml:space="preserve"> </w:t>
      </w:r>
      <w:r w:rsidR="00FD0147">
        <w:rPr>
          <w:noProof/>
        </w:rPr>
        <w:drawing>
          <wp:inline distT="0" distB="0" distL="0" distR="0" wp14:anchorId="6804EA68" wp14:editId="1FA18614">
            <wp:extent cx="4572000" cy="274320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D5328A" w:rsidRDefault="00B75C28" w:rsidP="00D5328A">
      <w:pPr>
        <w:pStyle w:val="ListParagraph"/>
        <w:numPr>
          <w:ilvl w:val="0"/>
          <w:numId w:val="5"/>
        </w:numPr>
      </w:pPr>
      <w:r w:rsidRPr="00C92FB5">
        <w:lastRenderedPageBreak/>
        <w:t xml:space="preserve">Massachusetts veterans have higher rates of non-fatal opioid overdose (136 </w:t>
      </w:r>
      <w:r w:rsidR="00FA5054" w:rsidRPr="00C92FB5">
        <w:t xml:space="preserve">non-fatal overdoses per 100,000 </w:t>
      </w:r>
      <w:r w:rsidRPr="00C92FB5">
        <w:t>veterans</w:t>
      </w:r>
      <w:r w:rsidR="00EF2562" w:rsidRPr="00C92FB5">
        <w:t xml:space="preserve"> </w:t>
      </w:r>
      <w:r w:rsidRPr="00C92FB5">
        <w:t>vs. 84 per 100,000 non-veterans) and double the rate of fatal opioid overdoses (40 fatal overdoses per 100,000 veterans vs. 16 per 100,000 non-veterans) when compared to non-Veterans.</w:t>
      </w:r>
    </w:p>
    <w:p w:rsidR="00D5328A" w:rsidRDefault="00D5328A" w:rsidP="00D5328A">
      <w:pPr>
        <w:pStyle w:val="ListParagraph"/>
        <w:ind w:left="360"/>
      </w:pPr>
    </w:p>
    <w:p w:rsidR="005E70E9" w:rsidRPr="00D5328A" w:rsidRDefault="005E70E9" w:rsidP="00D5328A">
      <w:pPr>
        <w:pStyle w:val="ListParagraph"/>
        <w:numPr>
          <w:ilvl w:val="0"/>
          <w:numId w:val="5"/>
        </w:numPr>
      </w:pPr>
      <w:r w:rsidRPr="00A07190">
        <w:t xml:space="preserve">Veterans have 69% higher odds of a non-fatal </w:t>
      </w:r>
      <w:r w:rsidR="00DF2CB8">
        <w:t xml:space="preserve">opioid </w:t>
      </w:r>
      <w:r w:rsidRPr="00A07190">
        <w:t xml:space="preserve">overdose (1.58-1.81) and 132% higher odds of a fatal </w:t>
      </w:r>
      <w:r w:rsidR="00DF2CB8">
        <w:t xml:space="preserve">opioid </w:t>
      </w:r>
      <w:r w:rsidRPr="00A07190">
        <w:t>overdose than non-</w:t>
      </w:r>
      <w:r>
        <w:t>v</w:t>
      </w:r>
      <w:r w:rsidRPr="00A07190">
        <w:t>eterans (2.06-2.63)</w:t>
      </w:r>
      <w:r>
        <w:t>.</w:t>
      </w: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F825E8" w:rsidRDefault="00F825E8" w:rsidP="00F825E8">
      <w:pPr>
        <w:spacing w:after="200" w:line="276" w:lineRule="auto"/>
        <w:rPr>
          <w:i/>
        </w:rPr>
      </w:pPr>
    </w:p>
    <w:p w:rsidR="00C92FB5" w:rsidRDefault="00C92FB5">
      <w:pPr>
        <w:spacing w:after="200" w:line="276" w:lineRule="auto"/>
        <w:rPr>
          <w:rFonts w:asciiTheme="majorHAnsi" w:eastAsiaTheme="majorEastAsia" w:hAnsiTheme="majorHAnsi" w:cstheme="majorBidi"/>
          <w:b/>
          <w:bCs/>
          <w:color w:val="4F81BD" w:themeColor="accent1"/>
          <w:sz w:val="36"/>
          <w:szCs w:val="36"/>
        </w:rPr>
      </w:pPr>
      <w:bookmarkStart w:id="13" w:name="_Toc20134882"/>
      <w:r>
        <w:rPr>
          <w:sz w:val="36"/>
          <w:szCs w:val="36"/>
        </w:rPr>
        <w:br w:type="page"/>
      </w:r>
    </w:p>
    <w:p w:rsidR="00F825E8" w:rsidRPr="00D3478C" w:rsidRDefault="00F825E8" w:rsidP="00F825E8">
      <w:pPr>
        <w:pStyle w:val="Heading2"/>
        <w:spacing w:before="120"/>
        <w:rPr>
          <w:sz w:val="36"/>
          <w:szCs w:val="36"/>
        </w:rPr>
      </w:pPr>
      <w:r w:rsidRPr="00D3478C">
        <w:rPr>
          <w:sz w:val="36"/>
          <w:szCs w:val="36"/>
        </w:rPr>
        <w:lastRenderedPageBreak/>
        <w:t xml:space="preserve">MassHealth </w:t>
      </w:r>
      <w:r w:rsidR="00A96AA2">
        <w:rPr>
          <w:sz w:val="36"/>
          <w:szCs w:val="36"/>
        </w:rPr>
        <w:t>M</w:t>
      </w:r>
      <w:r w:rsidR="00A96AA2" w:rsidRPr="00D3478C">
        <w:rPr>
          <w:sz w:val="36"/>
          <w:szCs w:val="36"/>
        </w:rPr>
        <w:t>embers</w:t>
      </w:r>
      <w:bookmarkEnd w:id="13"/>
      <w:r w:rsidRPr="00D3478C">
        <w:rPr>
          <w:sz w:val="36"/>
          <w:szCs w:val="36"/>
        </w:rPr>
        <w:tab/>
      </w:r>
    </w:p>
    <w:p w:rsidR="00F825E8" w:rsidRDefault="00F825E8" w:rsidP="00F825E8">
      <w:pPr>
        <w:rPr>
          <w:rFonts w:eastAsia="Times New Roman" w:cs="Times New Roman"/>
          <w:b/>
          <w:color w:val="000000"/>
        </w:rPr>
      </w:pPr>
    </w:p>
    <w:p w:rsidR="00F825E8" w:rsidRDefault="001E3774" w:rsidP="00F825E8">
      <w:pPr>
        <w:rPr>
          <w:rFonts w:eastAsia="Times New Roman" w:cs="Times New Roman"/>
          <w:b/>
          <w:color w:val="000000"/>
        </w:rPr>
      </w:pPr>
      <w:r>
        <w:rPr>
          <w:rFonts w:eastAsia="Times New Roman" w:cs="Times New Roman"/>
          <w:b/>
          <w:color w:val="000000"/>
        </w:rPr>
        <w:t xml:space="preserve">Background: </w:t>
      </w:r>
    </w:p>
    <w:p w:rsidR="00F825E8" w:rsidRDefault="00F825E8" w:rsidP="000972FC">
      <w:pPr>
        <w:spacing w:line="276" w:lineRule="auto"/>
        <w:rPr>
          <w:rFonts w:cs="Times New Roman"/>
        </w:rPr>
      </w:pPr>
      <w:r w:rsidRPr="00602AC0">
        <w:rPr>
          <w:rFonts w:eastAsia="Times New Roman" w:cs="Times New Roman"/>
          <w:color w:val="000000"/>
        </w:rPr>
        <w:t xml:space="preserve">In support of their </w:t>
      </w:r>
      <w:r w:rsidRPr="008873D8">
        <w:t>new Acco</w:t>
      </w:r>
      <w:r>
        <w:t>untable Care Organization (ACO)</w:t>
      </w:r>
      <w:r>
        <w:rPr>
          <w:rFonts w:eastAsia="Times New Roman" w:cs="Times New Roman"/>
          <w:color w:val="000000"/>
        </w:rPr>
        <w:t xml:space="preserve"> roll-out, MassHealth explored </w:t>
      </w:r>
      <w:r w:rsidRPr="00602AC0">
        <w:rPr>
          <w:rFonts w:eastAsia="Times New Roman" w:cs="Times New Roman"/>
          <w:color w:val="000000"/>
        </w:rPr>
        <w:t xml:space="preserve">the experience of MassHealth members who had a non-fatal and/or a fatal opioid-related overdose in order to better address the needs of high risk groups. </w:t>
      </w:r>
      <w:r>
        <w:rPr>
          <w:rFonts w:eastAsia="Times New Roman" w:cs="Times New Roman"/>
          <w:color w:val="000000"/>
        </w:rPr>
        <w:t xml:space="preserve">These high risk groups included </w:t>
      </w:r>
      <w:r w:rsidRPr="008873D8">
        <w:rPr>
          <w:rFonts w:cs="Times New Roman"/>
        </w:rPr>
        <w:t>individuals experiencing homelessness, those who are unstably housed, and the formerly incarcerated, with a particular emphasis on members of those populations who have substance use disorders (SUD) and/or serious mental illness (SMI</w:t>
      </w:r>
      <w:r>
        <w:rPr>
          <w:rFonts w:cs="Times New Roman"/>
        </w:rPr>
        <w:t>).</w:t>
      </w:r>
    </w:p>
    <w:p w:rsidR="009C6774" w:rsidRPr="00C00C6C" w:rsidRDefault="009C6774" w:rsidP="00217830">
      <w:pPr>
        <w:rPr>
          <w:rFonts w:cs="Times New Roman"/>
        </w:rPr>
      </w:pPr>
    </w:p>
    <w:p w:rsidR="00F825E8" w:rsidRDefault="00F825E8" w:rsidP="00F825E8">
      <w:pPr>
        <w:rPr>
          <w:rFonts w:cs="Times New Roman"/>
          <w:b/>
        </w:rPr>
      </w:pPr>
      <w:r w:rsidRPr="0053198D">
        <w:rPr>
          <w:rFonts w:eastAsia="Times New Roman" w:cs="Times New Roman"/>
          <w:b/>
          <w:color w:val="000000"/>
        </w:rPr>
        <w:t>Key Findings</w:t>
      </w:r>
      <w:r w:rsidRPr="0053198D">
        <w:rPr>
          <w:rFonts w:cs="Times New Roman"/>
          <w:b/>
        </w:rPr>
        <w:t>:</w:t>
      </w:r>
    </w:p>
    <w:p w:rsidR="00F825E8" w:rsidRPr="00275C30" w:rsidRDefault="00F825E8" w:rsidP="00275C30">
      <w:pPr>
        <w:pStyle w:val="ListParagraph"/>
        <w:numPr>
          <w:ilvl w:val="0"/>
          <w:numId w:val="8"/>
        </w:numPr>
        <w:spacing w:after="200" w:line="23" w:lineRule="atLeast"/>
        <w:rPr>
          <w:rFonts w:cs="Times New Roman"/>
        </w:rPr>
      </w:pPr>
      <w:r w:rsidRPr="002B1A01">
        <w:t xml:space="preserve">Of the </w:t>
      </w:r>
      <w:r w:rsidRPr="00262287">
        <w:rPr>
          <w:rFonts w:cs="Arial"/>
        </w:rPr>
        <w:t>1</w:t>
      </w:r>
      <w:r>
        <w:rPr>
          <w:rFonts w:cs="Arial"/>
        </w:rPr>
        <w:t>,</w:t>
      </w:r>
      <w:r w:rsidRPr="00262287">
        <w:rPr>
          <w:rFonts w:cs="Arial"/>
        </w:rPr>
        <w:t>955</w:t>
      </w:r>
      <w:r>
        <w:rPr>
          <w:rFonts w:cs="Arial"/>
        </w:rPr>
        <w:t>,</w:t>
      </w:r>
      <w:r w:rsidRPr="00262287">
        <w:rPr>
          <w:rFonts w:cs="Arial"/>
        </w:rPr>
        <w:t>546</w:t>
      </w:r>
      <w:r>
        <w:rPr>
          <w:rFonts w:cs="Arial"/>
        </w:rPr>
        <w:t xml:space="preserve"> MassHealth members</w:t>
      </w:r>
      <w:r>
        <w:t xml:space="preserve"> in Massachusetts ages 11 and older, 2.4% had evidence of criminal justice involvement, 0.1% had evidence of homelessness and 9.9% had evidence of unstable housing</w:t>
      </w:r>
      <w:r w:rsidRPr="00262287">
        <w:t xml:space="preserve"> </w:t>
      </w:r>
      <w:r>
        <w:t xml:space="preserve">between 2011 and 2015. </w:t>
      </w:r>
    </w:p>
    <w:p w:rsidR="00275C30" w:rsidRPr="00275C30" w:rsidRDefault="00275C30" w:rsidP="00275C30">
      <w:pPr>
        <w:pStyle w:val="ListParagraph"/>
        <w:spacing w:after="200" w:line="23" w:lineRule="atLeast"/>
        <w:ind w:left="360"/>
        <w:rPr>
          <w:rFonts w:cs="Times New Roman"/>
        </w:rPr>
      </w:pPr>
    </w:p>
    <w:p w:rsidR="00F825E8" w:rsidRPr="000972FC" w:rsidRDefault="00F825E8" w:rsidP="000972FC">
      <w:pPr>
        <w:pStyle w:val="ListParagraph"/>
        <w:numPr>
          <w:ilvl w:val="0"/>
          <w:numId w:val="8"/>
        </w:numPr>
        <w:spacing w:after="200" w:line="23" w:lineRule="atLeast"/>
        <w:rPr>
          <w:rFonts w:cs="Times New Roman"/>
        </w:rPr>
      </w:pPr>
      <w:r w:rsidRPr="00DE26C2">
        <w:t>Fewer adolescents (ages 11-17) than adults (ages 18 and older) who had experienced a non-fatal opioid overdose (NFOD) were enrol</w:t>
      </w:r>
      <w:r>
        <w:t>led in MassHealth (57% vs. 73%).</w:t>
      </w:r>
    </w:p>
    <w:p w:rsidR="00F825E8" w:rsidRDefault="00F825E8" w:rsidP="00F825E8">
      <w:pPr>
        <w:pStyle w:val="ListParagraph"/>
        <w:spacing w:after="200" w:line="23" w:lineRule="atLeast"/>
        <w:rPr>
          <w:sz w:val="2"/>
          <w:szCs w:val="2"/>
        </w:rPr>
      </w:pPr>
    </w:p>
    <w:p w:rsidR="00F825E8" w:rsidRPr="00F362F1" w:rsidRDefault="00F825E8" w:rsidP="00F825E8">
      <w:pPr>
        <w:pStyle w:val="ListParagraph"/>
        <w:spacing w:after="200" w:line="23" w:lineRule="atLeast"/>
        <w:rPr>
          <w:sz w:val="2"/>
          <w:szCs w:val="2"/>
        </w:rPr>
      </w:pPr>
    </w:p>
    <w:p w:rsidR="00F825E8" w:rsidRPr="00E57493" w:rsidRDefault="00F825E8" w:rsidP="00F825E8">
      <w:pPr>
        <w:pStyle w:val="ListParagraph"/>
        <w:tabs>
          <w:tab w:val="left" w:pos="1440"/>
        </w:tabs>
        <w:spacing w:after="240" w:line="276" w:lineRule="auto"/>
        <w:ind w:left="360"/>
        <w:rPr>
          <w:sz w:val="8"/>
          <w:szCs w:val="8"/>
        </w:rPr>
      </w:pPr>
      <w:r w:rsidRPr="00F362F1">
        <w:tab/>
      </w:r>
    </w:p>
    <w:p w:rsidR="00F825E8" w:rsidRDefault="00F825E8" w:rsidP="00A877D1">
      <w:pPr>
        <w:pStyle w:val="ListParagraph"/>
        <w:numPr>
          <w:ilvl w:val="0"/>
          <w:numId w:val="10"/>
        </w:numPr>
        <w:spacing w:after="120" w:line="276" w:lineRule="auto"/>
      </w:pPr>
      <w:r w:rsidRPr="002F0B9B">
        <w:t>Among MassHealth members overall, 3,955 members (0.2%) had a fatal opioid</w:t>
      </w:r>
      <w:r>
        <w:t>-related</w:t>
      </w:r>
      <w:r w:rsidRPr="002F0B9B">
        <w:t xml:space="preserve"> overdose and 22,033 (</w:t>
      </w:r>
      <w:r>
        <w:t xml:space="preserve">1.1%) had a non-fatal opioid-related overdose. As a comparison, among the non-MassHealth population, </w:t>
      </w:r>
      <w:r w:rsidRPr="002F0B9B">
        <w:t>0.</w:t>
      </w:r>
      <w:r>
        <w:t xml:space="preserve">02% individuals had a fatal opioid-related </w:t>
      </w:r>
      <w:r w:rsidRPr="002F0B9B">
        <w:t xml:space="preserve">overdose and </w:t>
      </w:r>
      <w:r>
        <w:t>0.12% had a non-fatal opioid-related overdose</w:t>
      </w:r>
      <w:r w:rsidRPr="00336A98">
        <w:t>. Two-thirds of MassHealth members with an overdose had only one non-fatal overdose in the 5-year period</w:t>
      </w:r>
      <w:r>
        <w:t xml:space="preserve">. </w:t>
      </w:r>
      <w:r w:rsidRPr="00336A98">
        <w:t xml:space="preserve">Fairly equal proportions of MassHealth members had 2 non-fatal </w:t>
      </w:r>
      <w:r>
        <w:t>opioid</w:t>
      </w:r>
      <w:r w:rsidRPr="00336A98">
        <w:t xml:space="preserve"> overdoses with no subsequent fatal overdose, 3+ non-fatal overdoses with no subsequent fatal overdose,</w:t>
      </w:r>
      <w:r w:rsidR="00BA369E">
        <w:t xml:space="preserve"> or a fatal overdose alone </w:t>
      </w:r>
      <w:r w:rsidR="00BA369E">
        <w:rPr>
          <w:rFonts w:cs="Times New Roman"/>
        </w:rPr>
        <w:t xml:space="preserve">(Figure </w:t>
      </w:r>
      <w:r w:rsidR="008122B3">
        <w:rPr>
          <w:rFonts w:cs="Times New Roman"/>
        </w:rPr>
        <w:t>3</w:t>
      </w:r>
      <w:r w:rsidR="00A06D2B">
        <w:rPr>
          <w:rFonts w:cs="Times New Roman"/>
        </w:rPr>
        <w:t>5</w:t>
      </w:r>
      <w:r w:rsidR="00BA369E">
        <w:rPr>
          <w:rFonts w:cs="Times New Roman"/>
        </w:rPr>
        <w:t>).</w:t>
      </w:r>
    </w:p>
    <w:p w:rsidR="000972FC" w:rsidRDefault="000972FC" w:rsidP="00275C30">
      <w:pPr>
        <w:spacing w:after="120"/>
        <w:rPr>
          <w:b/>
        </w:rPr>
      </w:pPr>
    </w:p>
    <w:p w:rsidR="00F825E8" w:rsidRPr="000972FC" w:rsidRDefault="00F825E8" w:rsidP="00275C30">
      <w:pPr>
        <w:spacing w:after="120"/>
        <w:ind w:left="360"/>
        <w:rPr>
          <w:b/>
          <w:bCs/>
        </w:rPr>
      </w:pPr>
      <w:r w:rsidRPr="000972FC">
        <w:rPr>
          <w:b/>
        </w:rPr>
        <w:t xml:space="preserve">Figure </w:t>
      </w:r>
      <w:r w:rsidRPr="000972FC">
        <w:rPr>
          <w:b/>
        </w:rPr>
        <w:fldChar w:fldCharType="begin"/>
      </w:r>
      <w:r w:rsidRPr="000972FC">
        <w:rPr>
          <w:b/>
        </w:rPr>
        <w:instrText xml:space="preserve"> SEQ Figure \* ARABIC </w:instrText>
      </w:r>
      <w:r w:rsidRPr="000972FC">
        <w:rPr>
          <w:b/>
        </w:rPr>
        <w:fldChar w:fldCharType="separate"/>
      </w:r>
      <w:r w:rsidR="002B3BC3">
        <w:rPr>
          <w:b/>
          <w:noProof/>
        </w:rPr>
        <w:t>35</w:t>
      </w:r>
      <w:r w:rsidRPr="000972FC">
        <w:rPr>
          <w:b/>
        </w:rPr>
        <w:fldChar w:fldCharType="end"/>
      </w:r>
      <w:r w:rsidR="000972FC">
        <w:rPr>
          <w:b/>
        </w:rPr>
        <w:t xml:space="preserve">. </w:t>
      </w:r>
      <w:r w:rsidRPr="000972FC">
        <w:rPr>
          <w:b/>
          <w:bCs/>
        </w:rPr>
        <w:t>Opioid Overdoses by Overdose Outcome, MassHealth Members, Ages 11-64,</w:t>
      </w:r>
      <w:r w:rsidR="001D6148" w:rsidRPr="000972FC">
        <w:rPr>
          <w:b/>
          <w:bCs/>
        </w:rPr>
        <w:t xml:space="preserve"> </w:t>
      </w:r>
      <w:r w:rsidR="00275C30">
        <w:rPr>
          <w:b/>
          <w:bCs/>
        </w:rPr>
        <w:t xml:space="preserve">                        </w:t>
      </w:r>
      <w:r w:rsidR="001D6148" w:rsidRPr="000972FC">
        <w:rPr>
          <w:b/>
          <w:bCs/>
        </w:rPr>
        <w:t>MA:</w:t>
      </w:r>
      <w:r w:rsidRPr="000972FC">
        <w:rPr>
          <w:b/>
          <w:bCs/>
        </w:rPr>
        <w:t xml:space="preserve"> 2011-2015</w:t>
      </w:r>
    </w:p>
    <w:p w:rsidR="00E647FA" w:rsidRDefault="00F53C89" w:rsidP="00275C30">
      <w:pPr>
        <w:pStyle w:val="ListParagraph"/>
        <w:spacing w:after="120"/>
        <w:ind w:left="360"/>
      </w:pPr>
      <w:r>
        <w:rPr>
          <w:noProof/>
        </w:rPr>
        <w:drawing>
          <wp:inline distT="0" distB="0" distL="0" distR="0" wp14:anchorId="12A16F21" wp14:editId="563111DD">
            <wp:extent cx="5943600" cy="2466975"/>
            <wp:effectExtent l="0" t="0" r="0" b="0"/>
            <wp:docPr id="154" name="Chart 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90319D" w:rsidRDefault="0090319D" w:rsidP="0090319D">
      <w:pPr>
        <w:pStyle w:val="ListParagraph"/>
        <w:spacing w:line="276" w:lineRule="auto"/>
        <w:ind w:left="360"/>
      </w:pPr>
    </w:p>
    <w:p w:rsidR="00F825E8" w:rsidRPr="0099353F" w:rsidRDefault="00F825E8" w:rsidP="00F825E8">
      <w:pPr>
        <w:pStyle w:val="ListParagraph"/>
        <w:numPr>
          <w:ilvl w:val="0"/>
          <w:numId w:val="7"/>
        </w:numPr>
        <w:spacing w:line="276" w:lineRule="auto"/>
      </w:pPr>
      <w:r w:rsidRPr="0099353F">
        <w:lastRenderedPageBreak/>
        <w:t>MassHealth members who experienced homelessness and had co-occurring</w:t>
      </w:r>
      <w:r>
        <w:t xml:space="preserve"> substance use disorder SUD/SMI, </w:t>
      </w:r>
      <w:r w:rsidRPr="0099353F">
        <w:t xml:space="preserve">or a </w:t>
      </w:r>
      <w:r>
        <w:t>substance use disorder (SUD)</w:t>
      </w:r>
      <w:r w:rsidRPr="0099353F">
        <w:t xml:space="preserve"> diagnosis alone</w:t>
      </w:r>
      <w:r>
        <w:t xml:space="preserve">, </w:t>
      </w:r>
      <w:r w:rsidRPr="0099353F">
        <w:t xml:space="preserve">had a higher percentage of both fatal and non-fatal </w:t>
      </w:r>
      <w:r>
        <w:t xml:space="preserve">opioid </w:t>
      </w:r>
      <w:r w:rsidRPr="0099353F">
        <w:t>overdoses compared to the total MassHealth population</w:t>
      </w:r>
      <w:r>
        <w:t>. Additionally, b</w:t>
      </w:r>
      <w:r w:rsidRPr="0099353F">
        <w:t>eing both homeless and criminal justice involved compounded the risk for a non-fatal overdose, re</w:t>
      </w:r>
      <w:r>
        <w:t xml:space="preserve">gardless of diagnostic </w:t>
      </w:r>
      <w:r w:rsidR="00F341D8">
        <w:t xml:space="preserve">category </w:t>
      </w:r>
      <w:r w:rsidR="00F341D8">
        <w:rPr>
          <w:rFonts w:cs="Times New Roman"/>
        </w:rPr>
        <w:t xml:space="preserve">(Figure </w:t>
      </w:r>
      <w:r w:rsidR="006D2F4E">
        <w:rPr>
          <w:rFonts w:cs="Times New Roman"/>
        </w:rPr>
        <w:t>3</w:t>
      </w:r>
      <w:r w:rsidR="00A06D2B">
        <w:rPr>
          <w:rFonts w:cs="Times New Roman"/>
        </w:rPr>
        <w:t>6</w:t>
      </w:r>
      <w:r w:rsidR="006D2F4E">
        <w:rPr>
          <w:rFonts w:cs="Times New Roman"/>
        </w:rPr>
        <w:t>)</w:t>
      </w:r>
      <w:r w:rsidR="00F341D8">
        <w:rPr>
          <w:rFonts w:cs="Times New Roman"/>
        </w:rPr>
        <w:t>.</w:t>
      </w:r>
    </w:p>
    <w:p w:rsidR="00F825E8" w:rsidRPr="0099353F" w:rsidRDefault="00F825E8" w:rsidP="00F825E8">
      <w:pPr>
        <w:pStyle w:val="ListParagraph"/>
        <w:numPr>
          <w:ilvl w:val="1"/>
          <w:numId w:val="7"/>
        </w:numPr>
      </w:pPr>
      <w:r>
        <w:t>M</w:t>
      </w:r>
      <w:r w:rsidRPr="0099353F">
        <w:t xml:space="preserve">embers with co-occurring diagnoses had non-fatal </w:t>
      </w:r>
      <w:r>
        <w:t>opioid</w:t>
      </w:r>
      <w:r w:rsidRPr="0099353F">
        <w:t xml:space="preserve"> overdose percentages three times higher, and</w:t>
      </w:r>
    </w:p>
    <w:p w:rsidR="00F825E8" w:rsidRDefault="00F825E8" w:rsidP="00217830">
      <w:pPr>
        <w:pStyle w:val="ListParagraph"/>
        <w:numPr>
          <w:ilvl w:val="1"/>
          <w:numId w:val="7"/>
        </w:numPr>
      </w:pPr>
      <w:r w:rsidRPr="0099353F">
        <w:t xml:space="preserve">members with a single SUD diagnosis had non-fatal </w:t>
      </w:r>
      <w:r>
        <w:t>opioid</w:t>
      </w:r>
      <w:r w:rsidRPr="0099353F">
        <w:t xml:space="preserve"> overdose percentages that were seven times higher</w:t>
      </w:r>
    </w:p>
    <w:p w:rsidR="00F825E8" w:rsidRPr="0090319D" w:rsidRDefault="00F825E8" w:rsidP="0090319D">
      <w:pPr>
        <w:spacing w:after="120"/>
        <w:rPr>
          <w:rFonts w:cs="Times New Roman"/>
          <w:sz w:val="8"/>
          <w:szCs w:val="8"/>
        </w:rPr>
      </w:pPr>
    </w:p>
    <w:p w:rsidR="00F825E8" w:rsidRDefault="00F825E8" w:rsidP="00F825E8">
      <w:pPr>
        <w:pStyle w:val="ListParagraph"/>
        <w:ind w:left="360"/>
        <w:rPr>
          <w:b/>
          <w:bCs/>
        </w:rPr>
      </w:pPr>
      <w:r w:rsidRPr="00512E2C">
        <w:rPr>
          <w:b/>
        </w:rPr>
        <w:t xml:space="preserve">Figure </w:t>
      </w:r>
      <w:r w:rsidRPr="00512E2C">
        <w:rPr>
          <w:b/>
        </w:rPr>
        <w:fldChar w:fldCharType="begin"/>
      </w:r>
      <w:r w:rsidRPr="00512E2C">
        <w:rPr>
          <w:b/>
        </w:rPr>
        <w:instrText xml:space="preserve"> SEQ Figure \* ARABIC </w:instrText>
      </w:r>
      <w:r w:rsidRPr="00512E2C">
        <w:rPr>
          <w:b/>
        </w:rPr>
        <w:fldChar w:fldCharType="separate"/>
      </w:r>
      <w:r w:rsidR="002B3BC3">
        <w:rPr>
          <w:b/>
          <w:noProof/>
        </w:rPr>
        <w:t>36</w:t>
      </w:r>
      <w:r w:rsidRPr="00512E2C">
        <w:rPr>
          <w:b/>
        </w:rPr>
        <w:fldChar w:fldCharType="end"/>
      </w:r>
      <w:r w:rsidRPr="00512E2C">
        <w:rPr>
          <w:b/>
        </w:rPr>
        <w:t xml:space="preserve">.  </w:t>
      </w:r>
      <w:r w:rsidRPr="00CC16FA">
        <w:rPr>
          <w:b/>
          <w:bCs/>
        </w:rPr>
        <w:t xml:space="preserve">Opioid Overdoses by </w:t>
      </w:r>
      <w:r>
        <w:rPr>
          <w:b/>
          <w:bCs/>
        </w:rPr>
        <w:t xml:space="preserve">SUD/SMI Illness Among Homeless </w:t>
      </w:r>
      <w:r w:rsidRPr="00CC16FA">
        <w:rPr>
          <w:b/>
          <w:bCs/>
        </w:rPr>
        <w:t>and/or Criminal</w:t>
      </w:r>
      <w:r>
        <w:rPr>
          <w:b/>
          <w:bCs/>
        </w:rPr>
        <w:t xml:space="preserve"> </w:t>
      </w:r>
      <w:r w:rsidRPr="00CC16FA">
        <w:rPr>
          <w:b/>
          <w:bCs/>
        </w:rPr>
        <w:t>Justice Involved Populations, Ages 11-64</w:t>
      </w:r>
      <w:r w:rsidR="009C6774">
        <w:rPr>
          <w:b/>
          <w:bCs/>
        </w:rPr>
        <w:t>, MA</w:t>
      </w:r>
      <w:r w:rsidRPr="00CC16FA">
        <w:rPr>
          <w:b/>
          <w:bCs/>
        </w:rPr>
        <w:t>: 2011-2015</w:t>
      </w:r>
    </w:p>
    <w:p w:rsidR="00F825E8" w:rsidRPr="00903B49" w:rsidRDefault="00F825E8" w:rsidP="00F825E8">
      <w:pPr>
        <w:pStyle w:val="ListParagraph"/>
        <w:ind w:left="1080"/>
        <w:jc w:val="center"/>
        <w:rPr>
          <w:b/>
          <w:bCs/>
        </w:rPr>
      </w:pPr>
    </w:p>
    <w:p w:rsidR="00F825E8" w:rsidRPr="009C6774" w:rsidRDefault="00893615" w:rsidP="00217830">
      <w:pPr>
        <w:pStyle w:val="ListParagraph"/>
        <w:ind w:left="360"/>
        <w:jc w:val="center"/>
      </w:pPr>
      <w:r>
        <w:rPr>
          <w:noProof/>
        </w:rPr>
        <w:drawing>
          <wp:inline distT="0" distB="0" distL="0" distR="0" wp14:anchorId="33873310" wp14:editId="64BEB63E">
            <wp:extent cx="5943600" cy="2286000"/>
            <wp:effectExtent l="0" t="0" r="0" b="0"/>
            <wp:docPr id="156" name="Chart 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9C6774" w:rsidRPr="00217830" w:rsidRDefault="009C6774" w:rsidP="00217830">
      <w:pPr>
        <w:pStyle w:val="ListParagraph"/>
        <w:ind w:left="360"/>
        <w:rPr>
          <w:i/>
        </w:rPr>
      </w:pPr>
    </w:p>
    <w:p w:rsidR="0090319D" w:rsidRPr="0090319D" w:rsidRDefault="0090319D" w:rsidP="00217830">
      <w:pPr>
        <w:pStyle w:val="ListParagraph"/>
        <w:numPr>
          <w:ilvl w:val="0"/>
          <w:numId w:val="7"/>
        </w:numPr>
        <w:rPr>
          <w:i/>
        </w:rPr>
      </w:pPr>
      <w:r>
        <w:t xml:space="preserve">For more information on MassHealth members who are recently incarcerated or experiencing homelessness, please see sections on Criminal Justice-Inmates recently released from prisons/jails on page </w:t>
      </w:r>
      <w:r w:rsidR="00E3738E">
        <w:t>1</w:t>
      </w:r>
      <w:r w:rsidR="00A06D2B">
        <w:t>6</w:t>
      </w:r>
      <w:r>
        <w:t xml:space="preserve"> and People experiencing Homelessness on page </w:t>
      </w:r>
      <w:r w:rsidR="00E3738E">
        <w:t>2</w:t>
      </w:r>
      <w:r w:rsidR="00A06D2B">
        <w:t>2</w:t>
      </w:r>
      <w:r>
        <w:t>.</w:t>
      </w:r>
    </w:p>
    <w:p w:rsidR="0090319D" w:rsidRPr="0090319D" w:rsidRDefault="0090319D" w:rsidP="0090319D">
      <w:pPr>
        <w:pStyle w:val="ListParagraph"/>
        <w:ind w:left="360"/>
        <w:rPr>
          <w:i/>
        </w:rPr>
      </w:pPr>
    </w:p>
    <w:p w:rsidR="00F825E8" w:rsidRPr="00073A25" w:rsidRDefault="00F825E8" w:rsidP="00217830">
      <w:pPr>
        <w:pStyle w:val="ListParagraph"/>
        <w:numPr>
          <w:ilvl w:val="0"/>
          <w:numId w:val="7"/>
        </w:numPr>
        <w:rPr>
          <w:i/>
        </w:rPr>
      </w:pPr>
      <w:r w:rsidRPr="00DB0EC0">
        <w:t xml:space="preserve">MassHealth members </w:t>
      </w:r>
      <w:r w:rsidRPr="00861BD7">
        <w:t xml:space="preserve">Medicaid </w:t>
      </w:r>
      <w:r>
        <w:t>p</w:t>
      </w:r>
      <w:r w:rsidRPr="00861BD7">
        <w:t xml:space="preserve">aid </w:t>
      </w:r>
      <w:r>
        <w:t>c</w:t>
      </w:r>
      <w:r w:rsidRPr="00861BD7">
        <w:t xml:space="preserve">laims </w:t>
      </w:r>
      <w:r>
        <w:t>per-member-per-month</w:t>
      </w:r>
      <w:r w:rsidRPr="00575FF0">
        <w:rPr>
          <w:b/>
        </w:rPr>
        <w:t xml:space="preserve"> </w:t>
      </w:r>
      <w:r w:rsidRPr="0095119F">
        <w:t>(</w:t>
      </w:r>
      <w:r w:rsidRPr="00DB0EC0">
        <w:t>PMPM</w:t>
      </w:r>
      <w:r>
        <w:t>)</w:t>
      </w:r>
      <w:r w:rsidRPr="00DB0EC0">
        <w:t xml:space="preserve"> costs for</w:t>
      </w:r>
      <w:r>
        <w:t xml:space="preserve"> people experiencing a</w:t>
      </w:r>
      <w:r w:rsidRPr="00DB0EC0">
        <w:t xml:space="preserve"> fatal</w:t>
      </w:r>
      <w:r>
        <w:t xml:space="preserve"> or</w:t>
      </w:r>
      <w:r w:rsidRPr="00DB0EC0">
        <w:t xml:space="preserve"> non-fatal </w:t>
      </w:r>
      <w:r>
        <w:t xml:space="preserve">opioid </w:t>
      </w:r>
      <w:r w:rsidRPr="00DB0EC0">
        <w:t xml:space="preserve">overdoses were </w:t>
      </w:r>
      <w:r>
        <w:t xml:space="preserve">2.5 to 3 times </w:t>
      </w:r>
      <w:r w:rsidRPr="00DB0EC0">
        <w:t xml:space="preserve">higher than </w:t>
      </w:r>
      <w:r>
        <w:t>for the e</w:t>
      </w:r>
      <w:r w:rsidR="00F341D8">
        <w:t xml:space="preserve">ntire the MassHealth population </w:t>
      </w:r>
      <w:r w:rsidR="00F341D8">
        <w:rPr>
          <w:rFonts w:cs="Times New Roman"/>
        </w:rPr>
        <w:t xml:space="preserve">(Figure </w:t>
      </w:r>
      <w:r w:rsidR="00E647FA">
        <w:rPr>
          <w:rFonts w:cs="Times New Roman"/>
        </w:rPr>
        <w:t>3</w:t>
      </w:r>
      <w:r w:rsidR="00A06D2B">
        <w:rPr>
          <w:rFonts w:cs="Times New Roman"/>
        </w:rPr>
        <w:t>7</w:t>
      </w:r>
      <w:r w:rsidR="00F341D8">
        <w:rPr>
          <w:rFonts w:cs="Times New Roman"/>
        </w:rPr>
        <w:t>).</w:t>
      </w:r>
    </w:p>
    <w:p w:rsidR="00E647FA" w:rsidRPr="0090319D" w:rsidRDefault="00E647FA" w:rsidP="0090319D">
      <w:pPr>
        <w:rPr>
          <w:i/>
          <w:sz w:val="20"/>
          <w:szCs w:val="8"/>
        </w:rPr>
      </w:pPr>
    </w:p>
    <w:p w:rsidR="00F825E8" w:rsidRDefault="00F825E8" w:rsidP="009C6774">
      <w:pPr>
        <w:ind w:left="360"/>
        <w:rPr>
          <w:b/>
        </w:rPr>
      </w:pPr>
      <w:r w:rsidRPr="00512E2C">
        <w:rPr>
          <w:b/>
        </w:rPr>
        <w:t xml:space="preserve">Figure </w:t>
      </w:r>
      <w:r w:rsidRPr="00512E2C">
        <w:rPr>
          <w:b/>
        </w:rPr>
        <w:fldChar w:fldCharType="begin"/>
      </w:r>
      <w:r w:rsidRPr="00512E2C">
        <w:rPr>
          <w:b/>
        </w:rPr>
        <w:instrText xml:space="preserve"> SEQ Figure \* ARABIC </w:instrText>
      </w:r>
      <w:r w:rsidRPr="00512E2C">
        <w:rPr>
          <w:b/>
        </w:rPr>
        <w:fldChar w:fldCharType="separate"/>
      </w:r>
      <w:r w:rsidR="002B3BC3">
        <w:rPr>
          <w:b/>
          <w:noProof/>
        </w:rPr>
        <w:t>37</w:t>
      </w:r>
      <w:r w:rsidRPr="00512E2C">
        <w:rPr>
          <w:b/>
        </w:rPr>
        <w:fldChar w:fldCharType="end"/>
      </w:r>
      <w:r w:rsidRPr="00512E2C">
        <w:rPr>
          <w:b/>
        </w:rPr>
        <w:t xml:space="preserve">.  </w:t>
      </w:r>
      <w:r w:rsidRPr="00575FF0">
        <w:rPr>
          <w:b/>
        </w:rPr>
        <w:t>Annual Cost of Medicaid Paid Claims Per Member Per Month (PMPM</w:t>
      </w:r>
      <w:r>
        <w:rPr>
          <w:b/>
        </w:rPr>
        <w:t>), MA: 2012-2015</w:t>
      </w:r>
    </w:p>
    <w:p w:rsidR="00E647FA" w:rsidRDefault="00E647FA" w:rsidP="009C6774">
      <w:pPr>
        <w:ind w:left="360"/>
        <w:rPr>
          <w:b/>
        </w:rPr>
      </w:pPr>
    </w:p>
    <w:p w:rsidR="00F825E8" w:rsidRPr="00A1795E" w:rsidRDefault="00893615" w:rsidP="00F825E8">
      <w:pPr>
        <w:ind w:left="360"/>
        <w:jc w:val="center"/>
        <w:rPr>
          <w:rFonts w:ascii="Calibri-Italic" w:hAnsi="Calibri-Italic" w:cs="Calibri-Italic"/>
          <w:i/>
          <w:iCs/>
        </w:rPr>
      </w:pPr>
      <w:r>
        <w:rPr>
          <w:noProof/>
        </w:rPr>
        <w:drawing>
          <wp:inline distT="0" distB="0" distL="0" distR="0" wp14:anchorId="036242AB" wp14:editId="6BA43AF0">
            <wp:extent cx="5943600" cy="1733550"/>
            <wp:effectExtent l="0" t="0" r="0" b="0"/>
            <wp:docPr id="157" name="Chart 1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F825E8" w:rsidRDefault="00F825E8" w:rsidP="00217830">
      <w:pPr>
        <w:pStyle w:val="ListParagraph"/>
        <w:numPr>
          <w:ilvl w:val="0"/>
          <w:numId w:val="23"/>
        </w:numPr>
        <w:autoSpaceDE w:val="0"/>
        <w:autoSpaceDN w:val="0"/>
        <w:adjustRightInd w:val="0"/>
      </w:pPr>
      <w:r w:rsidRPr="00F258D9">
        <w:lastRenderedPageBreak/>
        <w:t>The 5‐year average MassHealth payments were substantially higher among those who had an opioid overdose compared with those who did not. Payments were the highest for those experiencing an opioid overdose who also experienced unstable housing or were crimi</w:t>
      </w:r>
      <w:r w:rsidR="00F341D8">
        <w:t xml:space="preserve">nal justice involved </w:t>
      </w:r>
      <w:r w:rsidR="00F341D8">
        <w:rPr>
          <w:rFonts w:cs="Times New Roman"/>
        </w:rPr>
        <w:t xml:space="preserve">(Figure </w:t>
      </w:r>
      <w:r w:rsidR="006D2F4E">
        <w:rPr>
          <w:rFonts w:cs="Times New Roman"/>
        </w:rPr>
        <w:t>3</w:t>
      </w:r>
      <w:r w:rsidR="00A06D2B">
        <w:rPr>
          <w:rFonts w:cs="Times New Roman"/>
        </w:rPr>
        <w:t>8</w:t>
      </w:r>
      <w:r w:rsidR="00F341D8">
        <w:rPr>
          <w:rFonts w:cs="Times New Roman"/>
        </w:rPr>
        <w:t>).</w:t>
      </w:r>
    </w:p>
    <w:p w:rsidR="00F825E8" w:rsidRDefault="00F825E8" w:rsidP="00F825E8">
      <w:pPr>
        <w:autoSpaceDE w:val="0"/>
        <w:autoSpaceDN w:val="0"/>
        <w:adjustRightInd w:val="0"/>
        <w:rPr>
          <w:rFonts w:ascii="Calibri-Italic" w:hAnsi="Calibri-Italic" w:cs="Calibri-Italic"/>
          <w:i/>
          <w:iCs/>
        </w:rPr>
      </w:pPr>
    </w:p>
    <w:p w:rsidR="00E647FA" w:rsidRDefault="00E647FA" w:rsidP="00F825E8">
      <w:pPr>
        <w:autoSpaceDE w:val="0"/>
        <w:autoSpaceDN w:val="0"/>
        <w:adjustRightInd w:val="0"/>
        <w:rPr>
          <w:rFonts w:ascii="Calibri-Italic" w:hAnsi="Calibri-Italic" w:cs="Calibri-Italic"/>
          <w:i/>
          <w:iCs/>
        </w:rPr>
      </w:pPr>
    </w:p>
    <w:p w:rsidR="00F825E8" w:rsidRDefault="00F825E8" w:rsidP="00217830">
      <w:pPr>
        <w:pStyle w:val="Caption"/>
        <w:ind w:left="360"/>
        <w:rPr>
          <w:rFonts w:cs="Calibri-Bold"/>
          <w:bCs w:val="0"/>
          <w:color w:val="auto"/>
          <w:sz w:val="22"/>
          <w:szCs w:val="22"/>
        </w:rPr>
      </w:pPr>
      <w:r w:rsidRPr="00F258D9">
        <w:rPr>
          <w:color w:val="auto"/>
          <w:sz w:val="22"/>
          <w:szCs w:val="22"/>
        </w:rPr>
        <w:t xml:space="preserve">Figure </w:t>
      </w:r>
      <w:r w:rsidRPr="00F258D9">
        <w:fldChar w:fldCharType="begin"/>
      </w:r>
      <w:r w:rsidRPr="00F258D9">
        <w:rPr>
          <w:color w:val="auto"/>
          <w:sz w:val="22"/>
          <w:szCs w:val="22"/>
        </w:rPr>
        <w:instrText xml:space="preserve"> SEQ Figure \* ARABIC </w:instrText>
      </w:r>
      <w:r w:rsidRPr="00F258D9">
        <w:fldChar w:fldCharType="separate"/>
      </w:r>
      <w:r w:rsidR="002B3BC3">
        <w:rPr>
          <w:noProof/>
          <w:color w:val="auto"/>
          <w:sz w:val="22"/>
          <w:szCs w:val="22"/>
        </w:rPr>
        <w:t>38</w:t>
      </w:r>
      <w:r w:rsidRPr="00F258D9">
        <w:fldChar w:fldCharType="end"/>
      </w:r>
      <w:r w:rsidRPr="00F258D9">
        <w:rPr>
          <w:color w:val="auto"/>
          <w:sz w:val="22"/>
          <w:szCs w:val="22"/>
        </w:rPr>
        <w:t xml:space="preserve">. </w:t>
      </w:r>
      <w:r w:rsidRPr="00F258D9">
        <w:rPr>
          <w:rFonts w:cs="Calibri-Bold"/>
          <w:bCs w:val="0"/>
          <w:color w:val="auto"/>
          <w:sz w:val="22"/>
          <w:szCs w:val="22"/>
        </w:rPr>
        <w:t>Five</w:t>
      </w:r>
      <w:r w:rsidRPr="00F258D9">
        <w:rPr>
          <w:rFonts w:cs="Cambria Math"/>
          <w:bCs w:val="0"/>
          <w:color w:val="auto"/>
          <w:sz w:val="22"/>
          <w:szCs w:val="22"/>
        </w:rPr>
        <w:t>‐</w:t>
      </w:r>
      <w:r w:rsidRPr="00F258D9">
        <w:rPr>
          <w:rFonts w:cs="Calibri-Bold"/>
          <w:bCs w:val="0"/>
          <w:color w:val="auto"/>
          <w:sz w:val="22"/>
          <w:szCs w:val="22"/>
        </w:rPr>
        <w:t>Year Average MassHealth Payments by Study Population and Opioid Overdose Status</w:t>
      </w:r>
      <w:r w:rsidR="00A96AA2">
        <w:rPr>
          <w:rFonts w:cs="Calibri-Bold"/>
          <w:bCs w:val="0"/>
          <w:color w:val="auto"/>
          <w:sz w:val="22"/>
          <w:szCs w:val="22"/>
        </w:rPr>
        <w:t>, MA</w:t>
      </w:r>
      <w:r w:rsidRPr="00F258D9">
        <w:rPr>
          <w:rFonts w:cs="Calibri-Bold"/>
          <w:bCs w:val="0"/>
          <w:color w:val="auto"/>
          <w:sz w:val="22"/>
          <w:szCs w:val="22"/>
        </w:rPr>
        <w:t>: 2011</w:t>
      </w:r>
      <w:r w:rsidRPr="00F258D9">
        <w:rPr>
          <w:rFonts w:cs="Cambria Math"/>
          <w:bCs w:val="0"/>
          <w:color w:val="auto"/>
          <w:sz w:val="22"/>
          <w:szCs w:val="22"/>
        </w:rPr>
        <w:t>‐</w:t>
      </w:r>
      <w:r w:rsidRPr="00F258D9">
        <w:rPr>
          <w:rFonts w:cs="Calibri-Bold"/>
          <w:bCs w:val="0"/>
          <w:color w:val="auto"/>
          <w:sz w:val="22"/>
          <w:szCs w:val="22"/>
        </w:rPr>
        <w:t>2015</w:t>
      </w:r>
    </w:p>
    <w:p w:rsidR="00E647FA" w:rsidRPr="00E647FA" w:rsidRDefault="00E647FA" w:rsidP="00E647FA"/>
    <w:p w:rsidR="00F825E8" w:rsidRPr="00372595" w:rsidRDefault="00487856" w:rsidP="00F825E8">
      <w:pPr>
        <w:ind w:left="360"/>
      </w:pPr>
      <w:r>
        <w:rPr>
          <w:noProof/>
        </w:rPr>
        <w:drawing>
          <wp:inline distT="0" distB="0" distL="0" distR="0" wp14:anchorId="1675F875" wp14:editId="46C9704D">
            <wp:extent cx="5943600" cy="2919095"/>
            <wp:effectExtent l="0" t="0" r="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F825E8" w:rsidRPr="00F825E8" w:rsidRDefault="00F825E8" w:rsidP="00F825E8">
      <w:pPr>
        <w:spacing w:after="200" w:line="276" w:lineRule="auto"/>
        <w:rPr>
          <w:i/>
        </w:rPr>
      </w:pPr>
    </w:p>
    <w:p w:rsidR="005E70E9" w:rsidRPr="00D3478C" w:rsidRDefault="005E70E9" w:rsidP="00217830">
      <w:pPr>
        <w:pStyle w:val="Heading2"/>
        <w:spacing w:before="0"/>
        <w:rPr>
          <w:sz w:val="36"/>
          <w:szCs w:val="36"/>
        </w:rPr>
      </w:pPr>
      <w:r>
        <w:br w:type="page"/>
      </w:r>
      <w:bookmarkStart w:id="14" w:name="_Toc20134883"/>
      <w:r w:rsidR="00F05F61">
        <w:rPr>
          <w:sz w:val="36"/>
          <w:szCs w:val="36"/>
        </w:rPr>
        <w:lastRenderedPageBreak/>
        <w:t>People</w:t>
      </w:r>
      <w:r w:rsidR="00F05F61" w:rsidRPr="00D3478C">
        <w:rPr>
          <w:sz w:val="36"/>
          <w:szCs w:val="36"/>
        </w:rPr>
        <w:t xml:space="preserve"> </w:t>
      </w:r>
      <w:r w:rsidR="00A96AA2">
        <w:rPr>
          <w:sz w:val="36"/>
          <w:szCs w:val="36"/>
        </w:rPr>
        <w:t>A</w:t>
      </w:r>
      <w:r w:rsidR="00A96AA2" w:rsidRPr="00D3478C">
        <w:rPr>
          <w:sz w:val="36"/>
          <w:szCs w:val="36"/>
        </w:rPr>
        <w:t xml:space="preserve">lready </w:t>
      </w:r>
      <w:r w:rsidRPr="00D3478C">
        <w:rPr>
          <w:sz w:val="36"/>
          <w:szCs w:val="36"/>
        </w:rPr>
        <w:t xml:space="preserve">in </w:t>
      </w:r>
      <w:r w:rsidR="00A96AA2">
        <w:rPr>
          <w:sz w:val="36"/>
          <w:szCs w:val="36"/>
        </w:rPr>
        <w:t>T</w:t>
      </w:r>
      <w:r w:rsidR="00A96AA2" w:rsidRPr="00D3478C">
        <w:rPr>
          <w:sz w:val="36"/>
          <w:szCs w:val="36"/>
        </w:rPr>
        <w:t>reatment</w:t>
      </w:r>
      <w:bookmarkEnd w:id="14"/>
    </w:p>
    <w:p w:rsidR="006632F1" w:rsidRPr="006632F1" w:rsidRDefault="006632F1" w:rsidP="00685FD3"/>
    <w:p w:rsidR="00DF2CB8" w:rsidRDefault="00624BB3" w:rsidP="00217830">
      <w:pPr>
        <w:rPr>
          <w:b/>
        </w:rPr>
      </w:pPr>
      <w:r>
        <w:rPr>
          <w:b/>
        </w:rPr>
        <w:t xml:space="preserve">Background: </w:t>
      </w:r>
    </w:p>
    <w:p w:rsidR="005E70E9" w:rsidRDefault="00493E96" w:rsidP="00217830">
      <w:r w:rsidRPr="00B9530A">
        <w:t>Inpatient treatment for substance use disorders has been standa</w:t>
      </w:r>
      <w:r>
        <w:t xml:space="preserve">rdized as a succession of steps—or “cascade” -- </w:t>
      </w:r>
      <w:r w:rsidRPr="00B9530A">
        <w:t>from acute detoxification to long‐ term residential</w:t>
      </w:r>
      <w:r>
        <w:t xml:space="preserve"> care.</w:t>
      </w:r>
      <w:r w:rsidR="00E8655D">
        <w:t xml:space="preserve"> </w:t>
      </w:r>
      <w:r w:rsidR="005E70E9" w:rsidRPr="008E672A">
        <w:t xml:space="preserve">Inpatient opioid managed withdrawal (detoxification) episodes represent an opportunity to engage individuals with opioid use disorder (OUD) in treatment. Treatment options following detoxification include further inpatient treatment through short-term residential and long-term residential programs, </w:t>
      </w:r>
      <w:r w:rsidR="005E70E9">
        <w:t>as well as</w:t>
      </w:r>
      <w:r w:rsidR="005E70E9" w:rsidRPr="008E672A">
        <w:t xml:space="preserve"> medications for opioid use disorder (MOUD), including methadone, buprenorphine, or naltrexone. Individuals with OUD who experience homelessness are particularly vulnerable and may have disparities associated with receipt of these treatments. Residential treatment may be particularly effective among individuals</w:t>
      </w:r>
      <w:r w:rsidR="005E70E9">
        <w:t xml:space="preserve"> experiencing homelessness</w:t>
      </w:r>
      <w:r w:rsidR="005E70E9" w:rsidRPr="008E672A">
        <w:t>; however, there are no data to compare post-detoxification outcomes by homelessness status.</w:t>
      </w:r>
      <w:r w:rsidR="00F502D6">
        <w:t xml:space="preserve"> </w:t>
      </w:r>
    </w:p>
    <w:p w:rsidR="00624BB3" w:rsidRDefault="00624BB3" w:rsidP="00685FD3">
      <w:pPr>
        <w:rPr>
          <w:rFonts w:eastAsia="Times New Roman" w:cs="Times New Roman"/>
          <w:color w:val="000000"/>
        </w:rPr>
      </w:pPr>
    </w:p>
    <w:p w:rsidR="005E70E9" w:rsidRPr="001B776C" w:rsidRDefault="00624BB3" w:rsidP="0053198D">
      <w:pPr>
        <w:rPr>
          <w:rFonts w:cs="Times New Roman"/>
          <w:b/>
          <w:i/>
          <w:color w:val="7030A0"/>
        </w:rPr>
      </w:pPr>
      <w:r>
        <w:rPr>
          <w:rFonts w:eastAsia="Times New Roman" w:cs="Times New Roman"/>
          <w:b/>
          <w:color w:val="000000"/>
        </w:rPr>
        <w:t>Key Findings</w:t>
      </w:r>
      <w:r w:rsidR="005E70E9">
        <w:rPr>
          <w:rFonts w:eastAsia="Times New Roman" w:cs="Times New Roman"/>
          <w:color w:val="000000"/>
        </w:rPr>
        <w:t>:</w:t>
      </w:r>
    </w:p>
    <w:p w:rsidR="005E70E9" w:rsidRPr="00EE4FE4" w:rsidRDefault="005E70E9" w:rsidP="00217830">
      <w:pPr>
        <w:pStyle w:val="ListParagraph"/>
        <w:numPr>
          <w:ilvl w:val="0"/>
          <w:numId w:val="5"/>
        </w:numPr>
        <w:contextualSpacing w:val="0"/>
        <w:rPr>
          <w:rFonts w:cs="Times New Roman"/>
        </w:rPr>
      </w:pPr>
      <w:r w:rsidRPr="00671491">
        <w:rPr>
          <w:rFonts w:cs="Times New Roman"/>
        </w:rPr>
        <w:t>In the Massachusetts inpatient treatment cascade, 30% of the total person-time was spent in transitions back to inpatient detoxification following any treatment stage, and these periods leading to readmission represent per</w:t>
      </w:r>
      <w:r w:rsidR="00F341D8">
        <w:rPr>
          <w:rFonts w:cs="Times New Roman"/>
        </w:rPr>
        <w:t xml:space="preserve">iods of elevated overdose risk (Figure </w:t>
      </w:r>
      <w:r w:rsidR="00A06D2B">
        <w:rPr>
          <w:rFonts w:cs="Times New Roman"/>
        </w:rPr>
        <w:t>39</w:t>
      </w:r>
      <w:r w:rsidR="00F341D8">
        <w:rPr>
          <w:rFonts w:cs="Times New Roman"/>
        </w:rPr>
        <w:t>).</w:t>
      </w:r>
    </w:p>
    <w:p w:rsidR="005E70E9" w:rsidRDefault="005E70E9" w:rsidP="00217830">
      <w:pPr>
        <w:pStyle w:val="ListParagraph"/>
        <w:contextualSpacing w:val="0"/>
        <w:rPr>
          <w:rFonts w:cs="Times New Roman"/>
        </w:rPr>
      </w:pPr>
    </w:p>
    <w:p w:rsidR="00F54284" w:rsidRDefault="005E70E9" w:rsidP="00EE483A">
      <w:pPr>
        <w:pStyle w:val="ListParagraph"/>
        <w:ind w:left="1080"/>
        <w:rPr>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39</w:t>
      </w:r>
      <w:r w:rsidRPr="00512E2C">
        <w:rPr>
          <w:rFonts w:cs="Times New Roman"/>
          <w:b/>
        </w:rPr>
        <w:fldChar w:fldCharType="end"/>
      </w:r>
      <w:r w:rsidRPr="00512E2C">
        <w:rPr>
          <w:rFonts w:cs="Times New Roman"/>
          <w:b/>
        </w:rPr>
        <w:t>.</w:t>
      </w:r>
      <w:r>
        <w:rPr>
          <w:rFonts w:cs="Times New Roman"/>
          <w:b/>
        </w:rPr>
        <w:t xml:space="preserve"> </w:t>
      </w:r>
      <w:r>
        <w:rPr>
          <w:b/>
        </w:rPr>
        <w:t>C</w:t>
      </w:r>
      <w:r w:rsidRPr="0075650D">
        <w:rPr>
          <w:b/>
        </w:rPr>
        <w:t>ascade of substance use disorder care</w:t>
      </w:r>
      <w:r w:rsidR="00A96AA2">
        <w:rPr>
          <w:b/>
        </w:rPr>
        <w:t>,</w:t>
      </w:r>
      <w:r w:rsidRPr="0075650D">
        <w:rPr>
          <w:b/>
        </w:rPr>
        <w:t xml:space="preserve"> </w:t>
      </w:r>
      <w:r w:rsidR="00A96AA2">
        <w:rPr>
          <w:b/>
        </w:rPr>
        <w:t>MA: January 2013-September 2015</w:t>
      </w:r>
      <w:r w:rsidR="00D05501">
        <w:rPr>
          <w:b/>
        </w:rPr>
        <w:t xml:space="preserve"> </w:t>
      </w:r>
    </w:p>
    <w:p w:rsidR="005E70E9" w:rsidRPr="00EE4FE4" w:rsidRDefault="005E70E9" w:rsidP="005E70E9">
      <w:pPr>
        <w:pStyle w:val="ListParagraph"/>
        <w:ind w:left="1080"/>
        <w:rPr>
          <w:rFonts w:cs="Times New Roman"/>
          <w:sz w:val="8"/>
          <w:szCs w:val="8"/>
        </w:rPr>
      </w:pPr>
    </w:p>
    <w:p w:rsidR="005E70E9" w:rsidRPr="00E93AB3" w:rsidRDefault="005E70E9" w:rsidP="005E70E9">
      <w:pPr>
        <w:pStyle w:val="ListParagraph"/>
        <w:ind w:left="1080"/>
        <w:rPr>
          <w:rFonts w:cs="Times New Roman"/>
        </w:rPr>
      </w:pPr>
      <w:r>
        <w:rPr>
          <w:noProof/>
        </w:rPr>
        <w:drawing>
          <wp:inline distT="0" distB="0" distL="0" distR="0" wp14:anchorId="38E624F9" wp14:editId="7025269E">
            <wp:extent cx="5723633" cy="39147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0036" cy="3919155"/>
                    </a:xfrm>
                    <a:prstGeom prst="rect">
                      <a:avLst/>
                    </a:prstGeom>
                    <a:noFill/>
                  </pic:spPr>
                </pic:pic>
              </a:graphicData>
            </a:graphic>
          </wp:inline>
        </w:drawing>
      </w:r>
    </w:p>
    <w:p w:rsidR="00F2712B" w:rsidRDefault="00F2712B" w:rsidP="00217830">
      <w:pPr>
        <w:spacing w:after="120"/>
      </w:pPr>
    </w:p>
    <w:p w:rsidR="005E70E9" w:rsidRDefault="005E70E9" w:rsidP="005E70E9">
      <w:pPr>
        <w:pStyle w:val="ListParagraph"/>
        <w:numPr>
          <w:ilvl w:val="0"/>
          <w:numId w:val="5"/>
        </w:numPr>
        <w:spacing w:after="120"/>
      </w:pPr>
      <w:r>
        <w:lastRenderedPageBreak/>
        <w:t xml:space="preserve">For the period of </w:t>
      </w:r>
      <w:r w:rsidR="00A96AA2">
        <w:t xml:space="preserve">January </w:t>
      </w:r>
      <w:r w:rsidRPr="00C761B4">
        <w:t>2013 through September 2015</w:t>
      </w:r>
      <w:r>
        <w:t xml:space="preserve">, </w:t>
      </w:r>
      <w:r w:rsidRPr="00C761B4">
        <w:t xml:space="preserve">11,695 </w:t>
      </w:r>
      <w:r>
        <w:t xml:space="preserve">opioid-related </w:t>
      </w:r>
      <w:r w:rsidRPr="00C761B4">
        <w:t xml:space="preserve">overdoses </w:t>
      </w:r>
      <w:r>
        <w:t xml:space="preserve">were identified </w:t>
      </w:r>
      <w:r w:rsidRPr="00C761B4">
        <w:t xml:space="preserve">along the inpatient cascade of care, </w:t>
      </w:r>
      <w:r>
        <w:t>of which 93%</w:t>
      </w:r>
      <w:r w:rsidRPr="00C761B4">
        <w:t xml:space="preserve"> were non-fatal and </w:t>
      </w:r>
      <w:r>
        <w:t>7%</w:t>
      </w:r>
      <w:r w:rsidRPr="00C761B4">
        <w:t xml:space="preserve"> of which were fatal</w:t>
      </w:r>
      <w:r w:rsidR="006D7899">
        <w:t>.</w:t>
      </w:r>
    </w:p>
    <w:p w:rsidR="006D7899" w:rsidRDefault="006D7899" w:rsidP="006D7899">
      <w:pPr>
        <w:pStyle w:val="ListParagraph"/>
        <w:spacing w:after="120"/>
        <w:ind w:left="360"/>
      </w:pPr>
    </w:p>
    <w:p w:rsidR="005E70E9" w:rsidRDefault="005E70E9" w:rsidP="005E70E9">
      <w:pPr>
        <w:pStyle w:val="ListParagraph"/>
        <w:numPr>
          <w:ilvl w:val="0"/>
          <w:numId w:val="5"/>
        </w:numPr>
        <w:spacing w:after="120"/>
      </w:pPr>
      <w:r w:rsidRPr="00C761B4">
        <w:t xml:space="preserve">The rate of </w:t>
      </w:r>
      <w:r w:rsidR="00D41210">
        <w:t xml:space="preserve">opioid </w:t>
      </w:r>
      <w:r w:rsidRPr="00C761B4">
        <w:t xml:space="preserve">overdose varied considerably across the cascade, and those times </w:t>
      </w:r>
      <w:r>
        <w:t>closest</w:t>
      </w:r>
      <w:r w:rsidRPr="00C761B4">
        <w:t xml:space="preserve"> to a detoxification admission posed a higher risk of overdose. The highest risk of </w:t>
      </w:r>
      <w:r w:rsidR="00DF2CB8">
        <w:t xml:space="preserve">opioid </w:t>
      </w:r>
      <w:r w:rsidRPr="00C761B4">
        <w:t>overdose,</w:t>
      </w:r>
      <w:r>
        <w:t xml:space="preserve"> </w:t>
      </w:r>
      <w:r w:rsidRPr="00C761B4">
        <w:t>(28.1 overdoses per 100 person-years), occurred in the transition period between detox treatment and post-detox, followed by the transition periods returning to detox following residential (19.3 overdoses per 100 person-years) or post-detox (15.5 overdoses per 100 person-years) treatment</w:t>
      </w:r>
      <w:r w:rsidR="006D7899">
        <w:t>.</w:t>
      </w:r>
    </w:p>
    <w:p w:rsidR="005E70E9" w:rsidRDefault="005E70E9" w:rsidP="005E70E9">
      <w:pPr>
        <w:pStyle w:val="ListParagraph"/>
        <w:spacing w:after="120"/>
      </w:pPr>
    </w:p>
    <w:p w:rsidR="006D7899" w:rsidRDefault="005E70E9" w:rsidP="00217830">
      <w:pPr>
        <w:pStyle w:val="ListParagraph"/>
        <w:numPr>
          <w:ilvl w:val="0"/>
          <w:numId w:val="5"/>
        </w:numPr>
        <w:spacing w:after="120"/>
      </w:pPr>
      <w:r w:rsidRPr="00C761B4">
        <w:t xml:space="preserve">The lowest rate of </w:t>
      </w:r>
      <w:r w:rsidR="00DF2CB8">
        <w:t xml:space="preserve">opioid </w:t>
      </w:r>
      <w:r w:rsidRPr="00C761B4">
        <w:t xml:space="preserve">overdose occurred among individuals who had exited the cascade and experienced no other known inpatient admissions, ranging from 11.7 overdoses per 100 person-years for those exiting after detoxification, 3.0 overdoses per 100 person-years after </w:t>
      </w:r>
      <w:r w:rsidR="006632F1" w:rsidRPr="00C761B4">
        <w:t>residential</w:t>
      </w:r>
      <w:r w:rsidRPr="00C761B4">
        <w:t xml:space="preserve"> and 2.8 overdoses per 100 person-years after post-detox</w:t>
      </w:r>
      <w:r w:rsidR="00F341D8">
        <w:t xml:space="preserve"> </w:t>
      </w:r>
      <w:r w:rsidR="00F341D8">
        <w:rPr>
          <w:rFonts w:cs="Times New Roman"/>
        </w:rPr>
        <w:t>(Figure 4</w:t>
      </w:r>
      <w:r w:rsidR="00A06D2B">
        <w:rPr>
          <w:rFonts w:cs="Times New Roman"/>
        </w:rPr>
        <w:t>0</w:t>
      </w:r>
      <w:r w:rsidR="00F341D8">
        <w:rPr>
          <w:rFonts w:cs="Times New Roman"/>
        </w:rPr>
        <w:t>).</w:t>
      </w:r>
    </w:p>
    <w:p w:rsidR="006D7899" w:rsidRPr="007E2715" w:rsidRDefault="006D7899" w:rsidP="006D7899">
      <w:pPr>
        <w:pStyle w:val="ListParagraph"/>
        <w:spacing w:after="120"/>
        <w:ind w:left="360"/>
      </w:pPr>
    </w:p>
    <w:p w:rsidR="005E70E9" w:rsidRDefault="005E70E9" w:rsidP="001A5948">
      <w:pPr>
        <w:pStyle w:val="ListParagraph"/>
        <w:ind w:left="360"/>
        <w:rPr>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40</w:t>
      </w:r>
      <w:r w:rsidRPr="00512E2C">
        <w:rPr>
          <w:rFonts w:cs="Times New Roman"/>
          <w:b/>
        </w:rPr>
        <w:fldChar w:fldCharType="end"/>
      </w:r>
      <w:r w:rsidRPr="00512E2C">
        <w:rPr>
          <w:rFonts w:cs="Times New Roman"/>
          <w:b/>
        </w:rPr>
        <w:t>.</w:t>
      </w:r>
      <w:r>
        <w:rPr>
          <w:rFonts w:cs="Times New Roman"/>
          <w:b/>
        </w:rPr>
        <w:t xml:space="preserve"> </w:t>
      </w:r>
      <w:r w:rsidRPr="004C3C04">
        <w:rPr>
          <w:b/>
        </w:rPr>
        <w:t xml:space="preserve">Overdose </w:t>
      </w:r>
      <w:r w:rsidR="00D561AC">
        <w:rPr>
          <w:b/>
        </w:rPr>
        <w:t>R</w:t>
      </w:r>
      <w:r w:rsidR="00D561AC" w:rsidRPr="004C3C04">
        <w:rPr>
          <w:b/>
        </w:rPr>
        <w:t xml:space="preserve">ates </w:t>
      </w:r>
      <w:r w:rsidR="00D561AC">
        <w:rPr>
          <w:b/>
        </w:rPr>
        <w:t>A</w:t>
      </w:r>
      <w:r w:rsidR="00D561AC" w:rsidRPr="004C3C04">
        <w:rPr>
          <w:b/>
        </w:rPr>
        <w:t xml:space="preserve">long </w:t>
      </w:r>
      <w:r w:rsidRPr="004C3C04">
        <w:rPr>
          <w:b/>
        </w:rPr>
        <w:t xml:space="preserve">the </w:t>
      </w:r>
      <w:r w:rsidR="00493E96">
        <w:rPr>
          <w:b/>
        </w:rPr>
        <w:t xml:space="preserve">Treatment </w:t>
      </w:r>
      <w:r w:rsidR="00D561AC">
        <w:rPr>
          <w:b/>
        </w:rPr>
        <w:t>C</w:t>
      </w:r>
      <w:r w:rsidR="00D561AC" w:rsidRPr="004C3C04">
        <w:rPr>
          <w:b/>
        </w:rPr>
        <w:t>ascade</w:t>
      </w:r>
      <w:r w:rsidR="00D05501">
        <w:rPr>
          <w:b/>
        </w:rPr>
        <w:t>,</w:t>
      </w:r>
      <w:r w:rsidR="00A96AA2">
        <w:rPr>
          <w:b/>
        </w:rPr>
        <w:t xml:space="preserve"> MA: January </w:t>
      </w:r>
      <w:r w:rsidR="00D05501" w:rsidRPr="00EE483A">
        <w:rPr>
          <w:b/>
        </w:rPr>
        <w:t>2013</w:t>
      </w:r>
      <w:r w:rsidR="00D561AC">
        <w:rPr>
          <w:b/>
        </w:rPr>
        <w:t xml:space="preserve"> to </w:t>
      </w:r>
      <w:r w:rsidR="00D05501" w:rsidRPr="00EE483A">
        <w:rPr>
          <w:b/>
        </w:rPr>
        <w:t>September 2015</w:t>
      </w:r>
    </w:p>
    <w:p w:rsidR="00FA4D18" w:rsidRPr="00775176" w:rsidRDefault="00FA4D18" w:rsidP="005E70E9">
      <w:pPr>
        <w:pStyle w:val="ListParagraph"/>
        <w:ind w:left="1080"/>
        <w:jc w:val="center"/>
        <w:rPr>
          <w:b/>
        </w:rPr>
      </w:pPr>
    </w:p>
    <w:p w:rsidR="005E70E9" w:rsidRDefault="00495CC1" w:rsidP="001A5948">
      <w:pPr>
        <w:pStyle w:val="ListParagraph"/>
        <w:ind w:left="0"/>
        <w:rPr>
          <w:b/>
        </w:rPr>
      </w:pPr>
      <w:r>
        <w:rPr>
          <w:noProof/>
        </w:rPr>
        <w:drawing>
          <wp:inline distT="0" distB="0" distL="0" distR="0" wp14:anchorId="5C476426" wp14:editId="39D9DD19">
            <wp:extent cx="5905500" cy="2771775"/>
            <wp:effectExtent l="0" t="0" r="0" b="0"/>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5E70E9" w:rsidRPr="00340076" w:rsidRDefault="005E70E9" w:rsidP="005E70E9">
      <w:pPr>
        <w:ind w:left="1080"/>
        <w:rPr>
          <w:sz w:val="18"/>
          <w:szCs w:val="18"/>
        </w:rPr>
      </w:pPr>
      <w:r w:rsidRPr="00340076">
        <w:rPr>
          <w:sz w:val="18"/>
          <w:szCs w:val="18"/>
        </w:rPr>
        <w:t xml:space="preserve">Overdose rates stratified by the transition period along the </w:t>
      </w:r>
      <w:r>
        <w:rPr>
          <w:sz w:val="18"/>
          <w:szCs w:val="18"/>
        </w:rPr>
        <w:t xml:space="preserve">treatment </w:t>
      </w:r>
      <w:r w:rsidRPr="00340076">
        <w:rPr>
          <w:sz w:val="18"/>
          <w:szCs w:val="18"/>
        </w:rPr>
        <w:t xml:space="preserve">cascade. The black vertical line represents the overdose rate in the overall sample. NOKA = no other known admissions. </w:t>
      </w:r>
    </w:p>
    <w:p w:rsidR="00EE483A" w:rsidRDefault="00EE483A" w:rsidP="005E70E9"/>
    <w:p w:rsidR="00F01997" w:rsidRDefault="00F01997" w:rsidP="00F01997">
      <w:pPr>
        <w:pStyle w:val="ListParagraph"/>
        <w:ind w:left="360"/>
      </w:pPr>
    </w:p>
    <w:p w:rsidR="00F01997" w:rsidRDefault="00F01997" w:rsidP="00F01997">
      <w:pPr>
        <w:pStyle w:val="ListParagraph"/>
        <w:ind w:left="360"/>
      </w:pPr>
    </w:p>
    <w:p w:rsidR="007B0FD5" w:rsidRDefault="005E70E9" w:rsidP="00217830">
      <w:pPr>
        <w:pStyle w:val="ListParagraph"/>
        <w:numPr>
          <w:ilvl w:val="0"/>
          <w:numId w:val="5"/>
        </w:numPr>
      </w:pPr>
      <w:r w:rsidRPr="00C761B4">
        <w:t>Populations at higher</w:t>
      </w:r>
      <w:r w:rsidR="00DF2CB8">
        <w:t xml:space="preserve"> opioid</w:t>
      </w:r>
      <w:r w:rsidRPr="00C761B4">
        <w:t xml:space="preserve"> overdose risk included homeless individuals (12.3 overdoses per 100 person-years), those receiving mental health treatment during the study period (10.2 overdoses per 100 person-years), emerging adults </w:t>
      </w:r>
      <w:r>
        <w:t>aged 18 to 29</w:t>
      </w:r>
      <w:r w:rsidRPr="00C761B4">
        <w:t xml:space="preserve"> (11.0 overdoses per 100 person-years), and </w:t>
      </w:r>
      <w:r>
        <w:t>w</w:t>
      </w:r>
      <w:r w:rsidR="00DF2CB8">
        <w:t xml:space="preserve">hite non-Hispanics </w:t>
      </w:r>
      <w:r w:rsidRPr="00C761B4">
        <w:t xml:space="preserve">(10.2 overdoses per 100 person-years). Those at lower risk for </w:t>
      </w:r>
      <w:r w:rsidR="00DF2CB8">
        <w:t xml:space="preserve">opioid </w:t>
      </w:r>
      <w:r w:rsidRPr="00C761B4">
        <w:t xml:space="preserve">overdose on average were </w:t>
      </w:r>
      <w:r w:rsidR="00DF2CB8">
        <w:t>black non-Hispanic</w:t>
      </w:r>
      <w:r w:rsidR="00E248B6">
        <w:t>s</w:t>
      </w:r>
      <w:r>
        <w:t xml:space="preserve"> </w:t>
      </w:r>
      <w:r w:rsidRPr="00C761B4">
        <w:t>(4.6 overdoses per 100 person-years) and Hispanics (8.7 o</w:t>
      </w:r>
      <w:r w:rsidR="00F341D8">
        <w:t xml:space="preserve">verdoses per 100 person-years) </w:t>
      </w:r>
      <w:r w:rsidR="00F341D8">
        <w:rPr>
          <w:rFonts w:cs="Times New Roman"/>
        </w:rPr>
        <w:t>(Figure 4</w:t>
      </w:r>
      <w:r w:rsidR="00A06D2B">
        <w:rPr>
          <w:rFonts w:cs="Times New Roman"/>
        </w:rPr>
        <w:t>1</w:t>
      </w:r>
      <w:r w:rsidR="00F341D8">
        <w:rPr>
          <w:rFonts w:cs="Times New Roman"/>
        </w:rPr>
        <w:t>).</w:t>
      </w:r>
    </w:p>
    <w:p w:rsidR="00EE483A" w:rsidRDefault="00EE483A" w:rsidP="00217830">
      <w:pPr>
        <w:contextualSpacing/>
      </w:pPr>
    </w:p>
    <w:p w:rsidR="00D561AC" w:rsidRDefault="00D561AC" w:rsidP="00217830">
      <w:pPr>
        <w:contextualSpacing/>
      </w:pPr>
    </w:p>
    <w:p w:rsidR="00D561AC" w:rsidRDefault="00D561AC" w:rsidP="00217830">
      <w:pPr>
        <w:contextualSpacing/>
      </w:pPr>
    </w:p>
    <w:p w:rsidR="00D561AC" w:rsidRDefault="00D561AC" w:rsidP="00217830">
      <w:pPr>
        <w:contextualSpacing/>
      </w:pPr>
    </w:p>
    <w:p w:rsidR="005E70E9" w:rsidRDefault="005E70E9" w:rsidP="0097072A">
      <w:pPr>
        <w:pStyle w:val="ListParagraph"/>
        <w:ind w:left="360"/>
        <w:rPr>
          <w:b/>
        </w:rPr>
      </w:pPr>
      <w:r w:rsidRPr="00512E2C">
        <w:rPr>
          <w:rFonts w:cs="Times New Roman"/>
          <w:b/>
        </w:rPr>
        <w:lastRenderedPageBreak/>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41</w:t>
      </w:r>
      <w:r w:rsidRPr="00512E2C">
        <w:rPr>
          <w:rFonts w:cs="Times New Roman"/>
          <w:b/>
        </w:rPr>
        <w:fldChar w:fldCharType="end"/>
      </w:r>
      <w:r w:rsidRPr="00512E2C">
        <w:rPr>
          <w:rFonts w:cs="Times New Roman"/>
          <w:b/>
        </w:rPr>
        <w:t>.</w:t>
      </w:r>
      <w:r>
        <w:rPr>
          <w:rFonts w:cs="Times New Roman"/>
          <w:b/>
        </w:rPr>
        <w:t xml:space="preserve"> </w:t>
      </w:r>
      <w:r w:rsidRPr="00C761B4">
        <w:rPr>
          <w:b/>
        </w:rPr>
        <w:t xml:space="preserve">Overdose </w:t>
      </w:r>
      <w:r w:rsidR="00D561AC">
        <w:rPr>
          <w:b/>
        </w:rPr>
        <w:t>A</w:t>
      </w:r>
      <w:r w:rsidR="00D561AC" w:rsidRPr="00C761B4">
        <w:rPr>
          <w:b/>
        </w:rPr>
        <w:t xml:space="preserve">mong </w:t>
      </w:r>
      <w:r w:rsidR="00D561AC">
        <w:rPr>
          <w:b/>
        </w:rPr>
        <w:t>P</w:t>
      </w:r>
      <w:r w:rsidR="00D561AC" w:rsidRPr="00C761B4">
        <w:rPr>
          <w:b/>
        </w:rPr>
        <w:t>opulations</w:t>
      </w:r>
      <w:r w:rsidR="00D561AC" w:rsidRPr="00DB256E">
        <w:rPr>
          <w:b/>
        </w:rPr>
        <w:t xml:space="preserve"> </w:t>
      </w:r>
      <w:r w:rsidR="00D561AC">
        <w:rPr>
          <w:b/>
        </w:rPr>
        <w:t>A</w:t>
      </w:r>
      <w:r w:rsidR="00D561AC" w:rsidRPr="004C3C04">
        <w:rPr>
          <w:b/>
        </w:rPr>
        <w:t xml:space="preserve">long </w:t>
      </w:r>
      <w:r w:rsidRPr="004C3C04">
        <w:rPr>
          <w:b/>
        </w:rPr>
        <w:t xml:space="preserve">the </w:t>
      </w:r>
      <w:r w:rsidR="00493E96">
        <w:rPr>
          <w:b/>
        </w:rPr>
        <w:t xml:space="preserve">Treatment </w:t>
      </w:r>
      <w:r w:rsidR="00D561AC">
        <w:rPr>
          <w:b/>
        </w:rPr>
        <w:t>C</w:t>
      </w:r>
      <w:r w:rsidR="00D561AC" w:rsidRPr="004C3C04">
        <w:rPr>
          <w:b/>
        </w:rPr>
        <w:t>ascade</w:t>
      </w:r>
      <w:r w:rsidR="00D05501">
        <w:rPr>
          <w:b/>
        </w:rPr>
        <w:t>,</w:t>
      </w:r>
      <w:r w:rsidR="00A96AA2">
        <w:rPr>
          <w:b/>
        </w:rPr>
        <w:t xml:space="preserve"> MA: January</w:t>
      </w:r>
      <w:r w:rsidR="00D05501">
        <w:rPr>
          <w:b/>
        </w:rPr>
        <w:t xml:space="preserve"> </w:t>
      </w:r>
      <w:r w:rsidR="00D05501" w:rsidRPr="00EE483A">
        <w:rPr>
          <w:b/>
        </w:rPr>
        <w:t>2013</w:t>
      </w:r>
      <w:r w:rsidR="00D561AC">
        <w:rPr>
          <w:b/>
        </w:rPr>
        <w:t xml:space="preserve"> to </w:t>
      </w:r>
      <w:r w:rsidR="00D05501" w:rsidRPr="00EE483A">
        <w:rPr>
          <w:b/>
        </w:rPr>
        <w:t>September 2015</w:t>
      </w:r>
    </w:p>
    <w:p w:rsidR="00E248B6" w:rsidRDefault="00E248B6" w:rsidP="0097072A">
      <w:pPr>
        <w:pStyle w:val="ListParagraph"/>
        <w:ind w:left="360"/>
        <w:rPr>
          <w:b/>
        </w:rPr>
      </w:pPr>
    </w:p>
    <w:p w:rsidR="005E70E9" w:rsidRPr="00C761B4" w:rsidRDefault="0097072A" w:rsidP="00217830">
      <w:pPr>
        <w:pStyle w:val="ListParagraph"/>
        <w:ind w:left="1080"/>
        <w:jc w:val="center"/>
      </w:pPr>
      <w:r>
        <w:rPr>
          <w:noProof/>
        </w:rPr>
        <w:drawing>
          <wp:inline distT="0" distB="0" distL="0" distR="0" wp14:anchorId="7603D302" wp14:editId="0BC2E625">
            <wp:extent cx="5257800" cy="2609850"/>
            <wp:effectExtent l="0" t="0" r="0" b="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5E70E9" w:rsidRPr="00217830" w:rsidRDefault="005E70E9" w:rsidP="00217830">
      <w:pPr>
        <w:ind w:left="1080"/>
        <w:rPr>
          <w:rFonts w:cs="Times New Roman"/>
          <w:i/>
        </w:rPr>
      </w:pPr>
      <w:r>
        <w:rPr>
          <w:sz w:val="18"/>
          <w:szCs w:val="18"/>
        </w:rPr>
        <w:t>O</w:t>
      </w:r>
      <w:r w:rsidRPr="00340076">
        <w:rPr>
          <w:sz w:val="18"/>
          <w:szCs w:val="18"/>
        </w:rPr>
        <w:t xml:space="preserve">verdose rates along the </w:t>
      </w:r>
      <w:r w:rsidR="00493E96">
        <w:rPr>
          <w:sz w:val="18"/>
          <w:szCs w:val="18"/>
        </w:rPr>
        <w:t xml:space="preserve">treatment </w:t>
      </w:r>
      <w:r w:rsidRPr="00340076">
        <w:rPr>
          <w:sz w:val="18"/>
          <w:szCs w:val="18"/>
        </w:rPr>
        <w:t xml:space="preserve">cascade stratified by population. The black vertical line represents the overdose rate in the overall sample. </w:t>
      </w:r>
    </w:p>
    <w:p w:rsidR="00E248B6" w:rsidRPr="00217830" w:rsidRDefault="00E248B6" w:rsidP="00217830">
      <w:pPr>
        <w:rPr>
          <w:rFonts w:cs="Times New Roman"/>
          <w:i/>
        </w:rPr>
      </w:pPr>
    </w:p>
    <w:p w:rsidR="00F01997" w:rsidRPr="00F01997" w:rsidRDefault="00F01997" w:rsidP="00F01997">
      <w:pPr>
        <w:pStyle w:val="ListParagraph"/>
        <w:spacing w:after="120" w:line="276" w:lineRule="auto"/>
        <w:ind w:left="360"/>
        <w:rPr>
          <w:rFonts w:cs="Times New Roman"/>
          <w:i/>
        </w:rPr>
      </w:pPr>
    </w:p>
    <w:p w:rsidR="00692B54" w:rsidRPr="00084F10" w:rsidRDefault="005E70E9" w:rsidP="00084F10">
      <w:pPr>
        <w:pStyle w:val="ListParagraph"/>
        <w:numPr>
          <w:ilvl w:val="0"/>
          <w:numId w:val="5"/>
        </w:numPr>
        <w:spacing w:after="120" w:line="276" w:lineRule="auto"/>
        <w:rPr>
          <w:rFonts w:cs="Times New Roman"/>
          <w:i/>
        </w:rPr>
      </w:pPr>
      <w:r>
        <w:t>Close to 30,000 individuals were identified</w:t>
      </w:r>
      <w:r w:rsidRPr="008E672A">
        <w:t xml:space="preserve"> with an opioid detoxification episode between 2012 and 2014. Of these, 48% were identified as having a high-likelihood (90% or higher probability) of having experienced homelessness. These individuals were more likely to receive all treatments, but especially more likely to enter short-term and long-term residential than those with lower or no likelih</w:t>
      </w:r>
      <w:r>
        <w:t xml:space="preserve">ood of being </w:t>
      </w:r>
      <w:r w:rsidR="00F05C35">
        <w:t>homeless</w:t>
      </w:r>
      <w:r w:rsidR="00F341D8">
        <w:t xml:space="preserve"> </w:t>
      </w:r>
      <w:r w:rsidR="00F341D8">
        <w:rPr>
          <w:rFonts w:cs="Times New Roman"/>
        </w:rPr>
        <w:t>(Figure 4</w:t>
      </w:r>
      <w:r w:rsidR="00A06D2B">
        <w:rPr>
          <w:rFonts w:cs="Times New Roman"/>
        </w:rPr>
        <w:t>2</w:t>
      </w:r>
      <w:r w:rsidR="00F341D8">
        <w:rPr>
          <w:rFonts w:cs="Times New Roman"/>
        </w:rPr>
        <w:t>).</w:t>
      </w:r>
    </w:p>
    <w:p w:rsidR="00692B54" w:rsidRDefault="00692B54" w:rsidP="00A46388">
      <w:pPr>
        <w:pStyle w:val="ListParagraph"/>
        <w:ind w:left="360"/>
        <w:rPr>
          <w:rFonts w:cs="Times New Roman"/>
          <w:b/>
        </w:rPr>
      </w:pPr>
    </w:p>
    <w:p w:rsidR="005E70E9" w:rsidRPr="00CD1EE8" w:rsidRDefault="005E70E9" w:rsidP="00A46388">
      <w:pPr>
        <w:pStyle w:val="ListParagraph"/>
        <w:ind w:left="360"/>
        <w:rPr>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42</w:t>
      </w:r>
      <w:r w:rsidRPr="00512E2C">
        <w:rPr>
          <w:rFonts w:cs="Times New Roman"/>
          <w:b/>
        </w:rPr>
        <w:fldChar w:fldCharType="end"/>
      </w:r>
      <w:r w:rsidRPr="00512E2C">
        <w:rPr>
          <w:rFonts w:cs="Times New Roman"/>
          <w:b/>
        </w:rPr>
        <w:t>.</w:t>
      </w:r>
      <w:r>
        <w:rPr>
          <w:rFonts w:cs="Times New Roman"/>
          <w:b/>
        </w:rPr>
        <w:t xml:space="preserve"> </w:t>
      </w:r>
      <w:r w:rsidRPr="00CD1EE8">
        <w:rPr>
          <w:b/>
        </w:rPr>
        <w:t xml:space="preserve">Receipt of </w:t>
      </w:r>
      <w:r w:rsidR="00D561AC">
        <w:rPr>
          <w:b/>
        </w:rPr>
        <w:t>T</w:t>
      </w:r>
      <w:r w:rsidR="00D561AC" w:rsidRPr="00CD1EE8">
        <w:rPr>
          <w:b/>
        </w:rPr>
        <w:t xml:space="preserve">reatments </w:t>
      </w:r>
      <w:r w:rsidRPr="00CD1EE8">
        <w:rPr>
          <w:b/>
        </w:rPr>
        <w:t xml:space="preserve">and </w:t>
      </w:r>
      <w:r w:rsidR="00D561AC">
        <w:rPr>
          <w:b/>
        </w:rPr>
        <w:t>S</w:t>
      </w:r>
      <w:r w:rsidR="00D561AC" w:rsidRPr="00CD1EE8">
        <w:rPr>
          <w:b/>
        </w:rPr>
        <w:t xml:space="preserve">ervices </w:t>
      </w:r>
      <w:r w:rsidRPr="00CD1EE8">
        <w:rPr>
          <w:b/>
        </w:rPr>
        <w:t xml:space="preserve">in the 12 </w:t>
      </w:r>
      <w:r w:rsidR="00D561AC">
        <w:rPr>
          <w:b/>
        </w:rPr>
        <w:t>M</w:t>
      </w:r>
      <w:r w:rsidR="00D561AC" w:rsidRPr="00CD1EE8">
        <w:rPr>
          <w:b/>
        </w:rPr>
        <w:t xml:space="preserve">onths </w:t>
      </w:r>
      <w:r w:rsidR="00D561AC">
        <w:rPr>
          <w:b/>
        </w:rPr>
        <w:t>A</w:t>
      </w:r>
      <w:r w:rsidR="00D561AC" w:rsidRPr="00CD1EE8">
        <w:rPr>
          <w:b/>
        </w:rPr>
        <w:t xml:space="preserve">fter </w:t>
      </w:r>
      <w:r w:rsidR="00D561AC">
        <w:rPr>
          <w:b/>
        </w:rPr>
        <w:t>O</w:t>
      </w:r>
      <w:r w:rsidR="00D561AC" w:rsidRPr="00CD1EE8">
        <w:rPr>
          <w:b/>
        </w:rPr>
        <w:t xml:space="preserve">pioid </w:t>
      </w:r>
      <w:r w:rsidR="00D561AC">
        <w:rPr>
          <w:b/>
        </w:rPr>
        <w:t>D</w:t>
      </w:r>
      <w:r w:rsidR="00D561AC" w:rsidRPr="00CD1EE8">
        <w:rPr>
          <w:b/>
        </w:rPr>
        <w:t>etoxification</w:t>
      </w:r>
      <w:r w:rsidR="00D561AC">
        <w:rPr>
          <w:b/>
        </w:rPr>
        <w:t xml:space="preserve"> E</w:t>
      </w:r>
      <w:r w:rsidRPr="00CD1EE8">
        <w:rPr>
          <w:b/>
        </w:rPr>
        <w:t xml:space="preserve">pisode by </w:t>
      </w:r>
      <w:r w:rsidR="00D561AC">
        <w:rPr>
          <w:b/>
        </w:rPr>
        <w:t>L</w:t>
      </w:r>
      <w:r w:rsidR="00D561AC" w:rsidRPr="00CD1EE8">
        <w:rPr>
          <w:b/>
        </w:rPr>
        <w:t xml:space="preserve">ikelihood </w:t>
      </w:r>
      <w:r w:rsidRPr="00CD1EE8">
        <w:rPr>
          <w:b/>
        </w:rPr>
        <w:t xml:space="preserve">of </w:t>
      </w:r>
      <w:r w:rsidR="00D561AC">
        <w:rPr>
          <w:b/>
        </w:rPr>
        <w:t>H</w:t>
      </w:r>
      <w:r w:rsidR="00D561AC" w:rsidRPr="00CD1EE8">
        <w:rPr>
          <w:b/>
        </w:rPr>
        <w:t xml:space="preserve">aving </w:t>
      </w:r>
      <w:r w:rsidR="00D561AC">
        <w:rPr>
          <w:b/>
        </w:rPr>
        <w:t>E</w:t>
      </w:r>
      <w:r w:rsidR="00D561AC" w:rsidRPr="00CD1EE8">
        <w:rPr>
          <w:b/>
        </w:rPr>
        <w:t xml:space="preserve">xperienced </w:t>
      </w:r>
      <w:r w:rsidR="00D561AC">
        <w:rPr>
          <w:b/>
        </w:rPr>
        <w:t>H</w:t>
      </w:r>
      <w:r w:rsidR="00D561AC" w:rsidRPr="00CD1EE8">
        <w:rPr>
          <w:b/>
        </w:rPr>
        <w:t>omelessness</w:t>
      </w:r>
      <w:r w:rsidR="00D05501">
        <w:rPr>
          <w:b/>
        </w:rPr>
        <w:t>,</w:t>
      </w:r>
      <w:r w:rsidR="00A96AA2">
        <w:rPr>
          <w:b/>
        </w:rPr>
        <w:t xml:space="preserve"> MA:</w:t>
      </w:r>
      <w:r w:rsidR="00D05501">
        <w:rPr>
          <w:b/>
        </w:rPr>
        <w:t xml:space="preserve"> 2012-2014</w:t>
      </w:r>
    </w:p>
    <w:p w:rsidR="00E248B6" w:rsidRPr="00692B54" w:rsidRDefault="00E63F7A" w:rsidP="00692B54">
      <w:pPr>
        <w:pStyle w:val="ListParagraph"/>
        <w:ind w:left="1080" w:hanging="360"/>
      </w:pPr>
      <w:r>
        <w:rPr>
          <w:noProof/>
        </w:rPr>
        <w:drawing>
          <wp:inline distT="0" distB="0" distL="0" distR="0" wp14:anchorId="4F03DB01" wp14:editId="61F58CBA">
            <wp:extent cx="57912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06D2B" w:rsidRPr="00A06D2B" w:rsidRDefault="00A06D2B" w:rsidP="00A06D2B">
      <w:pPr>
        <w:pStyle w:val="ListParagraph"/>
        <w:spacing w:after="200" w:line="276" w:lineRule="auto"/>
        <w:ind w:left="360"/>
        <w:rPr>
          <w:rFonts w:cs="Times New Roman"/>
        </w:rPr>
      </w:pPr>
    </w:p>
    <w:p w:rsidR="005E70E9" w:rsidRPr="00440D7B" w:rsidRDefault="005E70E9" w:rsidP="005E70E9">
      <w:pPr>
        <w:pStyle w:val="ListParagraph"/>
        <w:numPr>
          <w:ilvl w:val="0"/>
          <w:numId w:val="5"/>
        </w:numPr>
        <w:spacing w:after="200" w:line="276" w:lineRule="auto"/>
        <w:rPr>
          <w:rFonts w:cs="Times New Roman"/>
        </w:rPr>
      </w:pPr>
      <w:r w:rsidRPr="008E672A">
        <w:lastRenderedPageBreak/>
        <w:t xml:space="preserve">At one year of follow-up, </w:t>
      </w:r>
      <w:r>
        <w:t>t</w:t>
      </w:r>
      <w:r w:rsidRPr="008E672A">
        <w:t>reatment with buprenorphine was associated with a 40% reduction in mortality among individuals with high-l</w:t>
      </w:r>
      <w:r>
        <w:t xml:space="preserve">ikelihood of having experienced </w:t>
      </w:r>
      <w:r w:rsidRPr="008E672A">
        <w:t>homelessness and 43% reduction among those les</w:t>
      </w:r>
      <w:r>
        <w:t xml:space="preserve">s likely to have been homeless. </w:t>
      </w:r>
      <w:r w:rsidRPr="008E672A">
        <w:t>Methadone receipt was associated with a 50% and 61% reduction in mortality reduction respectively among those more likely and less likely to have experienced homelessness. Naltrexone was not associated with mortality among either group</w:t>
      </w:r>
      <w:r w:rsidR="00F341D8">
        <w:t xml:space="preserve"> </w:t>
      </w:r>
      <w:r w:rsidR="00F341D8">
        <w:rPr>
          <w:rFonts w:cs="Times New Roman"/>
        </w:rPr>
        <w:t xml:space="preserve">(Figure </w:t>
      </w:r>
      <w:r w:rsidR="006D2F4E">
        <w:rPr>
          <w:rFonts w:cs="Times New Roman"/>
        </w:rPr>
        <w:t>4</w:t>
      </w:r>
      <w:r w:rsidR="00A06D2B">
        <w:rPr>
          <w:rFonts w:cs="Times New Roman"/>
        </w:rPr>
        <w:t>3</w:t>
      </w:r>
      <w:r w:rsidR="00F341D8">
        <w:rPr>
          <w:rFonts w:cs="Times New Roman"/>
        </w:rPr>
        <w:t>).</w:t>
      </w:r>
    </w:p>
    <w:p w:rsidR="005E70E9" w:rsidRPr="0081019B" w:rsidRDefault="005E70E9" w:rsidP="005E70E9">
      <w:pPr>
        <w:pStyle w:val="ListParagraph"/>
        <w:rPr>
          <w:rFonts w:cs="Times New Roman"/>
        </w:rPr>
      </w:pPr>
    </w:p>
    <w:p w:rsidR="005E70E9" w:rsidRPr="00512F62" w:rsidRDefault="005E70E9" w:rsidP="00EE483A">
      <w:pPr>
        <w:ind w:left="1080"/>
        <w:rPr>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43</w:t>
      </w:r>
      <w:r w:rsidRPr="00512E2C">
        <w:rPr>
          <w:rFonts w:cs="Times New Roman"/>
          <w:b/>
        </w:rPr>
        <w:fldChar w:fldCharType="end"/>
      </w:r>
      <w:r w:rsidRPr="00512E2C">
        <w:rPr>
          <w:rFonts w:cs="Times New Roman"/>
          <w:b/>
        </w:rPr>
        <w:t>.</w:t>
      </w:r>
      <w:r>
        <w:rPr>
          <w:rFonts w:cs="Times New Roman"/>
          <w:b/>
        </w:rPr>
        <w:t xml:space="preserve"> </w:t>
      </w:r>
      <w:r w:rsidRPr="00CD1EE8">
        <w:rPr>
          <w:b/>
        </w:rPr>
        <w:t xml:space="preserve">Receipt </w:t>
      </w:r>
      <w:r w:rsidRPr="00512F62">
        <w:rPr>
          <w:b/>
        </w:rPr>
        <w:t xml:space="preserve">Reduction in </w:t>
      </w:r>
      <w:r w:rsidR="00D561AC">
        <w:rPr>
          <w:b/>
        </w:rPr>
        <w:t>M</w:t>
      </w:r>
      <w:r w:rsidR="00D561AC" w:rsidRPr="00512F62">
        <w:rPr>
          <w:b/>
        </w:rPr>
        <w:t xml:space="preserve">ortality </w:t>
      </w:r>
      <w:r w:rsidRPr="00512F62">
        <w:rPr>
          <w:b/>
        </w:rPr>
        <w:t xml:space="preserve">by </w:t>
      </w:r>
      <w:r w:rsidR="00D561AC">
        <w:rPr>
          <w:b/>
        </w:rPr>
        <w:t>R</w:t>
      </w:r>
      <w:r w:rsidR="00D561AC" w:rsidRPr="00512F62">
        <w:rPr>
          <w:b/>
        </w:rPr>
        <w:t xml:space="preserve">eceipt </w:t>
      </w:r>
      <w:r w:rsidRPr="00512F62">
        <w:rPr>
          <w:b/>
        </w:rPr>
        <w:t xml:space="preserve">of </w:t>
      </w:r>
      <w:r w:rsidR="00D561AC">
        <w:rPr>
          <w:b/>
        </w:rPr>
        <w:t>T</w:t>
      </w:r>
      <w:r w:rsidR="00D561AC" w:rsidRPr="00512F62">
        <w:rPr>
          <w:b/>
        </w:rPr>
        <w:t xml:space="preserve">reatment </w:t>
      </w:r>
      <w:r w:rsidRPr="00512F62">
        <w:rPr>
          <w:b/>
        </w:rPr>
        <w:t xml:space="preserve">and by </w:t>
      </w:r>
      <w:r w:rsidR="00D561AC">
        <w:rPr>
          <w:b/>
        </w:rPr>
        <w:t>L</w:t>
      </w:r>
      <w:r w:rsidR="00D561AC" w:rsidRPr="00512F62">
        <w:rPr>
          <w:b/>
        </w:rPr>
        <w:t xml:space="preserve">ikelihood </w:t>
      </w:r>
      <w:r w:rsidRPr="00512F62">
        <w:rPr>
          <w:b/>
        </w:rPr>
        <w:t xml:space="preserve">of </w:t>
      </w:r>
      <w:r w:rsidR="00D561AC">
        <w:rPr>
          <w:b/>
        </w:rPr>
        <w:t>H</w:t>
      </w:r>
      <w:r w:rsidR="00D561AC" w:rsidRPr="00512F62">
        <w:rPr>
          <w:b/>
        </w:rPr>
        <w:t xml:space="preserve">aving </w:t>
      </w:r>
      <w:r w:rsidR="00D561AC">
        <w:rPr>
          <w:b/>
        </w:rPr>
        <w:t>E</w:t>
      </w:r>
      <w:r w:rsidRPr="00512F62">
        <w:rPr>
          <w:b/>
        </w:rPr>
        <w:t xml:space="preserve">xperienced </w:t>
      </w:r>
      <w:r w:rsidR="00D561AC">
        <w:rPr>
          <w:b/>
        </w:rPr>
        <w:t>H</w:t>
      </w:r>
      <w:r w:rsidR="00D561AC" w:rsidRPr="00512F62">
        <w:rPr>
          <w:b/>
        </w:rPr>
        <w:t>omelessness</w:t>
      </w:r>
      <w:r w:rsidR="000C592A">
        <w:rPr>
          <w:b/>
        </w:rPr>
        <w:t>,</w:t>
      </w:r>
      <w:r w:rsidR="00A96AA2">
        <w:rPr>
          <w:b/>
        </w:rPr>
        <w:t xml:space="preserve"> MA:</w:t>
      </w:r>
      <w:r w:rsidR="000C592A">
        <w:rPr>
          <w:b/>
        </w:rPr>
        <w:t xml:space="preserve"> 2012-2014</w:t>
      </w:r>
    </w:p>
    <w:p w:rsidR="005E70E9" w:rsidRPr="00512F62" w:rsidRDefault="005E70E9" w:rsidP="005E70E9">
      <w:pPr>
        <w:pStyle w:val="ListParagraph"/>
        <w:ind w:left="1080"/>
        <w:rPr>
          <w:b/>
        </w:rPr>
      </w:pPr>
    </w:p>
    <w:p w:rsidR="005E70E9" w:rsidRPr="00D561AC" w:rsidRDefault="00A67563" w:rsidP="00217830">
      <w:pPr>
        <w:pStyle w:val="ListParagraph"/>
        <w:ind w:left="1080" w:hanging="180"/>
      </w:pPr>
      <w:r>
        <w:rPr>
          <w:noProof/>
        </w:rPr>
        <w:drawing>
          <wp:inline distT="0" distB="0" distL="0" distR="0" wp14:anchorId="2424B3D5" wp14:editId="2F13BA50">
            <wp:extent cx="5943600" cy="250126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A06D2B" w:rsidRPr="00692B54" w:rsidRDefault="00A06D2B" w:rsidP="00692B54">
      <w:pPr>
        <w:spacing w:after="200" w:line="276" w:lineRule="auto"/>
        <w:rPr>
          <w:rFonts w:cs="Times New Roman"/>
        </w:rPr>
      </w:pPr>
    </w:p>
    <w:p w:rsidR="005E70E9" w:rsidRPr="00692B54" w:rsidRDefault="005E70E9" w:rsidP="00692B54">
      <w:pPr>
        <w:pStyle w:val="ListParagraph"/>
        <w:numPr>
          <w:ilvl w:val="0"/>
          <w:numId w:val="5"/>
        </w:numPr>
        <w:spacing w:after="200" w:line="276" w:lineRule="auto"/>
        <w:rPr>
          <w:rFonts w:cs="Times New Roman"/>
        </w:rPr>
      </w:pPr>
      <w:r w:rsidRPr="00F05C35">
        <w:t xml:space="preserve">Long-term residential treatment was associated with 48% reduction </w:t>
      </w:r>
      <w:r w:rsidR="00A96AA2">
        <w:t>in</w:t>
      </w:r>
      <w:r w:rsidR="00A96AA2" w:rsidRPr="00F05C35">
        <w:t xml:space="preserve"> </w:t>
      </w:r>
      <w:r w:rsidRPr="00F05C35">
        <w:t>mortality among individuals with a high-risk of having experienced homelessness, although only 25% of these individuals were served in a long-term residential facility. Short-term residential treatment was not associated with mortality in either group</w:t>
      </w:r>
      <w:r w:rsidR="00F05C35" w:rsidRPr="00F05C35">
        <w:t>.</w:t>
      </w:r>
    </w:p>
    <w:p w:rsidR="00DA7558" w:rsidRDefault="00DA7558">
      <w:pPr>
        <w:spacing w:after="200" w:line="276" w:lineRule="auto"/>
        <w:rPr>
          <w:rFonts w:asciiTheme="majorHAnsi" w:eastAsiaTheme="majorEastAsia" w:hAnsiTheme="majorHAnsi" w:cstheme="majorBidi"/>
          <w:b/>
          <w:bCs/>
          <w:color w:val="4F81BD" w:themeColor="accent1"/>
          <w:sz w:val="36"/>
          <w:szCs w:val="36"/>
        </w:rPr>
      </w:pPr>
      <w:bookmarkStart w:id="15" w:name="_Toc20134884"/>
      <w:r>
        <w:rPr>
          <w:sz w:val="36"/>
          <w:szCs w:val="36"/>
        </w:rPr>
        <w:br w:type="page"/>
      </w:r>
    </w:p>
    <w:p w:rsidR="005E70E9" w:rsidRPr="00692B54" w:rsidRDefault="004A7004" w:rsidP="00692B54">
      <w:pPr>
        <w:pStyle w:val="Heading2"/>
        <w:rPr>
          <w:rFonts w:cs="Times New Roman"/>
          <w:i/>
          <w:color w:val="7030A0"/>
          <w:sz w:val="36"/>
          <w:szCs w:val="36"/>
        </w:rPr>
      </w:pPr>
      <w:r w:rsidRPr="00692B54">
        <w:rPr>
          <w:sz w:val="36"/>
          <w:szCs w:val="36"/>
        </w:rPr>
        <w:lastRenderedPageBreak/>
        <w:t xml:space="preserve">Communities at </w:t>
      </w:r>
      <w:r w:rsidR="00A96AA2" w:rsidRPr="00692B54">
        <w:rPr>
          <w:sz w:val="36"/>
          <w:szCs w:val="36"/>
        </w:rPr>
        <w:t>High Risk</w:t>
      </w:r>
      <w:bookmarkEnd w:id="15"/>
    </w:p>
    <w:p w:rsidR="00C52887" w:rsidRDefault="00C52887" w:rsidP="00AE7594">
      <w:pPr>
        <w:rPr>
          <w:rFonts w:eastAsia="Times New Roman" w:cs="Times New Roman"/>
          <w:b/>
          <w:color w:val="000000"/>
        </w:rPr>
      </w:pPr>
    </w:p>
    <w:p w:rsidR="00AE7594" w:rsidRDefault="008D1BFF" w:rsidP="00AE7594">
      <w:pPr>
        <w:rPr>
          <w:rFonts w:eastAsia="Times New Roman" w:cs="Times New Roman"/>
          <w:b/>
          <w:color w:val="000000"/>
        </w:rPr>
      </w:pPr>
      <w:r>
        <w:rPr>
          <w:rFonts w:eastAsia="Times New Roman" w:cs="Times New Roman"/>
          <w:b/>
          <w:color w:val="000000"/>
        </w:rPr>
        <w:t xml:space="preserve">Background: </w:t>
      </w:r>
    </w:p>
    <w:p w:rsidR="005E70E9" w:rsidRPr="00F448B1" w:rsidRDefault="005E70E9" w:rsidP="0053198D">
      <w:pPr>
        <w:spacing w:after="240" w:line="276" w:lineRule="auto"/>
        <w:rPr>
          <w:rFonts w:cs="Times New Roman"/>
        </w:rPr>
      </w:pPr>
      <w:r w:rsidRPr="00F448B1">
        <w:rPr>
          <w:rFonts w:eastAsia="Times New Roman" w:cs="Times New Roman"/>
          <w:color w:val="000000"/>
        </w:rPr>
        <w:t>Every community in Massachusetts has been impacted by this growing opioid crisis</w:t>
      </w:r>
      <w:r w:rsidR="00441512" w:rsidRPr="00441512">
        <w:rPr>
          <w:rFonts w:eastAsia="Times New Roman" w:cs="Times New Roman"/>
          <w:color w:val="000000"/>
        </w:rPr>
        <w:t xml:space="preserve"> but the impact on </w:t>
      </w:r>
      <w:r w:rsidR="00441512">
        <w:rPr>
          <w:rFonts w:eastAsia="Times New Roman" w:cs="Times New Roman"/>
          <w:color w:val="000000"/>
        </w:rPr>
        <w:t>some communities</w:t>
      </w:r>
      <w:r w:rsidR="00441512" w:rsidRPr="00441512">
        <w:rPr>
          <w:rFonts w:eastAsia="Times New Roman" w:cs="Times New Roman"/>
          <w:color w:val="000000"/>
        </w:rPr>
        <w:t xml:space="preserve"> has been especially pronounced</w:t>
      </w:r>
      <w:r w:rsidRPr="00F448B1">
        <w:rPr>
          <w:rFonts w:eastAsia="Times New Roman" w:cs="Times New Roman"/>
          <w:color w:val="000000"/>
        </w:rPr>
        <w:t>.</w:t>
      </w:r>
      <w:r w:rsidRPr="00F448B1">
        <w:rPr>
          <w:rFonts w:cs="Times New Roman"/>
          <w:color w:val="333333"/>
          <w:shd w:val="clear" w:color="auto" w:fill="FFFFFF"/>
        </w:rPr>
        <w:t xml:space="preserve"> </w:t>
      </w:r>
      <w:r w:rsidRPr="00F448B1">
        <w:rPr>
          <w:rFonts w:cs="Times New Roman"/>
        </w:rPr>
        <w:t>Since 2000, opioid-related deaths have increased in Massachusetts by 350</w:t>
      </w:r>
      <w:r w:rsidR="00E8655D" w:rsidRPr="00F448B1">
        <w:rPr>
          <w:rFonts w:cs="Times New Roman"/>
        </w:rPr>
        <w:t>%</w:t>
      </w:r>
      <w:r w:rsidR="00E8655D">
        <w:rPr>
          <w:rFonts w:cs="Times New Roman"/>
        </w:rPr>
        <w:t xml:space="preserve"> by 2015.</w:t>
      </w:r>
      <w:r w:rsidR="00E8655D" w:rsidRPr="00F448B1">
        <w:rPr>
          <w:rFonts w:cs="Times New Roman"/>
        </w:rPr>
        <w:t xml:space="preserve"> </w:t>
      </w:r>
      <w:r w:rsidRPr="00F448B1">
        <w:rPr>
          <w:rFonts w:cs="Times New Roman"/>
        </w:rPr>
        <w:t xml:space="preserve">However, beneath this statewide impact, data indicates that some areas of the Commonwealth have been disproportionately impacted by this opioid epidemic.  </w:t>
      </w:r>
    </w:p>
    <w:p w:rsidR="005E70E9" w:rsidRPr="00F448B1" w:rsidRDefault="008D1BFF" w:rsidP="00AE7594">
      <w:pPr>
        <w:rPr>
          <w:rFonts w:cs="Times New Roman"/>
          <w:b/>
          <w:i/>
          <w:color w:val="7030A0"/>
        </w:rPr>
      </w:pPr>
      <w:r>
        <w:rPr>
          <w:rFonts w:eastAsia="Times New Roman" w:cs="Times New Roman"/>
          <w:b/>
          <w:color w:val="000000"/>
        </w:rPr>
        <w:t>Key Findings</w:t>
      </w:r>
      <w:r w:rsidR="005E70E9" w:rsidRPr="00F448B1">
        <w:rPr>
          <w:rFonts w:eastAsia="Times New Roman" w:cs="Times New Roman"/>
          <w:color w:val="000000"/>
        </w:rPr>
        <w:t>:</w:t>
      </w:r>
    </w:p>
    <w:p w:rsidR="005E70E9" w:rsidRPr="006A4D9F" w:rsidRDefault="005E70E9" w:rsidP="00A877D1">
      <w:pPr>
        <w:pStyle w:val="ListParagraph"/>
        <w:numPr>
          <w:ilvl w:val="0"/>
          <w:numId w:val="17"/>
        </w:numPr>
        <w:spacing w:after="120" w:line="276" w:lineRule="auto"/>
        <w:rPr>
          <w:rFonts w:cs="Times New Roman"/>
        </w:rPr>
      </w:pPr>
      <w:r w:rsidRPr="00CB3EB8">
        <w:rPr>
          <w:rFonts w:cs="Times New Roman"/>
        </w:rPr>
        <w:t>In 2015, the estimated opioid use disorder (OUD)</w:t>
      </w:r>
      <w:r>
        <w:rPr>
          <w:rFonts w:cs="Times New Roman"/>
        </w:rPr>
        <w:t xml:space="preserve"> </w:t>
      </w:r>
      <w:r w:rsidRPr="00CB3EB8">
        <w:rPr>
          <w:rFonts w:cs="Times New Roman"/>
        </w:rPr>
        <w:t>prevalence ranged from 3.17% in Dukes and Nantucket counties to more than 6% in Berkshire County. The highest prevalence estimates were in counties with substantial rural populations such as Barnstable, Berkshire, Bristol, Hampden, and Worcester (5.03%, 6.06%, 5.81%, 5</w:t>
      </w:r>
      <w:r>
        <w:rPr>
          <w:rFonts w:cs="Times New Roman"/>
        </w:rPr>
        <w:t xml:space="preserve">.34%, and 4.38%, respectively) </w:t>
      </w:r>
      <w:r w:rsidRPr="006A4D9F">
        <w:rPr>
          <w:rFonts w:cs="Times New Roman"/>
        </w:rPr>
        <w:t>(Barocas- Journal article: Estimated Prevalence of Opioid Use Disorder in Massachusetts, 2011–2015</w:t>
      </w:r>
      <w:r w:rsidR="00F341D8">
        <w:rPr>
          <w:rFonts w:cs="Times New Roman"/>
        </w:rPr>
        <w:t xml:space="preserve">: A Capture–Recapture Analysis) (Figure </w:t>
      </w:r>
      <w:r w:rsidR="006D2F4E">
        <w:rPr>
          <w:rFonts w:cs="Times New Roman"/>
        </w:rPr>
        <w:t>4</w:t>
      </w:r>
      <w:r w:rsidR="00A06D2B">
        <w:rPr>
          <w:rFonts w:cs="Times New Roman"/>
        </w:rPr>
        <w:t>4</w:t>
      </w:r>
      <w:r w:rsidR="00F341D8">
        <w:rPr>
          <w:rFonts w:cs="Times New Roman"/>
        </w:rPr>
        <w:t>).</w:t>
      </w:r>
    </w:p>
    <w:p w:rsidR="005E70E9" w:rsidRPr="00217830" w:rsidRDefault="005E70E9" w:rsidP="00217830">
      <w:pPr>
        <w:rPr>
          <w:rFonts w:cs="Times New Roman"/>
          <w:i/>
        </w:rPr>
      </w:pPr>
    </w:p>
    <w:p w:rsidR="005E70E9" w:rsidRPr="00E60351" w:rsidRDefault="005E70E9" w:rsidP="005E70E9">
      <w:pPr>
        <w:pStyle w:val="ListParagraph"/>
        <w:rPr>
          <w:rFonts w:cs="Times New Roman"/>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44</w:t>
      </w:r>
      <w:r w:rsidRPr="00512E2C">
        <w:rPr>
          <w:rFonts w:cs="Times New Roman"/>
          <w:b/>
        </w:rPr>
        <w:fldChar w:fldCharType="end"/>
      </w:r>
      <w:r w:rsidRPr="00512E2C">
        <w:rPr>
          <w:rFonts w:cs="Times New Roman"/>
          <w:b/>
        </w:rPr>
        <w:t>.</w:t>
      </w:r>
      <w:r>
        <w:rPr>
          <w:rFonts w:cs="Times New Roman"/>
          <w:b/>
        </w:rPr>
        <w:t xml:space="preserve"> </w:t>
      </w:r>
      <w:r w:rsidRPr="00E60351">
        <w:rPr>
          <w:b/>
        </w:rPr>
        <w:t xml:space="preserve">Prevalence of </w:t>
      </w:r>
      <w:r w:rsidR="00D561AC">
        <w:rPr>
          <w:b/>
        </w:rPr>
        <w:t>O</w:t>
      </w:r>
      <w:r w:rsidR="00D561AC" w:rsidRPr="00E60351">
        <w:rPr>
          <w:b/>
        </w:rPr>
        <w:t xml:space="preserve">pioid </w:t>
      </w:r>
      <w:r w:rsidR="00D561AC">
        <w:rPr>
          <w:b/>
        </w:rPr>
        <w:t>U</w:t>
      </w:r>
      <w:r w:rsidR="00D561AC" w:rsidRPr="00E60351">
        <w:rPr>
          <w:b/>
        </w:rPr>
        <w:t xml:space="preserve">se </w:t>
      </w:r>
      <w:r w:rsidR="00D561AC">
        <w:rPr>
          <w:b/>
        </w:rPr>
        <w:t>D</w:t>
      </w:r>
      <w:r w:rsidR="00D561AC" w:rsidRPr="00E60351">
        <w:rPr>
          <w:b/>
        </w:rPr>
        <w:t>isor</w:t>
      </w:r>
      <w:r w:rsidR="00D561AC">
        <w:rPr>
          <w:b/>
        </w:rPr>
        <w:t xml:space="preserve">der </w:t>
      </w:r>
      <w:r w:rsidR="00BB00C2">
        <w:rPr>
          <w:b/>
        </w:rPr>
        <w:t xml:space="preserve">by </w:t>
      </w:r>
      <w:r>
        <w:rPr>
          <w:b/>
        </w:rPr>
        <w:t>County</w:t>
      </w:r>
      <w:r w:rsidR="00BB00C2">
        <w:rPr>
          <w:b/>
        </w:rPr>
        <w:t>, MA</w:t>
      </w:r>
      <w:r>
        <w:rPr>
          <w:b/>
        </w:rPr>
        <w:t>: 2015</w:t>
      </w:r>
    </w:p>
    <w:p w:rsidR="00A06D2B" w:rsidRPr="00A06D2B" w:rsidRDefault="005E70E9" w:rsidP="00A06D2B">
      <w:pPr>
        <w:pStyle w:val="ListParagraph"/>
        <w:rPr>
          <w:rFonts w:cs="Times New Roman"/>
          <w:i/>
        </w:rPr>
      </w:pPr>
      <w:r>
        <w:rPr>
          <w:rFonts w:cs="Times New Roman"/>
          <w:i/>
          <w:noProof/>
        </w:rPr>
        <w:drawing>
          <wp:inline distT="0" distB="0" distL="0" distR="0" wp14:anchorId="22DF50ED" wp14:editId="6C3060F9">
            <wp:extent cx="5343525" cy="398934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OUD.jpg"/>
                    <pic:cNvPicPr/>
                  </pic:nvPicPr>
                  <pic:blipFill>
                    <a:blip r:embed="rId74">
                      <a:extLst>
                        <a:ext uri="{28A0092B-C50C-407E-A947-70E740481C1C}">
                          <a14:useLocalDpi xmlns:a14="http://schemas.microsoft.com/office/drawing/2010/main" val="0"/>
                        </a:ext>
                      </a:extLst>
                    </a:blip>
                    <a:stretch>
                      <a:fillRect/>
                    </a:stretch>
                  </pic:blipFill>
                  <pic:spPr>
                    <a:xfrm>
                      <a:off x="0" y="0"/>
                      <a:ext cx="5345742" cy="3990999"/>
                    </a:xfrm>
                    <a:prstGeom prst="rect">
                      <a:avLst/>
                    </a:prstGeom>
                  </pic:spPr>
                </pic:pic>
              </a:graphicData>
            </a:graphic>
          </wp:inline>
        </w:drawing>
      </w:r>
    </w:p>
    <w:p w:rsidR="005E70E9" w:rsidRPr="004177B2" w:rsidRDefault="005E70E9" w:rsidP="00A877D1">
      <w:pPr>
        <w:pStyle w:val="ListParagraph"/>
        <w:numPr>
          <w:ilvl w:val="0"/>
          <w:numId w:val="17"/>
        </w:numPr>
        <w:spacing w:after="200" w:line="276" w:lineRule="auto"/>
        <w:rPr>
          <w:rFonts w:cs="Times New Roman"/>
          <w:i/>
        </w:rPr>
      </w:pPr>
      <w:r w:rsidRPr="004177B2">
        <w:rPr>
          <w:rFonts w:cs="Arial"/>
          <w:bCs/>
          <w:kern w:val="32"/>
        </w:rPr>
        <w:t xml:space="preserve">Between 2014 and 2015, an overwhelming majority of the opioid-related overdose deaths had either stimulants or another drug </w:t>
      </w:r>
      <w:r w:rsidR="004E55B7" w:rsidRPr="004177B2">
        <w:rPr>
          <w:rFonts w:cs="Arial"/>
          <w:bCs/>
          <w:kern w:val="32"/>
        </w:rPr>
        <w:t xml:space="preserve">in </w:t>
      </w:r>
      <w:r w:rsidRPr="004177B2">
        <w:rPr>
          <w:rFonts w:cs="Arial"/>
          <w:bCs/>
          <w:kern w:val="32"/>
        </w:rPr>
        <w:t xml:space="preserve">toxicology </w:t>
      </w:r>
      <w:r w:rsidR="004E55B7" w:rsidRPr="004177B2">
        <w:rPr>
          <w:rFonts w:cs="Arial"/>
          <w:bCs/>
          <w:kern w:val="32"/>
        </w:rPr>
        <w:t xml:space="preserve">analysis </w:t>
      </w:r>
      <w:r w:rsidRPr="004177B2">
        <w:rPr>
          <w:rFonts w:cs="Arial"/>
          <w:bCs/>
          <w:kern w:val="32"/>
        </w:rPr>
        <w:t xml:space="preserve">at the time of death. </w:t>
      </w:r>
      <w:r w:rsidRPr="004177B2">
        <w:rPr>
          <w:rFonts w:cs="Times New Roman"/>
        </w:rPr>
        <w:t xml:space="preserve">Persons in rural areas were less likely than those in non-rural areas to overdose with opioids and stimulants </w:t>
      </w:r>
      <w:r w:rsidR="004E55B7" w:rsidRPr="004177B2">
        <w:rPr>
          <w:rFonts w:cs="Times New Roman"/>
        </w:rPr>
        <w:t xml:space="preserve">in </w:t>
      </w:r>
      <w:r w:rsidRPr="004177B2">
        <w:rPr>
          <w:rFonts w:cs="Times New Roman"/>
        </w:rPr>
        <w:t>toxicology</w:t>
      </w:r>
      <w:r w:rsidR="004E55B7" w:rsidRPr="004177B2">
        <w:rPr>
          <w:rFonts w:cs="Times New Roman"/>
        </w:rPr>
        <w:t xml:space="preserve"> analysis</w:t>
      </w:r>
      <w:r w:rsidRPr="004177B2">
        <w:rPr>
          <w:rFonts w:cs="Times New Roman"/>
        </w:rPr>
        <w:t xml:space="preserve"> than with opioids a</w:t>
      </w:r>
      <w:r w:rsidR="004177B2">
        <w:rPr>
          <w:rFonts w:cs="Times New Roman"/>
        </w:rPr>
        <w:t>lone (OR: 0.5, 95% CI: 0.3-0.8).</w:t>
      </w:r>
    </w:p>
    <w:p w:rsidR="00E3738E" w:rsidRPr="00E3738E" w:rsidRDefault="005E70E9" w:rsidP="00E3738E">
      <w:pPr>
        <w:pStyle w:val="ListParagraph"/>
        <w:numPr>
          <w:ilvl w:val="0"/>
          <w:numId w:val="17"/>
        </w:numPr>
        <w:spacing w:after="200" w:line="276" w:lineRule="auto"/>
        <w:rPr>
          <w:rFonts w:cs="Times New Roman"/>
          <w:b/>
        </w:rPr>
      </w:pPr>
      <w:r w:rsidRPr="006A4D9F">
        <w:rPr>
          <w:rFonts w:cs="Times New Roman"/>
        </w:rPr>
        <w:lastRenderedPageBreak/>
        <w:t xml:space="preserve">Opioid overdoses are not equally distributed across the Commonwealth, differing by region and community characteristics. This is true for postpartum overdoses as well overdoses among the general population. The Southeast region had the highest rate of postpartum </w:t>
      </w:r>
      <w:r w:rsidR="00A46388">
        <w:rPr>
          <w:rFonts w:cs="Times New Roman"/>
        </w:rPr>
        <w:t>opioid overdoses between January 1</w:t>
      </w:r>
      <w:r w:rsidR="00A46388" w:rsidRPr="00A46388">
        <w:rPr>
          <w:rFonts w:cs="Times New Roman"/>
          <w:vertAlign w:val="superscript"/>
        </w:rPr>
        <w:t>st</w:t>
      </w:r>
      <w:r w:rsidRPr="006A4D9F">
        <w:rPr>
          <w:rFonts w:cs="Times New Roman"/>
        </w:rPr>
        <w:t>, 2012 and September 30</w:t>
      </w:r>
      <w:r w:rsidRPr="00A46388">
        <w:rPr>
          <w:rFonts w:cs="Times New Roman"/>
          <w:vertAlign w:val="superscript"/>
        </w:rPr>
        <w:t>th</w:t>
      </w:r>
      <w:r w:rsidRPr="006A4D9F">
        <w:rPr>
          <w:rFonts w:cs="Times New Roman"/>
        </w:rPr>
        <w:t xml:space="preserve">, 2014 (1.9 per 1,000 deliveries) and overall </w:t>
      </w:r>
      <w:r w:rsidR="00A46388">
        <w:rPr>
          <w:rFonts w:cs="Times New Roman"/>
        </w:rPr>
        <w:t xml:space="preserve">opioid </w:t>
      </w:r>
      <w:r w:rsidRPr="006A4D9F">
        <w:rPr>
          <w:rFonts w:cs="Times New Roman"/>
        </w:rPr>
        <w:t>overdoses between January 1</w:t>
      </w:r>
      <w:r w:rsidRPr="00A46388">
        <w:rPr>
          <w:rFonts w:cs="Times New Roman"/>
          <w:vertAlign w:val="superscript"/>
        </w:rPr>
        <w:t>st</w:t>
      </w:r>
      <w:r w:rsidRPr="006A4D9F">
        <w:rPr>
          <w:rFonts w:cs="Times New Roman"/>
        </w:rPr>
        <w:t>, 2011 and December 31</w:t>
      </w:r>
      <w:r w:rsidRPr="00A46388">
        <w:rPr>
          <w:rFonts w:cs="Times New Roman"/>
          <w:vertAlign w:val="superscript"/>
        </w:rPr>
        <w:t>st</w:t>
      </w:r>
      <w:r w:rsidR="00282C3A">
        <w:rPr>
          <w:rFonts w:cs="Times New Roman"/>
        </w:rPr>
        <w:t>, 2015</w:t>
      </w:r>
      <w:r w:rsidR="008C7DB1">
        <w:rPr>
          <w:rFonts w:cs="Times New Roman"/>
        </w:rPr>
        <w:t xml:space="preserve"> </w:t>
      </w:r>
      <w:r w:rsidR="00F341D8">
        <w:rPr>
          <w:rFonts w:cs="Times New Roman"/>
        </w:rPr>
        <w:t xml:space="preserve">(6.5 per 1,000 residents) (Figure </w:t>
      </w:r>
      <w:r w:rsidR="006D2F4E">
        <w:rPr>
          <w:rFonts w:cs="Times New Roman"/>
        </w:rPr>
        <w:t>4</w:t>
      </w:r>
      <w:r w:rsidR="00A06D2B">
        <w:rPr>
          <w:rFonts w:cs="Times New Roman"/>
        </w:rPr>
        <w:t>5</w:t>
      </w:r>
      <w:r w:rsidR="00F341D8">
        <w:rPr>
          <w:rFonts w:cs="Times New Roman"/>
        </w:rPr>
        <w:t>).</w:t>
      </w:r>
    </w:p>
    <w:p w:rsidR="00E3738E" w:rsidRPr="00E3738E" w:rsidRDefault="00E3738E" w:rsidP="00E3738E">
      <w:pPr>
        <w:pStyle w:val="ListParagraph"/>
        <w:rPr>
          <w:rFonts w:cs="Times New Roman"/>
          <w:b/>
          <w:sz w:val="8"/>
          <w:szCs w:val="8"/>
        </w:rPr>
      </w:pPr>
    </w:p>
    <w:p w:rsidR="005E70E9" w:rsidRPr="00903B49" w:rsidRDefault="005E70E9" w:rsidP="005E70E9">
      <w:pPr>
        <w:pStyle w:val="ListParagraph"/>
        <w:rPr>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45</w:t>
      </w:r>
      <w:r w:rsidRPr="00512E2C">
        <w:rPr>
          <w:rFonts w:cs="Times New Roman"/>
          <w:b/>
        </w:rPr>
        <w:fldChar w:fldCharType="end"/>
      </w:r>
      <w:r w:rsidRPr="00512E2C">
        <w:rPr>
          <w:rFonts w:cs="Times New Roman"/>
          <w:b/>
        </w:rPr>
        <w:t>.</w:t>
      </w:r>
      <w:r>
        <w:rPr>
          <w:rFonts w:cs="Times New Roman"/>
          <w:b/>
        </w:rPr>
        <w:t xml:space="preserve"> </w:t>
      </w:r>
      <w:r w:rsidRPr="003579AD">
        <w:rPr>
          <w:b/>
          <w:bCs/>
        </w:rPr>
        <w:t>Comparing Postpartum and Overall Opioid Overdose Rates by EOHHS Region</w:t>
      </w:r>
      <w:r w:rsidR="00BB00C2">
        <w:rPr>
          <w:b/>
          <w:bCs/>
        </w:rPr>
        <w:t>, MA:</w:t>
      </w:r>
      <w:r w:rsidR="00D05501" w:rsidRPr="00D05501">
        <w:rPr>
          <w:rFonts w:cs="Times New Roman"/>
        </w:rPr>
        <w:t xml:space="preserve"> </w:t>
      </w:r>
      <w:r w:rsidR="00D05501" w:rsidRPr="00E248B6">
        <w:rPr>
          <w:rFonts w:cs="Times New Roman"/>
          <w:b/>
        </w:rPr>
        <w:t>January 1</w:t>
      </w:r>
      <w:r w:rsidR="00D05501" w:rsidRPr="00E248B6">
        <w:rPr>
          <w:rFonts w:cs="Times New Roman"/>
          <w:b/>
          <w:vertAlign w:val="superscript"/>
        </w:rPr>
        <w:t>st</w:t>
      </w:r>
      <w:r w:rsidR="00D05501" w:rsidRPr="00E248B6">
        <w:rPr>
          <w:rFonts w:cs="Times New Roman"/>
          <w:b/>
        </w:rPr>
        <w:t xml:space="preserve">, 2012 </w:t>
      </w:r>
      <w:r w:rsidR="00D561AC">
        <w:rPr>
          <w:rFonts w:cs="Times New Roman"/>
          <w:b/>
        </w:rPr>
        <w:t>to</w:t>
      </w:r>
      <w:r w:rsidR="00D05501" w:rsidRPr="00E248B6">
        <w:rPr>
          <w:rFonts w:cs="Times New Roman"/>
          <w:b/>
        </w:rPr>
        <w:t xml:space="preserve"> September 30</w:t>
      </w:r>
      <w:r w:rsidR="00D05501" w:rsidRPr="00E248B6">
        <w:rPr>
          <w:rFonts w:cs="Times New Roman"/>
          <w:b/>
          <w:vertAlign w:val="superscript"/>
        </w:rPr>
        <w:t>th</w:t>
      </w:r>
      <w:r w:rsidR="00D05501" w:rsidRPr="00E248B6">
        <w:rPr>
          <w:rFonts w:cs="Times New Roman"/>
          <w:b/>
        </w:rPr>
        <w:t>, 2014</w:t>
      </w:r>
    </w:p>
    <w:p w:rsidR="00F2712B" w:rsidRPr="00E3738E" w:rsidRDefault="00992BDC" w:rsidP="00E3738E">
      <w:pPr>
        <w:ind w:firstLine="450"/>
        <w:rPr>
          <w:rFonts w:cs="Times New Roman"/>
        </w:rPr>
      </w:pPr>
      <w:r>
        <w:rPr>
          <w:noProof/>
        </w:rPr>
        <w:drawing>
          <wp:inline distT="0" distB="0" distL="0" distR="0" wp14:anchorId="1705183C" wp14:editId="397F7F4D">
            <wp:extent cx="5524500" cy="2324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E3738E" w:rsidRPr="00E3738E" w:rsidRDefault="00E3738E" w:rsidP="00E3738E">
      <w:pPr>
        <w:pStyle w:val="ListParagraph"/>
        <w:spacing w:after="200" w:line="276" w:lineRule="auto"/>
        <w:ind w:left="360"/>
        <w:rPr>
          <w:rFonts w:cs="Times New Roman"/>
          <w:sz w:val="14"/>
          <w:szCs w:val="14"/>
        </w:rPr>
      </w:pPr>
    </w:p>
    <w:p w:rsidR="006A4D9F" w:rsidRPr="00282C3A" w:rsidRDefault="005E70E9" w:rsidP="00A877D1">
      <w:pPr>
        <w:pStyle w:val="ListParagraph"/>
        <w:numPr>
          <w:ilvl w:val="0"/>
          <w:numId w:val="17"/>
        </w:numPr>
        <w:spacing w:after="200" w:line="276" w:lineRule="auto"/>
        <w:rPr>
          <w:rFonts w:cs="Times New Roman"/>
        </w:rPr>
      </w:pPr>
      <w:r w:rsidRPr="00282C3A">
        <w:rPr>
          <w:rFonts w:cs="Times New Roman"/>
        </w:rPr>
        <w:t xml:space="preserve">The overall </w:t>
      </w:r>
      <w:r w:rsidR="00A46388">
        <w:rPr>
          <w:rFonts w:cs="Times New Roman"/>
        </w:rPr>
        <w:t xml:space="preserve">opioid </w:t>
      </w:r>
      <w:r w:rsidRPr="00282C3A">
        <w:rPr>
          <w:rFonts w:cs="Times New Roman"/>
        </w:rPr>
        <w:t xml:space="preserve">overdose rates were higher than postpartum overdose rates for all regions, but </w:t>
      </w:r>
      <w:r w:rsidR="008C7DB1">
        <w:rPr>
          <w:rFonts w:cs="Times New Roman"/>
        </w:rPr>
        <w:t xml:space="preserve">the </w:t>
      </w:r>
      <w:r w:rsidRPr="00282C3A">
        <w:rPr>
          <w:rFonts w:cs="Times New Roman"/>
        </w:rPr>
        <w:t xml:space="preserve">difference was most pronounced for the Boston region, which had an overall overdose rate 9.6 times higher than its postpartum overdose </w:t>
      </w:r>
      <w:r w:rsidRPr="003D4AAB">
        <w:rPr>
          <w:rFonts w:cs="Times New Roman"/>
        </w:rPr>
        <w:t>rate</w:t>
      </w:r>
      <w:r w:rsidR="003D4AAB" w:rsidRPr="003D4AAB">
        <w:rPr>
          <w:rFonts w:cs="Times New Roman"/>
        </w:rPr>
        <w:t>.</w:t>
      </w:r>
    </w:p>
    <w:p w:rsidR="006A4D9F" w:rsidRDefault="006A4D9F" w:rsidP="006A4D9F">
      <w:pPr>
        <w:pStyle w:val="ListParagraph"/>
        <w:spacing w:after="200" w:line="276" w:lineRule="auto"/>
        <w:ind w:left="360"/>
        <w:rPr>
          <w:rFonts w:cs="Times New Roman"/>
        </w:rPr>
      </w:pPr>
    </w:p>
    <w:p w:rsidR="003D4AAB" w:rsidRPr="003D4AAB" w:rsidRDefault="005E70E9" w:rsidP="003D4AAB">
      <w:pPr>
        <w:pStyle w:val="ListParagraph"/>
        <w:numPr>
          <w:ilvl w:val="0"/>
          <w:numId w:val="17"/>
        </w:numPr>
        <w:spacing w:after="200" w:line="276" w:lineRule="auto"/>
        <w:rPr>
          <w:rFonts w:cs="Times New Roman"/>
        </w:rPr>
      </w:pPr>
      <w:r w:rsidRPr="003D4AAB">
        <w:rPr>
          <w:rFonts w:cs="Times New Roman"/>
        </w:rPr>
        <w:t xml:space="preserve">Similarly, both postpartum </w:t>
      </w:r>
      <w:r w:rsidR="00A46388" w:rsidRPr="003D4AAB">
        <w:rPr>
          <w:rFonts w:cs="Times New Roman"/>
        </w:rPr>
        <w:t xml:space="preserve">opioid </w:t>
      </w:r>
      <w:r w:rsidRPr="003D4AAB">
        <w:rPr>
          <w:rFonts w:cs="Times New Roman"/>
        </w:rPr>
        <w:t>overdose rates and the overall overdose rates for residents of a community increased as the median income of the community decreased. Compared to the wealthiest quarter of MA communities, the poorest quarter of communities had more 2.4 times the rate of postpartum overdose (1.3 vs. 0.5 per 1,000 deliveries) and 2.9 times the overall rate of overdose (6</w:t>
      </w:r>
      <w:r w:rsidR="00282C3A" w:rsidRPr="003D4AAB">
        <w:rPr>
          <w:rFonts w:cs="Times New Roman"/>
        </w:rPr>
        <w:t>.6 vs. 2.3 per 1,000 residents)</w:t>
      </w:r>
      <w:r w:rsidR="003D4AAB" w:rsidRPr="003D4AAB">
        <w:rPr>
          <w:rFonts w:cs="Times New Roman"/>
        </w:rPr>
        <w:t>.</w:t>
      </w:r>
    </w:p>
    <w:p w:rsidR="003D4AAB" w:rsidRPr="003D4AAB" w:rsidRDefault="003D4AAB" w:rsidP="003D4AAB">
      <w:pPr>
        <w:pStyle w:val="ListParagraph"/>
        <w:spacing w:after="200" w:line="276" w:lineRule="auto"/>
        <w:ind w:left="360"/>
        <w:rPr>
          <w:rFonts w:cs="Times New Roman"/>
          <w:i/>
        </w:rPr>
      </w:pPr>
    </w:p>
    <w:p w:rsidR="00E248B6" w:rsidRPr="00E3738E" w:rsidRDefault="005E70E9" w:rsidP="009469EA">
      <w:pPr>
        <w:pStyle w:val="ListParagraph"/>
        <w:numPr>
          <w:ilvl w:val="0"/>
          <w:numId w:val="18"/>
        </w:numPr>
        <w:spacing w:after="200" w:line="276" w:lineRule="auto"/>
        <w:rPr>
          <w:rFonts w:cs="Times New Roman"/>
          <w:i/>
        </w:rPr>
      </w:pPr>
      <w:r w:rsidRPr="00DB2284">
        <w:t xml:space="preserve">More adolescents (ages 11-17) than adults ages 18 and older who had experienced a non-fatal </w:t>
      </w:r>
      <w:r w:rsidR="00A46388" w:rsidRPr="00DB2284">
        <w:t xml:space="preserve">opioid </w:t>
      </w:r>
      <w:r w:rsidRPr="00DB2284">
        <w:t>overdose had an address in a rural zip code (14% vs. 7%</w:t>
      </w:r>
      <w:r w:rsidR="00DB2284" w:rsidRPr="00DB2284">
        <w:t>)</w:t>
      </w:r>
      <w:r w:rsidR="00DB2284" w:rsidRPr="005F44D7">
        <w:rPr>
          <w:rStyle w:val="FootnoteReference"/>
        </w:rPr>
        <w:footnoteReference w:id="53"/>
      </w:r>
      <w:r w:rsidR="00DB2284" w:rsidRPr="00DB2284">
        <w:t>.</w:t>
      </w:r>
    </w:p>
    <w:p w:rsidR="000B626B" w:rsidRPr="006D434D" w:rsidRDefault="000B626B" w:rsidP="006D434D">
      <w:pPr>
        <w:pStyle w:val="ListParagraph"/>
        <w:jc w:val="center"/>
        <w:rPr>
          <w:b/>
          <w:bCs/>
        </w:rPr>
      </w:pPr>
    </w:p>
    <w:p w:rsidR="000B626B" w:rsidRDefault="00E76BA0" w:rsidP="00217830">
      <w:pPr>
        <w:numPr>
          <w:ilvl w:val="0"/>
          <w:numId w:val="19"/>
        </w:numPr>
      </w:pPr>
      <w:r>
        <w:t xml:space="preserve">For more information about </w:t>
      </w:r>
      <w:r w:rsidR="009F5FE1">
        <w:t xml:space="preserve">health </w:t>
      </w:r>
      <w:r>
        <w:t xml:space="preserve">inequities </w:t>
      </w:r>
      <w:r w:rsidR="009F5FE1">
        <w:t xml:space="preserve">in substance use treatments </w:t>
      </w:r>
      <w:r>
        <w:t>by geography</w:t>
      </w:r>
      <w:r w:rsidR="009F5FE1">
        <w:t xml:space="preserve"> and race and Hispanic Ethnicity</w:t>
      </w:r>
      <w:r>
        <w:t xml:space="preserve">, please see Section on Race/Ethnicity on page </w:t>
      </w:r>
      <w:r w:rsidR="00E3738E">
        <w:t>8</w:t>
      </w:r>
      <w:r>
        <w:t>.</w:t>
      </w:r>
    </w:p>
    <w:p w:rsidR="009469EA" w:rsidRDefault="009469EA" w:rsidP="00217830">
      <w:pPr>
        <w:ind w:left="360"/>
      </w:pPr>
    </w:p>
    <w:p w:rsidR="000D38A4" w:rsidRPr="00084F10" w:rsidRDefault="00345405" w:rsidP="00084F10">
      <w:pPr>
        <w:numPr>
          <w:ilvl w:val="0"/>
          <w:numId w:val="19"/>
        </w:numPr>
      </w:pPr>
      <w:r w:rsidRPr="00FD0E94">
        <w:t xml:space="preserve">Hotspot </w:t>
      </w:r>
      <w:r w:rsidR="00FD0E94" w:rsidRPr="00FD0E94">
        <w:t>analyses (5-step process) were</w:t>
      </w:r>
      <w:r w:rsidR="00FD0E94">
        <w:t xml:space="preserve"> used </w:t>
      </w:r>
      <w:r w:rsidRPr="00FD0E94">
        <w:t>to identify areas of with statistically significant clusters</w:t>
      </w:r>
      <w:r w:rsidR="00FD0E94">
        <w:t xml:space="preserve">. </w:t>
      </w:r>
      <w:r w:rsidR="006D434D">
        <w:t xml:space="preserve">Hotspots areas for fatal opioid overdose were </w:t>
      </w:r>
      <w:r w:rsidR="00F767FA">
        <w:t>identified</w:t>
      </w:r>
      <w:r w:rsidR="006D434D">
        <w:t xml:space="preserve"> in the </w:t>
      </w:r>
      <w:r w:rsidRPr="006D434D">
        <w:t>Boston, Cape</w:t>
      </w:r>
      <w:r w:rsidR="008C7DB1">
        <w:t xml:space="preserve"> Cod</w:t>
      </w:r>
      <w:r w:rsidRPr="006D434D">
        <w:t xml:space="preserve">, Merrimack Valley, Worcester, </w:t>
      </w:r>
      <w:r w:rsidR="008C7DB1">
        <w:t xml:space="preserve">and </w:t>
      </w:r>
      <w:r w:rsidRPr="006D434D">
        <w:t>Pioneer Valley</w:t>
      </w:r>
      <w:r w:rsidR="006D2F4E">
        <w:t xml:space="preserve"> areas</w:t>
      </w:r>
      <w:r w:rsidR="00F341D8">
        <w:rPr>
          <w:rFonts w:cs="Times New Roman"/>
        </w:rPr>
        <w:t>.</w:t>
      </w:r>
    </w:p>
    <w:p w:rsidR="005E70E9" w:rsidRPr="000B626B" w:rsidRDefault="00441512" w:rsidP="00A1795E">
      <w:pPr>
        <w:pStyle w:val="Heading2"/>
      </w:pPr>
      <w:bookmarkStart w:id="16" w:name="_Toc20134885"/>
      <w:r w:rsidRPr="00D3478C">
        <w:rPr>
          <w:sz w:val="36"/>
          <w:szCs w:val="36"/>
        </w:rPr>
        <w:lastRenderedPageBreak/>
        <w:t xml:space="preserve">People </w:t>
      </w:r>
      <w:r w:rsidR="008C7DB1">
        <w:rPr>
          <w:sz w:val="36"/>
          <w:szCs w:val="36"/>
        </w:rPr>
        <w:t>R</w:t>
      </w:r>
      <w:r w:rsidR="008C7DB1" w:rsidRPr="00D3478C">
        <w:rPr>
          <w:sz w:val="36"/>
          <w:szCs w:val="36"/>
        </w:rPr>
        <w:t xml:space="preserve">eceiving </w:t>
      </w:r>
      <w:r w:rsidR="008C7DB1">
        <w:rPr>
          <w:sz w:val="36"/>
          <w:szCs w:val="36"/>
        </w:rPr>
        <w:t>O</w:t>
      </w:r>
      <w:r w:rsidR="008C7DB1" w:rsidRPr="00D3478C">
        <w:rPr>
          <w:sz w:val="36"/>
          <w:szCs w:val="36"/>
        </w:rPr>
        <w:t xml:space="preserve">pioid </w:t>
      </w:r>
      <w:r w:rsidR="008C7DB1">
        <w:rPr>
          <w:sz w:val="36"/>
          <w:szCs w:val="36"/>
        </w:rPr>
        <w:t>P</w:t>
      </w:r>
      <w:r w:rsidR="008C7DB1" w:rsidRPr="00D3478C">
        <w:rPr>
          <w:sz w:val="36"/>
          <w:szCs w:val="36"/>
        </w:rPr>
        <w:t>rescriptions</w:t>
      </w:r>
      <w:bookmarkEnd w:id="16"/>
    </w:p>
    <w:p w:rsidR="00C52887" w:rsidRDefault="00C52887" w:rsidP="00126C50">
      <w:pPr>
        <w:spacing w:after="120" w:line="23" w:lineRule="atLeast"/>
        <w:rPr>
          <w:rFonts w:ascii="Calibri" w:hAnsi="Calibri"/>
          <w:b/>
        </w:rPr>
      </w:pPr>
    </w:p>
    <w:p w:rsidR="00A46388" w:rsidRDefault="008D1BFF" w:rsidP="00217830">
      <w:pPr>
        <w:rPr>
          <w:rFonts w:ascii="Calibri" w:hAnsi="Calibri"/>
          <w:b/>
        </w:rPr>
      </w:pPr>
      <w:r>
        <w:rPr>
          <w:rFonts w:ascii="Calibri" w:hAnsi="Calibri"/>
          <w:b/>
        </w:rPr>
        <w:t xml:space="preserve">Background: </w:t>
      </w:r>
    </w:p>
    <w:p w:rsidR="00126C50" w:rsidRPr="00126C50" w:rsidRDefault="005E70E9" w:rsidP="00217830">
      <w:pPr>
        <w:rPr>
          <w:rFonts w:eastAsia="Times New Roman" w:cs="Times New Roman"/>
          <w:color w:val="000000"/>
        </w:rPr>
      </w:pPr>
      <w:r w:rsidRPr="004664DD">
        <w:rPr>
          <w:rFonts w:ascii="Calibri" w:hAnsi="Calibri"/>
        </w:rPr>
        <w:t xml:space="preserve">Most individuals who misuse opioids have been found to have been initially </w:t>
      </w:r>
      <w:r>
        <w:rPr>
          <w:rFonts w:ascii="Calibri" w:hAnsi="Calibri"/>
        </w:rPr>
        <w:t>exposed to prescription opioids</w:t>
      </w:r>
      <w:r w:rsidR="000D38A4">
        <w:rPr>
          <w:rFonts w:ascii="Calibri" w:hAnsi="Calibri"/>
        </w:rPr>
        <w:t>.</w:t>
      </w:r>
      <w:r w:rsidRPr="005F44D7">
        <w:rPr>
          <w:rStyle w:val="FootnoteReference"/>
        </w:rPr>
        <w:footnoteReference w:id="54"/>
      </w:r>
      <w:r w:rsidRPr="004664DD">
        <w:rPr>
          <w:rFonts w:ascii="Calibri" w:hAnsi="Calibri"/>
          <w:vertAlign w:val="superscript"/>
        </w:rPr>
        <w:t>,</w:t>
      </w:r>
      <w:r w:rsidRPr="005F44D7">
        <w:rPr>
          <w:rStyle w:val="FootnoteReference"/>
        </w:rPr>
        <w:footnoteReference w:id="55"/>
      </w:r>
      <w:r>
        <w:rPr>
          <w:rFonts w:ascii="Calibri" w:hAnsi="Calibri"/>
        </w:rPr>
        <w:t xml:space="preserve"> </w:t>
      </w:r>
      <w:r w:rsidR="004E55B7" w:rsidRPr="004664DD">
        <w:rPr>
          <w:rFonts w:eastAsia="Times New Roman" w:cs="Times New Roman"/>
          <w:color w:val="000000"/>
        </w:rPr>
        <w:t xml:space="preserve">The number of opioids prescribed to residents of Massachusetts increased roughly 7% annually </w:t>
      </w:r>
      <w:r w:rsidR="00B42C52">
        <w:rPr>
          <w:rFonts w:eastAsia="Times New Roman" w:cs="Times New Roman"/>
          <w:color w:val="000000"/>
        </w:rPr>
        <w:t xml:space="preserve">from </w:t>
      </w:r>
      <w:r w:rsidR="004E55B7" w:rsidRPr="004664DD">
        <w:rPr>
          <w:rFonts w:eastAsia="Times New Roman" w:cs="Times New Roman"/>
          <w:color w:val="000000"/>
        </w:rPr>
        <w:t>2000</w:t>
      </w:r>
      <w:r w:rsidR="004E55B7">
        <w:rPr>
          <w:rFonts w:eastAsia="Times New Roman" w:cs="Times New Roman"/>
          <w:color w:val="000000"/>
        </w:rPr>
        <w:t>-2015</w:t>
      </w:r>
      <w:r w:rsidR="004E55B7" w:rsidRPr="004664DD">
        <w:rPr>
          <w:rFonts w:eastAsia="Times New Roman" w:cs="Times New Roman"/>
          <w:color w:val="000000"/>
        </w:rPr>
        <w:t xml:space="preserve">. </w:t>
      </w:r>
      <w:r w:rsidRPr="004664DD">
        <w:rPr>
          <w:rFonts w:eastAsia="Times New Roman" w:cs="Times New Roman"/>
          <w:color w:val="000000"/>
        </w:rPr>
        <w:t xml:space="preserve">In 2015, nearly one in six Massachusetts residents obtained an opioid prescription </w:t>
      </w:r>
      <w:r w:rsidRPr="005901D9">
        <w:rPr>
          <w:rFonts w:eastAsia="Times New Roman" w:cs="Times New Roman"/>
          <w:color w:val="000000"/>
        </w:rPr>
        <w:t>from a health care provider. Those receiving prescriptions obtained more than three filled prescriptions on average.</w:t>
      </w:r>
      <w:r w:rsidR="005901D9" w:rsidRPr="005901D9">
        <w:rPr>
          <w:rFonts w:eastAsia="Times New Roman" w:cs="Times New Roman"/>
          <w:color w:val="000000"/>
        </w:rPr>
        <w:t xml:space="preserve"> Recent statistics show that in </w:t>
      </w:r>
      <w:r w:rsidR="005901D9" w:rsidRPr="005901D9">
        <w:rPr>
          <w:rFonts w:cstheme="minorHAnsi"/>
        </w:rPr>
        <w:t>the first quarter of 2019</w:t>
      </w:r>
      <w:r w:rsidR="00B42C52">
        <w:rPr>
          <w:rFonts w:cstheme="minorHAnsi"/>
        </w:rPr>
        <w:t>,</w:t>
      </w:r>
      <w:r w:rsidR="005901D9" w:rsidRPr="005901D9">
        <w:rPr>
          <w:rFonts w:cstheme="minorHAnsi"/>
        </w:rPr>
        <w:t xml:space="preserve"> there were just over 518,000 Schedule II opioid prescriptions reported to the Massachusetts Prescription Monitoring Program (MassPAT); this is a notable decrease from the previous quarter and a 39% decrease from the first quarter of 2015</w:t>
      </w:r>
      <w:r w:rsidR="000D38A4">
        <w:rPr>
          <w:rFonts w:cstheme="minorHAnsi"/>
        </w:rPr>
        <w:t>.</w:t>
      </w:r>
      <w:r w:rsidR="00126C50" w:rsidRPr="005F44D7">
        <w:rPr>
          <w:rStyle w:val="FootnoteReference"/>
        </w:rPr>
        <w:footnoteReference w:id="56"/>
      </w:r>
    </w:p>
    <w:p w:rsidR="000D38A4" w:rsidRDefault="000D38A4" w:rsidP="00217830">
      <w:pPr>
        <w:rPr>
          <w:rFonts w:ascii="Calibri" w:hAnsi="Calibri"/>
        </w:rPr>
      </w:pPr>
    </w:p>
    <w:p w:rsidR="005E70E9" w:rsidRDefault="005E70E9" w:rsidP="00217830">
      <w:pPr>
        <w:rPr>
          <w:rFonts w:cs="DgcryqAdvTT3713a231"/>
          <w:color w:val="131413"/>
        </w:rPr>
      </w:pPr>
      <w:r w:rsidRPr="002E58A2">
        <w:rPr>
          <w:rFonts w:ascii="Calibri" w:hAnsi="Calibri"/>
        </w:rPr>
        <w:t>Recently, attention has focused on potentially inappropriate prescribing</w:t>
      </w:r>
      <w:r w:rsidR="00FE7029">
        <w:rPr>
          <w:rFonts w:ascii="Calibri" w:hAnsi="Calibri"/>
        </w:rPr>
        <w:t xml:space="preserve"> </w:t>
      </w:r>
      <w:r w:rsidR="00FE7029" w:rsidRPr="002E58A2">
        <w:rPr>
          <w:rFonts w:ascii="Calibri" w:hAnsi="Calibri"/>
        </w:rPr>
        <w:t>(PIP)</w:t>
      </w:r>
      <w:r w:rsidR="00A46388">
        <w:rPr>
          <w:rFonts w:ascii="Calibri" w:hAnsi="Calibri"/>
        </w:rPr>
        <w:t xml:space="preserve"> of opioids </w:t>
      </w:r>
      <w:r w:rsidRPr="002E58A2">
        <w:rPr>
          <w:rFonts w:ascii="Calibri" w:hAnsi="Calibri"/>
        </w:rPr>
        <w:t>as a risk factor for fatal overdose, given its frequency and growth over time</w:t>
      </w:r>
      <w:r w:rsidR="000D38A4">
        <w:rPr>
          <w:rFonts w:ascii="Calibri" w:hAnsi="Calibri"/>
        </w:rPr>
        <w:t>.</w:t>
      </w:r>
      <w:r w:rsidRPr="005F44D7">
        <w:rPr>
          <w:rStyle w:val="FootnoteReference"/>
        </w:rPr>
        <w:footnoteReference w:id="57"/>
      </w:r>
      <w:r w:rsidRPr="002E58A2">
        <w:rPr>
          <w:rFonts w:ascii="Calibri" w:hAnsi="Calibri"/>
          <w:vertAlign w:val="superscript"/>
        </w:rPr>
        <w:t>,</w:t>
      </w:r>
      <w:r w:rsidRPr="005F44D7">
        <w:rPr>
          <w:rStyle w:val="FootnoteReference"/>
        </w:rPr>
        <w:footnoteReference w:id="58"/>
      </w:r>
      <w:r>
        <w:rPr>
          <w:rFonts w:ascii="Calibri" w:hAnsi="Calibri"/>
          <w:vertAlign w:val="superscript"/>
        </w:rPr>
        <w:t>,</w:t>
      </w:r>
      <w:r w:rsidRPr="005F44D7">
        <w:rPr>
          <w:rStyle w:val="FootnoteReference"/>
        </w:rPr>
        <w:footnoteReference w:id="59"/>
      </w:r>
      <w:r w:rsidRPr="002E58A2">
        <w:rPr>
          <w:rFonts w:ascii="Calibri" w:hAnsi="Calibri"/>
        </w:rPr>
        <w:t xml:space="preserve"> </w:t>
      </w:r>
      <w:r>
        <w:rPr>
          <w:rFonts w:ascii="Calibri" w:hAnsi="Calibri"/>
        </w:rPr>
        <w:t>Several s</w:t>
      </w:r>
      <w:r w:rsidRPr="002E58A2">
        <w:rPr>
          <w:rFonts w:ascii="Calibri" w:hAnsi="Calibri"/>
        </w:rPr>
        <w:t xml:space="preserve">tudies have </w:t>
      </w:r>
      <w:r w:rsidR="00A46388">
        <w:rPr>
          <w:rFonts w:ascii="Calibri" w:hAnsi="Calibri"/>
        </w:rPr>
        <w:t>shown that multiple prescribers</w:t>
      </w:r>
      <w:r w:rsidRPr="002E58A2">
        <w:rPr>
          <w:rFonts w:ascii="Calibri" w:hAnsi="Calibri"/>
        </w:rPr>
        <w:t xml:space="preserve"> or multiple pharmacies are </w:t>
      </w:r>
      <w:r>
        <w:rPr>
          <w:rFonts w:ascii="Calibri" w:hAnsi="Calibri"/>
        </w:rPr>
        <w:t>associated with opioid overdose</w:t>
      </w:r>
      <w:r w:rsidR="000D38A4">
        <w:rPr>
          <w:rFonts w:ascii="Calibri" w:hAnsi="Calibri"/>
        </w:rPr>
        <w:t>.</w:t>
      </w:r>
      <w:r w:rsidRPr="002E58A2">
        <w:rPr>
          <w:rFonts w:ascii="Calibri" w:hAnsi="Calibri"/>
          <w:vertAlign w:val="superscript"/>
        </w:rPr>
        <w:t xml:space="preserve">5, </w:t>
      </w:r>
      <w:r w:rsidRPr="005F44D7">
        <w:rPr>
          <w:rStyle w:val="FootnoteReference"/>
        </w:rPr>
        <w:footnoteReference w:id="60"/>
      </w:r>
      <w:r w:rsidRPr="002E58A2">
        <w:rPr>
          <w:rFonts w:ascii="Calibri" w:hAnsi="Calibri"/>
          <w:vertAlign w:val="superscript"/>
        </w:rPr>
        <w:t xml:space="preserve">, </w:t>
      </w:r>
      <w:r w:rsidRPr="005F44D7">
        <w:rPr>
          <w:rStyle w:val="FootnoteReference"/>
        </w:rPr>
        <w:footnoteReference w:id="61"/>
      </w:r>
      <w:r w:rsidR="000D38A4">
        <w:rPr>
          <w:rFonts w:cs="DgcryqAdvTT3713a231"/>
          <w:color w:val="131413"/>
        </w:rPr>
        <w:t xml:space="preserve"> Other </w:t>
      </w:r>
      <w:r>
        <w:rPr>
          <w:rFonts w:cs="DgcryqAdvTT3713a231"/>
          <w:color w:val="131413"/>
        </w:rPr>
        <w:t>s</w:t>
      </w:r>
      <w:r w:rsidRPr="00602574">
        <w:rPr>
          <w:rFonts w:cs="DgcryqAdvTT3713a231"/>
          <w:color w:val="131413"/>
        </w:rPr>
        <w:t>tudies have</w:t>
      </w:r>
      <w:r>
        <w:rPr>
          <w:rFonts w:cs="DgcryqAdvTT3713a231"/>
          <w:color w:val="131413"/>
        </w:rPr>
        <w:t xml:space="preserve"> also</w:t>
      </w:r>
      <w:r w:rsidRPr="00602574">
        <w:rPr>
          <w:rFonts w:cs="DgcryqAdvTT3713a231"/>
          <w:color w:val="131413"/>
        </w:rPr>
        <w:t xml:space="preserve"> shown that high-dose opioids, defined as </w:t>
      </w:r>
      <w:r w:rsidRPr="00602574">
        <w:rPr>
          <w:rFonts w:cs="DttsgfAdvTT3713a231+22"/>
          <w:color w:val="131413"/>
        </w:rPr>
        <w:t xml:space="preserve">≥ </w:t>
      </w:r>
      <w:r w:rsidRPr="00602574">
        <w:rPr>
          <w:rFonts w:cs="DgcryqAdvTT3713a231"/>
          <w:color w:val="131413"/>
        </w:rPr>
        <w:t>100 mg morphine equivalents</w:t>
      </w:r>
      <w:r w:rsidR="00B42C52">
        <w:rPr>
          <w:rFonts w:cs="DgcryqAdvTT3713a231"/>
          <w:color w:val="131413"/>
        </w:rPr>
        <w:t xml:space="preserve"> (MME)</w:t>
      </w:r>
      <w:r w:rsidRPr="00602574">
        <w:rPr>
          <w:rFonts w:cs="DgcryqAdvTT3713a231"/>
          <w:color w:val="131413"/>
        </w:rPr>
        <w:t xml:space="preserve"> per day, or co-prescription of opioids with benzodiazepines, are associated with opioid overdose</w:t>
      </w:r>
      <w:r w:rsidR="000D38A4">
        <w:rPr>
          <w:rFonts w:cs="DgcryqAdvTT3713a231"/>
          <w:color w:val="131413"/>
        </w:rPr>
        <w:t>.</w:t>
      </w:r>
      <w:r w:rsidRPr="005F44D7">
        <w:rPr>
          <w:rStyle w:val="FootnoteReference"/>
        </w:rPr>
        <w:footnoteReference w:id="62"/>
      </w:r>
      <w:r w:rsidRPr="00B01CA2">
        <w:rPr>
          <w:rFonts w:cs="DgcryqAdvTT3713a231"/>
          <w:color w:val="131413"/>
          <w:vertAlign w:val="superscript"/>
        </w:rPr>
        <w:t xml:space="preserve">, </w:t>
      </w:r>
      <w:r w:rsidRPr="005F44D7">
        <w:rPr>
          <w:rStyle w:val="FootnoteReference"/>
        </w:rPr>
        <w:footnoteReference w:id="63"/>
      </w:r>
      <w:r w:rsidRPr="00B01CA2">
        <w:rPr>
          <w:rFonts w:cs="DgcryqAdvTT3713a231"/>
          <w:color w:val="131413"/>
          <w:vertAlign w:val="superscript"/>
        </w:rPr>
        <w:t>,</w:t>
      </w:r>
      <w:r w:rsidRPr="005F44D7">
        <w:rPr>
          <w:rStyle w:val="FootnoteReference"/>
        </w:rPr>
        <w:footnoteReference w:id="64"/>
      </w:r>
      <w:r w:rsidRPr="00B01CA2">
        <w:rPr>
          <w:rFonts w:cs="DgcryqAdvTT3713a231"/>
          <w:color w:val="131413"/>
          <w:vertAlign w:val="superscript"/>
        </w:rPr>
        <w:t>,</w:t>
      </w:r>
      <w:r w:rsidRPr="005F44D7">
        <w:rPr>
          <w:rStyle w:val="FootnoteReference"/>
        </w:rPr>
        <w:footnoteReference w:id="65"/>
      </w:r>
      <w:r w:rsidRPr="00B01CA2">
        <w:rPr>
          <w:rFonts w:cs="DgcryqAdvTT3713a231"/>
          <w:color w:val="131413"/>
          <w:vertAlign w:val="superscript"/>
        </w:rPr>
        <w:t>,</w:t>
      </w:r>
      <w:r w:rsidRPr="005F44D7">
        <w:rPr>
          <w:rStyle w:val="FootnoteReference"/>
        </w:rPr>
        <w:footnoteReference w:id="66"/>
      </w:r>
    </w:p>
    <w:p w:rsidR="000D38A4" w:rsidRDefault="000D38A4" w:rsidP="0053198D">
      <w:pPr>
        <w:rPr>
          <w:rFonts w:eastAsia="Times New Roman" w:cs="Times New Roman"/>
          <w:b/>
          <w:color w:val="000000"/>
        </w:rPr>
      </w:pPr>
    </w:p>
    <w:p w:rsidR="005E70E9" w:rsidRPr="001425F0" w:rsidRDefault="008D1BFF" w:rsidP="0053198D">
      <w:pPr>
        <w:rPr>
          <w:rFonts w:eastAsia="Times New Roman" w:cs="Times New Roman"/>
          <w:color w:val="000000"/>
        </w:rPr>
      </w:pPr>
      <w:r>
        <w:rPr>
          <w:rFonts w:eastAsia="Times New Roman" w:cs="Times New Roman"/>
          <w:b/>
          <w:color w:val="000000"/>
        </w:rPr>
        <w:t>Key Findings</w:t>
      </w:r>
      <w:r w:rsidR="005E70E9" w:rsidRPr="001425F0">
        <w:rPr>
          <w:rFonts w:eastAsia="Times New Roman" w:cs="Times New Roman"/>
          <w:color w:val="000000"/>
        </w:rPr>
        <w:t>:</w:t>
      </w:r>
    </w:p>
    <w:p w:rsidR="005E70E9" w:rsidRPr="00173470" w:rsidRDefault="00FE7029" w:rsidP="006A4D9F">
      <w:pPr>
        <w:pStyle w:val="ListParagraph"/>
        <w:numPr>
          <w:ilvl w:val="0"/>
          <w:numId w:val="6"/>
        </w:numPr>
        <w:spacing w:after="120" w:line="276" w:lineRule="auto"/>
        <w:ind w:left="360"/>
        <w:rPr>
          <w:rFonts w:cs="DgcryqAdvTT3713a231"/>
          <w:color w:val="131413"/>
        </w:rPr>
      </w:pPr>
      <w:r>
        <w:rPr>
          <w:rFonts w:ascii="Calibri" w:hAnsi="Calibri"/>
        </w:rPr>
        <w:t>A</w:t>
      </w:r>
      <w:r w:rsidR="005E70E9" w:rsidRPr="001425F0">
        <w:rPr>
          <w:rFonts w:ascii="Calibri" w:hAnsi="Calibri"/>
        </w:rPr>
        <w:t>bout 57% of the state’s adult population</w:t>
      </w:r>
      <w:r>
        <w:rPr>
          <w:rFonts w:ascii="Calibri" w:hAnsi="Calibri"/>
        </w:rPr>
        <w:t xml:space="preserve"> (3,078,034 people)</w:t>
      </w:r>
      <w:r w:rsidR="005E70E9" w:rsidRPr="001425F0">
        <w:rPr>
          <w:rFonts w:ascii="Calibri" w:hAnsi="Calibri"/>
        </w:rPr>
        <w:t>—received at least one opioid prescription between 2011 and 2015</w:t>
      </w:r>
      <w:r w:rsidR="000D38A4">
        <w:rPr>
          <w:rFonts w:ascii="Calibri" w:hAnsi="Calibri"/>
        </w:rPr>
        <w:t>.</w:t>
      </w:r>
      <w:r w:rsidR="00F13064" w:rsidRPr="005F44D7">
        <w:rPr>
          <w:rStyle w:val="FootnoteReference"/>
        </w:rPr>
        <w:footnoteReference w:id="67"/>
      </w:r>
    </w:p>
    <w:p w:rsidR="005E70E9" w:rsidRPr="00173470" w:rsidRDefault="005E70E9" w:rsidP="006A4D9F">
      <w:pPr>
        <w:pStyle w:val="ListParagraph"/>
        <w:spacing w:after="120"/>
        <w:ind w:left="360"/>
        <w:rPr>
          <w:rFonts w:cs="DgcryqAdvTT3713a231"/>
          <w:color w:val="131413"/>
        </w:rPr>
      </w:pPr>
    </w:p>
    <w:p w:rsidR="0093648F" w:rsidRPr="00217830" w:rsidRDefault="005E70E9" w:rsidP="00217830">
      <w:pPr>
        <w:pStyle w:val="ListParagraph"/>
        <w:numPr>
          <w:ilvl w:val="0"/>
          <w:numId w:val="6"/>
        </w:numPr>
        <w:ind w:left="360"/>
        <w:rPr>
          <w:rFonts w:cs="DgcryqAdvTT3713a231"/>
          <w:color w:val="131413"/>
        </w:rPr>
      </w:pPr>
      <w:r w:rsidRPr="00173470">
        <w:rPr>
          <w:rFonts w:ascii="Calibri" w:hAnsi="Calibri"/>
        </w:rPr>
        <w:lastRenderedPageBreak/>
        <w:t>Many patients received potentially inappropriate prescriptions just once, and a subset received them repeatedly. Co</w:t>
      </w:r>
      <w:r>
        <w:rPr>
          <w:rFonts w:ascii="Calibri" w:hAnsi="Calibri"/>
        </w:rPr>
        <w:t>-</w:t>
      </w:r>
      <w:r w:rsidRPr="00173470">
        <w:rPr>
          <w:rFonts w:ascii="Calibri" w:hAnsi="Calibri"/>
        </w:rPr>
        <w:t xml:space="preserve">prescription of opioids and benzodiazepines was the most common type of PIP and rose consistently from 57,878 in 2011 to 64,208 in 2015; all other </w:t>
      </w:r>
      <w:r w:rsidR="00F13064">
        <w:rPr>
          <w:rFonts w:ascii="Calibri" w:hAnsi="Calibri"/>
        </w:rPr>
        <w:t>PIP variables steadily decrease</w:t>
      </w:r>
      <w:r w:rsidR="00B42C52">
        <w:rPr>
          <w:rFonts w:ascii="Calibri" w:hAnsi="Calibri"/>
        </w:rPr>
        <w:t>d</w:t>
      </w:r>
      <w:r w:rsidR="000D38A4">
        <w:rPr>
          <w:rFonts w:ascii="Calibri" w:hAnsi="Calibri"/>
        </w:rPr>
        <w:t>.</w:t>
      </w:r>
      <w:r w:rsidR="000C592A" w:rsidRPr="005F44D7">
        <w:rPr>
          <w:rStyle w:val="FootnoteReference"/>
        </w:rPr>
        <w:footnoteReference w:id="68"/>
      </w:r>
    </w:p>
    <w:p w:rsidR="0093648F" w:rsidRPr="00217830" w:rsidRDefault="0093648F" w:rsidP="00217830">
      <w:pPr>
        <w:spacing w:after="120" w:line="276" w:lineRule="auto"/>
        <w:rPr>
          <w:rFonts w:cs="DgcryqAdvTT3713a231"/>
          <w:color w:val="131413"/>
        </w:rPr>
      </w:pPr>
    </w:p>
    <w:tbl>
      <w:tblPr>
        <w:tblStyle w:val="LightShading-Accent1"/>
        <w:tblpPr w:leftFromText="180" w:rightFromText="180" w:vertAnchor="text" w:tblpXSpec="center" w:tblpY="1"/>
        <w:tblW w:w="7938" w:type="dxa"/>
        <w:tblLayout w:type="fixed"/>
        <w:tblLook w:val="04A0" w:firstRow="1" w:lastRow="0" w:firstColumn="1" w:lastColumn="0" w:noHBand="0" w:noVBand="1"/>
      </w:tblPr>
      <w:tblGrid>
        <w:gridCol w:w="3870"/>
        <w:gridCol w:w="2970"/>
        <w:gridCol w:w="1098"/>
      </w:tblGrid>
      <w:tr w:rsidR="005E70E9" w:rsidTr="00A1795E">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7938" w:type="dxa"/>
            <w:gridSpan w:val="3"/>
          </w:tcPr>
          <w:p w:rsidR="0093648F" w:rsidRPr="00E76F5B" w:rsidRDefault="002A433E" w:rsidP="0093648F">
            <w:pPr>
              <w:autoSpaceDE w:val="0"/>
              <w:autoSpaceDN w:val="0"/>
              <w:adjustRightInd w:val="0"/>
              <w:jc w:val="center"/>
              <w:rPr>
                <w:rFonts w:cs="Times New Roman"/>
                <w:bCs w:val="0"/>
              </w:rPr>
            </w:pPr>
            <w:r w:rsidRPr="00E76F5B">
              <w:t xml:space="preserve">Table </w:t>
            </w:r>
            <w:r w:rsidRPr="00B102F1">
              <w:fldChar w:fldCharType="begin"/>
            </w:r>
            <w:r w:rsidRPr="00E76F5B">
              <w:instrText xml:space="preserve"> SEQ Table \* ARABIC </w:instrText>
            </w:r>
            <w:r w:rsidRPr="00B102F1">
              <w:fldChar w:fldCharType="separate"/>
            </w:r>
            <w:r w:rsidR="00FA5C39">
              <w:rPr>
                <w:noProof/>
              </w:rPr>
              <w:t>4</w:t>
            </w:r>
            <w:r w:rsidRPr="00B102F1">
              <w:fldChar w:fldCharType="end"/>
            </w:r>
            <w:r w:rsidRPr="00E76F5B">
              <w:t>.</w:t>
            </w:r>
            <w:r w:rsidRPr="00B102F1">
              <w:t xml:space="preserve"> </w:t>
            </w:r>
            <w:r w:rsidR="005E70E9" w:rsidRPr="00E76F5B">
              <w:rPr>
                <w:rFonts w:cs="Times New Roman"/>
                <w:bCs w:val="0"/>
              </w:rPr>
              <w:t>Potentially Inappropriate</w:t>
            </w:r>
            <w:r w:rsidR="0093648F" w:rsidRPr="00E76F5B">
              <w:rPr>
                <w:rFonts w:cs="Times New Roman"/>
                <w:bCs w:val="0"/>
              </w:rPr>
              <w:t xml:space="preserve"> </w:t>
            </w:r>
            <w:r w:rsidR="005E70E9" w:rsidRPr="00E76F5B">
              <w:rPr>
                <w:rFonts w:cs="Times New Roman"/>
                <w:bCs w:val="0"/>
              </w:rPr>
              <w:t>Opioid Prescribing (PIP)</w:t>
            </w:r>
            <w:r w:rsidR="00B42C52">
              <w:rPr>
                <w:rFonts w:cs="Times New Roman"/>
                <w:bCs w:val="0"/>
              </w:rPr>
              <w:t>, MA: 2011-2015</w:t>
            </w:r>
            <w:r w:rsidR="005E70E9" w:rsidRPr="00E76F5B">
              <w:rPr>
                <w:rFonts w:cs="Times New Roman"/>
                <w:bCs w:val="0"/>
              </w:rPr>
              <w:t xml:space="preserve"> </w:t>
            </w:r>
          </w:p>
          <w:p w:rsidR="005E70E9" w:rsidRPr="007526DA" w:rsidRDefault="005E70E9" w:rsidP="00B42C52">
            <w:pPr>
              <w:autoSpaceDE w:val="0"/>
              <w:autoSpaceDN w:val="0"/>
              <w:adjustRightInd w:val="0"/>
              <w:jc w:val="center"/>
              <w:rPr>
                <w:rFonts w:cs="Times New Roman"/>
                <w:b w:val="0"/>
                <w:bCs w:val="0"/>
              </w:rPr>
            </w:pPr>
          </w:p>
        </w:tc>
      </w:tr>
      <w:tr w:rsidR="005E70E9" w:rsidTr="00A1795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870" w:type="dxa"/>
          </w:tcPr>
          <w:p w:rsidR="005E70E9" w:rsidRPr="00E76F5B" w:rsidRDefault="005E70E9" w:rsidP="0023175C">
            <w:pPr>
              <w:spacing w:after="120" w:line="276" w:lineRule="auto"/>
              <w:rPr>
                <w:rFonts w:ascii="Calibri" w:hAnsi="Calibri"/>
              </w:rPr>
            </w:pPr>
            <w:r w:rsidRPr="00E76F5B">
              <w:rPr>
                <w:rFonts w:ascii="Calibri" w:hAnsi="Calibri"/>
              </w:rPr>
              <w:t>Variable</w:t>
            </w:r>
          </w:p>
        </w:tc>
        <w:tc>
          <w:tcPr>
            <w:tcW w:w="2970" w:type="dxa"/>
          </w:tcPr>
          <w:p w:rsidR="005E70E9" w:rsidRPr="007D79C9" w:rsidRDefault="005E70E9" w:rsidP="002317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7D79C9">
              <w:rPr>
                <w:rFonts w:ascii="Calibri" w:hAnsi="Calibri"/>
                <w:b/>
              </w:rPr>
              <w:t>Frequency</w:t>
            </w:r>
          </w:p>
        </w:tc>
        <w:tc>
          <w:tcPr>
            <w:tcW w:w="1098" w:type="dxa"/>
          </w:tcPr>
          <w:p w:rsidR="005E70E9" w:rsidRPr="007D79C9" w:rsidRDefault="005E70E9" w:rsidP="0023175C">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7D79C9">
              <w:rPr>
                <w:rFonts w:ascii="Calibri" w:hAnsi="Calibri"/>
                <w:b/>
              </w:rPr>
              <w:t>Percent</w:t>
            </w:r>
          </w:p>
        </w:tc>
      </w:tr>
      <w:tr w:rsidR="005E70E9" w:rsidTr="00A1795E">
        <w:trPr>
          <w:trHeight w:val="290"/>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rPr>
                <w:sz w:val="20"/>
                <w:szCs w:val="20"/>
              </w:rPr>
            </w:pPr>
            <w:r w:rsidRPr="002C390F">
              <w:rPr>
                <w:sz w:val="20"/>
                <w:szCs w:val="20"/>
              </w:rPr>
              <w:t>Number of months with ≥ 100 mg of morphine equivalents</w:t>
            </w:r>
          </w:p>
        </w:tc>
      </w:tr>
      <w:tr w:rsidR="005E70E9" w:rsidTr="00A1795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None </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2,847,155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92.5%</w:t>
            </w:r>
          </w:p>
        </w:tc>
      </w:tr>
      <w:tr w:rsidR="005E70E9" w:rsidTr="00A1795E">
        <w:trPr>
          <w:trHeight w:val="24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1 </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122,104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4.0%</w:t>
            </w:r>
          </w:p>
        </w:tc>
      </w:tr>
      <w:tr w:rsidR="005E70E9" w:rsidTr="00A1795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2 </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33,608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1.1%</w:t>
            </w:r>
          </w:p>
        </w:tc>
      </w:tr>
      <w:tr w:rsidR="005E70E9" w:rsidTr="00A1795E">
        <w:trPr>
          <w:trHeight w:val="218"/>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3+</w:t>
            </w:r>
          </w:p>
        </w:tc>
        <w:tc>
          <w:tcPr>
            <w:tcW w:w="2970" w:type="dxa"/>
          </w:tcPr>
          <w:p w:rsidR="005E70E9" w:rsidRPr="002C390F" w:rsidRDefault="005E70E9" w:rsidP="0023175C">
            <w:pPr>
              <w:ind w:right="342"/>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75,167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2.4%</w:t>
            </w:r>
          </w:p>
        </w:tc>
      </w:tr>
      <w:tr w:rsidR="005E70E9" w:rsidTr="00A1795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rPr>
                <w:sz w:val="20"/>
                <w:szCs w:val="20"/>
              </w:rPr>
            </w:pPr>
            <w:r w:rsidRPr="002C390F">
              <w:rPr>
                <w:sz w:val="20"/>
                <w:szCs w:val="20"/>
              </w:rPr>
              <w:t>Highest number of opioid prescribers per quarter</w:t>
            </w:r>
          </w:p>
        </w:tc>
      </w:tr>
      <w:tr w:rsidR="005E70E9" w:rsidTr="00A1795E">
        <w:trPr>
          <w:trHeight w:val="281"/>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1</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2,224,622</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73.3%</w:t>
            </w:r>
          </w:p>
        </w:tc>
      </w:tr>
      <w:tr w:rsidR="005E70E9" w:rsidTr="00A1795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2</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528,324</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17.4%</w:t>
            </w:r>
          </w:p>
        </w:tc>
      </w:tr>
      <w:tr w:rsidR="005E70E9" w:rsidTr="00A1795E">
        <w:trPr>
          <w:trHeight w:val="259"/>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3</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176,788</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5.8%</w:t>
            </w:r>
          </w:p>
        </w:tc>
      </w:tr>
      <w:tr w:rsidR="005E70E9" w:rsidTr="00A1795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4+</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104,464</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3.4%</w:t>
            </w:r>
          </w:p>
        </w:tc>
      </w:tr>
      <w:tr w:rsidR="005E70E9" w:rsidTr="00A1795E">
        <w:trPr>
          <w:trHeight w:val="245"/>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rPr>
                <w:sz w:val="20"/>
                <w:szCs w:val="20"/>
              </w:rPr>
            </w:pPr>
            <w:r w:rsidRPr="002C390F">
              <w:rPr>
                <w:sz w:val="20"/>
                <w:szCs w:val="20"/>
              </w:rPr>
              <w:t>Number of months co-prescribed benzodiazepines and opioids</w:t>
            </w:r>
          </w:p>
        </w:tc>
      </w:tr>
      <w:tr w:rsidR="005E70E9" w:rsidTr="00A1795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None</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2,484,141</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80.7%</w:t>
            </w:r>
          </w:p>
        </w:tc>
      </w:tr>
      <w:tr w:rsidR="005E70E9" w:rsidTr="00A1795E">
        <w:trPr>
          <w:trHeight w:val="200"/>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1</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326,047</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10.6%</w:t>
            </w:r>
          </w:p>
        </w:tc>
      </w:tr>
      <w:tr w:rsidR="005E70E9" w:rsidTr="00A1795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2</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85,274</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2.8%</w:t>
            </w:r>
          </w:p>
        </w:tc>
      </w:tr>
      <w:tr w:rsidR="005E70E9" w:rsidTr="00A1795E">
        <w:trPr>
          <w:trHeight w:val="227"/>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3+</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182,572</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5.9%</w:t>
            </w:r>
          </w:p>
        </w:tc>
      </w:tr>
      <w:tr w:rsidR="005E70E9" w:rsidTr="00A1795E">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rPr>
                <w:sz w:val="20"/>
                <w:szCs w:val="20"/>
              </w:rPr>
            </w:pPr>
            <w:r w:rsidRPr="002C390F">
              <w:rPr>
                <w:sz w:val="20"/>
                <w:szCs w:val="20"/>
              </w:rPr>
              <w:t>Highest number of opioid pharmacies per quarter</w:t>
            </w:r>
          </w:p>
        </w:tc>
      </w:tr>
      <w:tr w:rsidR="005E70E9" w:rsidRPr="006D6238" w:rsidTr="00A1795E">
        <w:trPr>
          <w:trHeight w:val="200"/>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1</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2,485,483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81.9%</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2</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436,547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14.4%</w:t>
            </w:r>
          </w:p>
        </w:tc>
      </w:tr>
      <w:tr w:rsidR="005E70E9" w:rsidRPr="006D6238" w:rsidTr="00A1795E">
        <w:trPr>
          <w:trHeight w:val="227"/>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3</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82,952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2.7%</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4+</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29,216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1.0%</w:t>
            </w:r>
          </w:p>
        </w:tc>
      </w:tr>
      <w:tr w:rsidR="005E70E9" w:rsidRPr="006D6238" w:rsidTr="00A1795E">
        <w:trPr>
          <w:trHeight w:val="272"/>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rPr>
                <w:sz w:val="20"/>
                <w:szCs w:val="20"/>
              </w:rPr>
            </w:pPr>
            <w:r w:rsidRPr="002C390F">
              <w:rPr>
                <w:sz w:val="20"/>
                <w:szCs w:val="20"/>
              </w:rPr>
              <w:t>Highest number of cash payments for opioids in a quarter</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None </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0C592A">
              <w:rPr>
                <w:sz w:val="20"/>
                <w:szCs w:val="20"/>
              </w:rPr>
              <w:t xml:space="preserve">2,289,309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74.4%</w:t>
            </w:r>
          </w:p>
        </w:tc>
      </w:tr>
      <w:tr w:rsidR="005E70E9" w:rsidRPr="006D6238" w:rsidTr="00A1795E">
        <w:trPr>
          <w:trHeight w:val="24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1 </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0C592A">
              <w:rPr>
                <w:sz w:val="20"/>
                <w:szCs w:val="20"/>
              </w:rPr>
              <w:t xml:space="preserve">557,860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18.1%</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 xml:space="preserve">2 </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0C592A">
              <w:rPr>
                <w:sz w:val="20"/>
                <w:szCs w:val="20"/>
              </w:rPr>
              <w:t xml:space="preserve">132,372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4.3%</w:t>
            </w:r>
          </w:p>
        </w:tc>
      </w:tr>
      <w:tr w:rsidR="005E70E9" w:rsidRPr="006D6238" w:rsidTr="00A1795E">
        <w:trPr>
          <w:trHeight w:val="24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firstLine="162"/>
              <w:rPr>
                <w:sz w:val="20"/>
                <w:szCs w:val="20"/>
              </w:rPr>
            </w:pPr>
            <w:r w:rsidRPr="002C390F">
              <w:rPr>
                <w:sz w:val="20"/>
                <w:szCs w:val="20"/>
              </w:rPr>
              <w:t>3+</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0C592A">
              <w:rPr>
                <w:sz w:val="20"/>
                <w:szCs w:val="20"/>
              </w:rPr>
              <w:t xml:space="preserve">98,493 </w:t>
            </w: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3.2%</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38" w:type="dxa"/>
            <w:gridSpan w:val="3"/>
          </w:tcPr>
          <w:p w:rsidR="005E70E9" w:rsidRPr="002C390F" w:rsidRDefault="005E70E9" w:rsidP="0023175C">
            <w:pPr>
              <w:ind w:right="270"/>
              <w:rPr>
                <w:sz w:val="20"/>
                <w:szCs w:val="20"/>
              </w:rPr>
            </w:pPr>
            <w:r w:rsidRPr="002C390F">
              <w:rPr>
                <w:sz w:val="20"/>
                <w:szCs w:val="20"/>
              </w:rPr>
              <w:t>Duration of therapy by lack of documented pain diagnosis</w:t>
            </w:r>
          </w:p>
        </w:tc>
      </w:tr>
      <w:tr w:rsidR="005E70E9" w:rsidRPr="006D6238" w:rsidTr="00A1795E">
        <w:trPr>
          <w:trHeight w:val="317"/>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left="162"/>
              <w:rPr>
                <w:sz w:val="20"/>
                <w:szCs w:val="20"/>
              </w:rPr>
            </w:pPr>
            <w:r w:rsidRPr="002C390F">
              <w:rPr>
                <w:sz w:val="20"/>
                <w:szCs w:val="20"/>
              </w:rPr>
              <w:t>Less than 3 months/with documented pain diagnosis</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1,550,643 </w:t>
            </w:r>
          </w:p>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50.4%</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left="162"/>
              <w:rPr>
                <w:sz w:val="20"/>
                <w:szCs w:val="20"/>
              </w:rPr>
            </w:pPr>
            <w:r w:rsidRPr="002C390F">
              <w:rPr>
                <w:sz w:val="20"/>
                <w:szCs w:val="20"/>
              </w:rPr>
              <w:t>Less than 3 months/no documented pain diagnosis</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1,152,989 </w:t>
            </w: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37.5%</w:t>
            </w:r>
          </w:p>
        </w:tc>
      </w:tr>
      <w:tr w:rsidR="005E70E9" w:rsidRPr="006D6238" w:rsidTr="00A1795E">
        <w:trPr>
          <w:trHeight w:val="33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left="162"/>
              <w:rPr>
                <w:sz w:val="20"/>
                <w:szCs w:val="20"/>
              </w:rPr>
            </w:pPr>
            <w:r w:rsidRPr="002C390F">
              <w:rPr>
                <w:sz w:val="20"/>
                <w:szCs w:val="20"/>
              </w:rPr>
              <w:t>3 or more months/with documented pain diagnosis</w:t>
            </w:r>
          </w:p>
        </w:tc>
        <w:tc>
          <w:tcPr>
            <w:tcW w:w="2970" w:type="dxa"/>
          </w:tcPr>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 xml:space="preserve">296,951 </w:t>
            </w:r>
          </w:p>
          <w:p w:rsidR="005E70E9" w:rsidRPr="002C390F" w:rsidRDefault="005E70E9" w:rsidP="0023175C">
            <w:pPr>
              <w:ind w:right="342" w:firstLine="45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Pr>
          <w:p w:rsidR="005E70E9" w:rsidRPr="002C390F" w:rsidRDefault="005E70E9" w:rsidP="0023175C">
            <w:pPr>
              <w:ind w:right="270"/>
              <w:jc w:val="right"/>
              <w:cnfStyle w:val="000000000000" w:firstRow="0" w:lastRow="0" w:firstColumn="0" w:lastColumn="0" w:oddVBand="0" w:evenVBand="0" w:oddHBand="0" w:evenHBand="0" w:firstRowFirstColumn="0" w:firstRowLastColumn="0" w:lastRowFirstColumn="0" w:lastRowLastColumn="0"/>
              <w:rPr>
                <w:sz w:val="20"/>
                <w:szCs w:val="20"/>
              </w:rPr>
            </w:pPr>
            <w:r w:rsidRPr="002C390F">
              <w:rPr>
                <w:sz w:val="20"/>
                <w:szCs w:val="20"/>
              </w:rPr>
              <w:t>9.6%</w:t>
            </w:r>
          </w:p>
        </w:tc>
      </w:tr>
      <w:tr w:rsidR="005E70E9" w:rsidRPr="006D6238" w:rsidTr="00A1795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870" w:type="dxa"/>
          </w:tcPr>
          <w:p w:rsidR="005E70E9" w:rsidRPr="002C390F" w:rsidRDefault="005E70E9" w:rsidP="0023175C">
            <w:pPr>
              <w:ind w:left="162"/>
              <w:rPr>
                <w:sz w:val="20"/>
                <w:szCs w:val="20"/>
              </w:rPr>
            </w:pPr>
            <w:r w:rsidRPr="002C390F">
              <w:rPr>
                <w:sz w:val="20"/>
                <w:szCs w:val="20"/>
              </w:rPr>
              <w:t>3 or more months/no documented pain diagnosis</w:t>
            </w:r>
          </w:p>
        </w:tc>
        <w:tc>
          <w:tcPr>
            <w:tcW w:w="2970" w:type="dxa"/>
          </w:tcPr>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 xml:space="preserve">77,451 </w:t>
            </w:r>
          </w:p>
          <w:p w:rsidR="005E70E9" w:rsidRPr="002C390F" w:rsidRDefault="005E70E9" w:rsidP="0023175C">
            <w:pPr>
              <w:ind w:right="342" w:firstLine="450"/>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Pr>
          <w:p w:rsidR="005E70E9" w:rsidRPr="002C390F" w:rsidRDefault="005E70E9" w:rsidP="0023175C">
            <w:pPr>
              <w:ind w:right="270"/>
              <w:jc w:val="right"/>
              <w:cnfStyle w:val="000000100000" w:firstRow="0" w:lastRow="0" w:firstColumn="0" w:lastColumn="0" w:oddVBand="0" w:evenVBand="0" w:oddHBand="1" w:evenHBand="0" w:firstRowFirstColumn="0" w:firstRowLastColumn="0" w:lastRowFirstColumn="0" w:lastRowLastColumn="0"/>
              <w:rPr>
                <w:sz w:val="20"/>
                <w:szCs w:val="20"/>
              </w:rPr>
            </w:pPr>
            <w:r w:rsidRPr="002C390F">
              <w:rPr>
                <w:sz w:val="20"/>
                <w:szCs w:val="20"/>
              </w:rPr>
              <w:t>2.5%</w:t>
            </w:r>
          </w:p>
        </w:tc>
      </w:tr>
    </w:tbl>
    <w:p w:rsidR="005E70E9" w:rsidRDefault="005E70E9" w:rsidP="005E70E9">
      <w:pPr>
        <w:spacing w:after="120"/>
        <w:rPr>
          <w:rFonts w:cs="DgcryqAdvTT3713a231"/>
          <w:color w:val="131413"/>
        </w:rPr>
      </w:pPr>
    </w:p>
    <w:p w:rsidR="0093648F" w:rsidRPr="006A4D9F" w:rsidRDefault="0093648F" w:rsidP="0093648F">
      <w:pPr>
        <w:pStyle w:val="ListParagraph"/>
        <w:rPr>
          <w:rFonts w:ascii="Calibri" w:hAnsi="Calibri"/>
        </w:rPr>
      </w:pPr>
    </w:p>
    <w:p w:rsidR="00B5763D" w:rsidRPr="00B5763D" w:rsidRDefault="00B5763D" w:rsidP="00B5763D">
      <w:pPr>
        <w:pStyle w:val="ListParagraph"/>
        <w:spacing w:after="120" w:line="276" w:lineRule="auto"/>
        <w:ind w:left="360"/>
        <w:rPr>
          <w:rFonts w:cs="DgcryqAdvTT3713a231"/>
          <w:color w:val="131413"/>
        </w:rPr>
      </w:pPr>
    </w:p>
    <w:p w:rsidR="00B5763D" w:rsidRPr="00B5763D" w:rsidRDefault="00B5763D" w:rsidP="00B5763D">
      <w:pPr>
        <w:pStyle w:val="ListParagraph"/>
        <w:spacing w:after="120" w:line="276" w:lineRule="auto"/>
        <w:ind w:left="360"/>
        <w:rPr>
          <w:rFonts w:cs="DgcryqAdvTT3713a231"/>
          <w:color w:val="131413"/>
        </w:rPr>
      </w:pPr>
    </w:p>
    <w:p w:rsidR="00B5763D" w:rsidRPr="00B5763D" w:rsidRDefault="00B5763D" w:rsidP="00B5763D">
      <w:pPr>
        <w:pStyle w:val="ListParagraph"/>
        <w:spacing w:after="120" w:line="276" w:lineRule="auto"/>
        <w:ind w:left="360"/>
        <w:rPr>
          <w:rFonts w:cs="DgcryqAdvTT3713a231"/>
          <w:color w:val="131413"/>
        </w:rPr>
      </w:pPr>
    </w:p>
    <w:p w:rsidR="00B5763D" w:rsidRPr="00B5763D" w:rsidRDefault="00B5763D" w:rsidP="00B5763D">
      <w:pPr>
        <w:pStyle w:val="ListParagraph"/>
        <w:spacing w:after="120" w:line="276" w:lineRule="auto"/>
        <w:ind w:left="360"/>
        <w:rPr>
          <w:rFonts w:cs="DgcryqAdvTT3713a231"/>
          <w:color w:val="131413"/>
        </w:rPr>
      </w:pPr>
    </w:p>
    <w:p w:rsidR="00B5763D" w:rsidRPr="00B5763D" w:rsidRDefault="00B5763D" w:rsidP="00B5763D">
      <w:pPr>
        <w:pStyle w:val="ListParagraph"/>
        <w:spacing w:after="120" w:line="276" w:lineRule="auto"/>
        <w:ind w:left="360"/>
        <w:rPr>
          <w:rFonts w:cs="DgcryqAdvTT3713a231"/>
          <w:color w:val="131413"/>
        </w:rPr>
      </w:pPr>
    </w:p>
    <w:p w:rsidR="00B5763D" w:rsidRPr="00B5763D" w:rsidRDefault="00B5763D" w:rsidP="00B5763D">
      <w:pPr>
        <w:spacing w:after="120" w:line="276" w:lineRule="auto"/>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Default="00B5763D" w:rsidP="00B5763D">
      <w:pPr>
        <w:pStyle w:val="ListParagraph"/>
        <w:spacing w:after="120" w:line="276" w:lineRule="auto"/>
        <w:ind w:left="360"/>
        <w:rPr>
          <w:rFonts w:cs="DgcryqAdvTT3713a231"/>
          <w:color w:val="131413"/>
        </w:rPr>
      </w:pPr>
    </w:p>
    <w:p w:rsidR="00B5763D" w:rsidRPr="00F341D8" w:rsidRDefault="00B5763D" w:rsidP="00F341D8">
      <w:pPr>
        <w:spacing w:after="120" w:line="276" w:lineRule="auto"/>
        <w:rPr>
          <w:rFonts w:cs="DgcryqAdvTT3713a231"/>
          <w:color w:val="131413"/>
        </w:rPr>
      </w:pPr>
    </w:p>
    <w:p w:rsidR="00E85D16" w:rsidRPr="00B5763D" w:rsidRDefault="0093648F" w:rsidP="00B5763D">
      <w:pPr>
        <w:pStyle w:val="ListParagraph"/>
        <w:numPr>
          <w:ilvl w:val="0"/>
          <w:numId w:val="6"/>
        </w:numPr>
        <w:spacing w:after="120" w:line="276" w:lineRule="auto"/>
        <w:ind w:left="360"/>
        <w:rPr>
          <w:rFonts w:cs="DgcryqAdvTT3713a231"/>
          <w:color w:val="131413"/>
        </w:rPr>
      </w:pPr>
      <w:r w:rsidRPr="006A4D9F">
        <w:rPr>
          <w:rFonts w:ascii="Calibri" w:hAnsi="Calibri"/>
        </w:rPr>
        <w:t xml:space="preserve">Based on at least </w:t>
      </w:r>
      <w:r w:rsidR="009523BF">
        <w:rPr>
          <w:rFonts w:ascii="Calibri" w:hAnsi="Calibri"/>
        </w:rPr>
        <w:t xml:space="preserve">three </w:t>
      </w:r>
      <w:r w:rsidRPr="006A4D9F">
        <w:rPr>
          <w:rFonts w:ascii="Calibri" w:hAnsi="Calibri"/>
        </w:rPr>
        <w:t xml:space="preserve">months of such exposure to constitute PIP, 88.6% of recipients of prescription opioids did not have any PIP, 6.9% had one type, 2.7% had two, 1.2% had three, and </w:t>
      </w:r>
      <w:r w:rsidRPr="006A4D9F">
        <w:rPr>
          <w:rFonts w:ascii="Calibri" w:hAnsi="Calibri"/>
        </w:rPr>
        <w:lastRenderedPageBreak/>
        <w:t>0.6% had four or more types of PIP. The annual prevalence of PIP increased from 2011 to 2012 (from 168,781 to 187,888) and then trended down to 162,575 in 2015.</w:t>
      </w:r>
    </w:p>
    <w:tbl>
      <w:tblPr>
        <w:tblStyle w:val="LightShading-Accent1"/>
        <w:tblpPr w:leftFromText="180" w:rightFromText="180" w:vertAnchor="text" w:tblpXSpec="center" w:tblpY="1"/>
        <w:tblW w:w="7938" w:type="dxa"/>
        <w:tblLayout w:type="fixed"/>
        <w:tblLook w:val="04A0" w:firstRow="1" w:lastRow="0" w:firstColumn="1" w:lastColumn="0" w:noHBand="0" w:noVBand="1"/>
      </w:tblPr>
      <w:tblGrid>
        <w:gridCol w:w="5220"/>
        <w:gridCol w:w="1620"/>
        <w:gridCol w:w="1098"/>
      </w:tblGrid>
      <w:tr w:rsidR="0093648F" w:rsidTr="00A1795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7938" w:type="dxa"/>
            <w:gridSpan w:val="3"/>
          </w:tcPr>
          <w:p w:rsidR="0093648F" w:rsidRPr="00E76F5B" w:rsidRDefault="0093648F" w:rsidP="0048024F">
            <w:pPr>
              <w:autoSpaceDE w:val="0"/>
              <w:autoSpaceDN w:val="0"/>
              <w:adjustRightInd w:val="0"/>
              <w:jc w:val="center"/>
              <w:rPr>
                <w:rFonts w:cs="Times New Roman"/>
                <w:bCs w:val="0"/>
              </w:rPr>
            </w:pPr>
            <w:r w:rsidRPr="00E76F5B">
              <w:t xml:space="preserve">Table </w:t>
            </w:r>
            <w:r w:rsidR="008030D6">
              <w:fldChar w:fldCharType="begin"/>
            </w:r>
            <w:r w:rsidR="008030D6">
              <w:instrText xml:space="preserve"> SEQ Table \* ARABIC </w:instrText>
            </w:r>
            <w:r w:rsidR="008030D6">
              <w:fldChar w:fldCharType="separate"/>
            </w:r>
            <w:r w:rsidR="00FA5C39">
              <w:rPr>
                <w:noProof/>
              </w:rPr>
              <w:t>5</w:t>
            </w:r>
            <w:r w:rsidR="008030D6">
              <w:rPr>
                <w:noProof/>
              </w:rPr>
              <w:fldChar w:fldCharType="end"/>
            </w:r>
            <w:r w:rsidRPr="00E76F5B">
              <w:t>.</w:t>
            </w:r>
            <w:r w:rsidRPr="00B102F1">
              <w:t xml:space="preserve"> </w:t>
            </w:r>
            <w:r w:rsidRPr="00E76F5B">
              <w:rPr>
                <w:rFonts w:cs="Times New Roman"/>
                <w:bCs w:val="0"/>
              </w:rPr>
              <w:t>Frequencies and Percentages of Potentially Inappropriate</w:t>
            </w:r>
          </w:p>
          <w:p w:rsidR="0093648F" w:rsidRPr="007D79C9" w:rsidRDefault="0093648F" w:rsidP="00B42C52">
            <w:pPr>
              <w:jc w:val="center"/>
              <w:rPr>
                <w:rFonts w:ascii="Calibri" w:hAnsi="Calibri"/>
                <w:b w:val="0"/>
              </w:rPr>
            </w:pPr>
            <w:r w:rsidRPr="00E76F5B">
              <w:rPr>
                <w:rFonts w:cs="Times New Roman"/>
                <w:bCs w:val="0"/>
              </w:rPr>
              <w:t>Opioid Prescribing (PIP)</w:t>
            </w:r>
            <w:r w:rsidR="00B42C52">
              <w:rPr>
                <w:rFonts w:cs="Times New Roman"/>
                <w:bCs w:val="0"/>
              </w:rPr>
              <w:t>, MA:</w:t>
            </w:r>
            <w:r w:rsidRPr="00E76F5B">
              <w:rPr>
                <w:rFonts w:cs="Times New Roman"/>
                <w:bCs w:val="0"/>
              </w:rPr>
              <w:t xml:space="preserve"> 2011–2015</w:t>
            </w:r>
          </w:p>
        </w:tc>
      </w:tr>
      <w:tr w:rsidR="0093648F" w:rsidTr="00E248B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220" w:type="dxa"/>
          </w:tcPr>
          <w:p w:rsidR="0093648F" w:rsidRPr="00E248B6" w:rsidRDefault="0093648F" w:rsidP="00E248B6">
            <w:pPr>
              <w:rPr>
                <w:rFonts w:ascii="Calibri" w:hAnsi="Calibri"/>
              </w:rPr>
            </w:pPr>
            <w:r w:rsidRPr="00E248B6">
              <w:t>Number of PIP subtypes received (out of a possible 6)*</w:t>
            </w:r>
          </w:p>
        </w:tc>
        <w:tc>
          <w:tcPr>
            <w:tcW w:w="1620" w:type="dxa"/>
          </w:tcPr>
          <w:p w:rsidR="0093648F" w:rsidRPr="007D79C9" w:rsidRDefault="0093648F" w:rsidP="00E248B6">
            <w:pPr>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7D79C9">
              <w:rPr>
                <w:rFonts w:ascii="Calibri" w:hAnsi="Calibri"/>
                <w:b/>
              </w:rPr>
              <w:t>Frequency</w:t>
            </w:r>
          </w:p>
        </w:tc>
        <w:tc>
          <w:tcPr>
            <w:tcW w:w="1098" w:type="dxa"/>
          </w:tcPr>
          <w:p w:rsidR="0093648F" w:rsidRPr="007D79C9" w:rsidRDefault="0093648F" w:rsidP="00E248B6">
            <w:pPr>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7D79C9">
              <w:rPr>
                <w:rFonts w:ascii="Calibri" w:hAnsi="Calibri"/>
                <w:b/>
              </w:rPr>
              <w:t>Percent</w:t>
            </w:r>
          </w:p>
        </w:tc>
      </w:tr>
      <w:tr w:rsidR="0093648F" w:rsidRPr="006D6238" w:rsidTr="00A1795E">
        <w:trPr>
          <w:trHeight w:val="260"/>
        </w:trPr>
        <w:tc>
          <w:tcPr>
            <w:cnfStyle w:val="001000000000" w:firstRow="0" w:lastRow="0" w:firstColumn="1" w:lastColumn="0" w:oddVBand="0" w:evenVBand="0" w:oddHBand="0" w:evenHBand="0" w:firstRowFirstColumn="0" w:firstRowLastColumn="0" w:lastRowFirstColumn="0" w:lastRowLastColumn="0"/>
            <w:tcW w:w="5220" w:type="dxa"/>
          </w:tcPr>
          <w:p w:rsidR="0093648F" w:rsidRPr="00D805B2" w:rsidRDefault="0093648F" w:rsidP="0093648F">
            <w:pPr>
              <w:ind w:firstLine="162"/>
            </w:pPr>
            <w:r w:rsidRPr="00D805B2">
              <w:t xml:space="preserve">None </w:t>
            </w:r>
          </w:p>
        </w:tc>
        <w:tc>
          <w:tcPr>
            <w:tcW w:w="1620" w:type="dxa"/>
          </w:tcPr>
          <w:p w:rsidR="0093648F" w:rsidRPr="00D805B2" w:rsidRDefault="0093648F" w:rsidP="0093648F">
            <w:pPr>
              <w:tabs>
                <w:tab w:val="left" w:pos="1404"/>
              </w:tabs>
              <w:ind w:right="72" w:firstLine="252"/>
              <w:jc w:val="right"/>
              <w:cnfStyle w:val="000000000000" w:firstRow="0" w:lastRow="0" w:firstColumn="0" w:lastColumn="0" w:oddVBand="0" w:evenVBand="0" w:oddHBand="0" w:evenHBand="0" w:firstRowFirstColumn="0" w:firstRowLastColumn="0" w:lastRowFirstColumn="0" w:lastRowLastColumn="0"/>
            </w:pPr>
            <w:r w:rsidRPr="00D805B2">
              <w:t xml:space="preserve">2,725,717 </w:t>
            </w:r>
          </w:p>
        </w:tc>
        <w:tc>
          <w:tcPr>
            <w:tcW w:w="1098" w:type="dxa"/>
          </w:tcPr>
          <w:p w:rsidR="0093648F" w:rsidRPr="00D805B2" w:rsidRDefault="0093648F" w:rsidP="0093648F">
            <w:pPr>
              <w:tabs>
                <w:tab w:val="left" w:pos="792"/>
              </w:tabs>
              <w:ind w:right="180"/>
              <w:jc w:val="right"/>
              <w:cnfStyle w:val="000000000000" w:firstRow="0" w:lastRow="0" w:firstColumn="0" w:lastColumn="0" w:oddVBand="0" w:evenVBand="0" w:oddHBand="0" w:evenHBand="0" w:firstRowFirstColumn="0" w:firstRowLastColumn="0" w:lastRowFirstColumn="0" w:lastRowLastColumn="0"/>
            </w:pPr>
            <w:r w:rsidRPr="00D805B2">
              <w:t>88.6%</w:t>
            </w:r>
          </w:p>
        </w:tc>
      </w:tr>
      <w:tr w:rsidR="0093648F" w:rsidRPr="006D6238" w:rsidTr="00A1795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220" w:type="dxa"/>
          </w:tcPr>
          <w:p w:rsidR="0093648F" w:rsidRPr="00D805B2" w:rsidRDefault="0093648F" w:rsidP="0093648F">
            <w:pPr>
              <w:ind w:firstLine="162"/>
            </w:pPr>
            <w:r w:rsidRPr="00D805B2">
              <w:t xml:space="preserve">1 </w:t>
            </w:r>
          </w:p>
        </w:tc>
        <w:tc>
          <w:tcPr>
            <w:tcW w:w="1620" w:type="dxa"/>
          </w:tcPr>
          <w:p w:rsidR="0093648F" w:rsidRPr="00D805B2" w:rsidRDefault="0093648F" w:rsidP="0093648F">
            <w:pPr>
              <w:tabs>
                <w:tab w:val="left" w:pos="1404"/>
              </w:tabs>
              <w:ind w:right="72" w:firstLine="252"/>
              <w:jc w:val="right"/>
              <w:cnfStyle w:val="000000100000" w:firstRow="0" w:lastRow="0" w:firstColumn="0" w:lastColumn="0" w:oddVBand="0" w:evenVBand="0" w:oddHBand="1" w:evenHBand="0" w:firstRowFirstColumn="0" w:firstRowLastColumn="0" w:lastRowFirstColumn="0" w:lastRowLastColumn="0"/>
            </w:pPr>
            <w:r w:rsidRPr="00D805B2">
              <w:t xml:space="preserve">213,671 </w:t>
            </w:r>
          </w:p>
        </w:tc>
        <w:tc>
          <w:tcPr>
            <w:tcW w:w="1098" w:type="dxa"/>
          </w:tcPr>
          <w:p w:rsidR="0093648F" w:rsidRPr="00D805B2" w:rsidRDefault="0093648F" w:rsidP="0093648F">
            <w:pPr>
              <w:tabs>
                <w:tab w:val="left" w:pos="792"/>
              </w:tabs>
              <w:ind w:right="180"/>
              <w:jc w:val="right"/>
              <w:cnfStyle w:val="000000100000" w:firstRow="0" w:lastRow="0" w:firstColumn="0" w:lastColumn="0" w:oddVBand="0" w:evenVBand="0" w:oddHBand="1" w:evenHBand="0" w:firstRowFirstColumn="0" w:firstRowLastColumn="0" w:lastRowFirstColumn="0" w:lastRowLastColumn="0"/>
            </w:pPr>
            <w:r w:rsidRPr="00D805B2">
              <w:t>6.9%</w:t>
            </w:r>
          </w:p>
        </w:tc>
      </w:tr>
      <w:tr w:rsidR="0093648F" w:rsidRPr="006D6238" w:rsidTr="00A1795E">
        <w:trPr>
          <w:trHeight w:val="188"/>
        </w:trPr>
        <w:tc>
          <w:tcPr>
            <w:cnfStyle w:val="001000000000" w:firstRow="0" w:lastRow="0" w:firstColumn="1" w:lastColumn="0" w:oddVBand="0" w:evenVBand="0" w:oddHBand="0" w:evenHBand="0" w:firstRowFirstColumn="0" w:firstRowLastColumn="0" w:lastRowFirstColumn="0" w:lastRowLastColumn="0"/>
            <w:tcW w:w="5220" w:type="dxa"/>
          </w:tcPr>
          <w:p w:rsidR="0093648F" w:rsidRPr="00D805B2" w:rsidRDefault="0093648F" w:rsidP="0093648F">
            <w:pPr>
              <w:ind w:firstLine="162"/>
            </w:pPr>
            <w:r w:rsidRPr="00D805B2">
              <w:t xml:space="preserve">2 </w:t>
            </w:r>
          </w:p>
        </w:tc>
        <w:tc>
          <w:tcPr>
            <w:tcW w:w="1620" w:type="dxa"/>
          </w:tcPr>
          <w:p w:rsidR="0093648F" w:rsidRPr="00D805B2" w:rsidRDefault="0093648F" w:rsidP="0093648F">
            <w:pPr>
              <w:tabs>
                <w:tab w:val="left" w:pos="1404"/>
              </w:tabs>
              <w:ind w:right="72" w:firstLine="252"/>
              <w:jc w:val="right"/>
              <w:cnfStyle w:val="000000000000" w:firstRow="0" w:lastRow="0" w:firstColumn="0" w:lastColumn="0" w:oddVBand="0" w:evenVBand="0" w:oddHBand="0" w:evenHBand="0" w:firstRowFirstColumn="0" w:firstRowLastColumn="0" w:lastRowFirstColumn="0" w:lastRowLastColumn="0"/>
            </w:pPr>
            <w:r w:rsidRPr="00D805B2">
              <w:t xml:space="preserve">84,437 </w:t>
            </w:r>
          </w:p>
        </w:tc>
        <w:tc>
          <w:tcPr>
            <w:tcW w:w="1098" w:type="dxa"/>
          </w:tcPr>
          <w:p w:rsidR="0093648F" w:rsidRPr="00D805B2" w:rsidRDefault="0093648F" w:rsidP="0093648F">
            <w:pPr>
              <w:tabs>
                <w:tab w:val="left" w:pos="792"/>
              </w:tabs>
              <w:ind w:right="180"/>
              <w:jc w:val="right"/>
              <w:cnfStyle w:val="000000000000" w:firstRow="0" w:lastRow="0" w:firstColumn="0" w:lastColumn="0" w:oddVBand="0" w:evenVBand="0" w:oddHBand="0" w:evenHBand="0" w:firstRowFirstColumn="0" w:firstRowLastColumn="0" w:lastRowFirstColumn="0" w:lastRowLastColumn="0"/>
            </w:pPr>
            <w:r w:rsidRPr="00D805B2">
              <w:t>2.7%</w:t>
            </w:r>
          </w:p>
        </w:tc>
      </w:tr>
      <w:tr w:rsidR="0093648F" w:rsidRPr="006D6238" w:rsidTr="00A1795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20" w:type="dxa"/>
          </w:tcPr>
          <w:p w:rsidR="0093648F" w:rsidRPr="00D805B2" w:rsidRDefault="0093648F" w:rsidP="0093648F">
            <w:pPr>
              <w:ind w:firstLine="162"/>
            </w:pPr>
            <w:r w:rsidRPr="00D805B2">
              <w:t xml:space="preserve">4 </w:t>
            </w:r>
          </w:p>
        </w:tc>
        <w:tc>
          <w:tcPr>
            <w:tcW w:w="1620" w:type="dxa"/>
          </w:tcPr>
          <w:p w:rsidR="0093648F" w:rsidRPr="00D805B2" w:rsidRDefault="0093648F" w:rsidP="0093648F">
            <w:pPr>
              <w:tabs>
                <w:tab w:val="left" w:pos="1404"/>
              </w:tabs>
              <w:ind w:right="72" w:firstLine="252"/>
              <w:jc w:val="right"/>
              <w:cnfStyle w:val="000000100000" w:firstRow="0" w:lastRow="0" w:firstColumn="0" w:lastColumn="0" w:oddVBand="0" w:evenVBand="0" w:oddHBand="1" w:evenHBand="0" w:firstRowFirstColumn="0" w:firstRowLastColumn="0" w:lastRowFirstColumn="0" w:lastRowLastColumn="0"/>
            </w:pPr>
            <w:r w:rsidRPr="00D805B2">
              <w:t xml:space="preserve">36,147 </w:t>
            </w:r>
          </w:p>
        </w:tc>
        <w:tc>
          <w:tcPr>
            <w:tcW w:w="1098" w:type="dxa"/>
          </w:tcPr>
          <w:p w:rsidR="0093648F" w:rsidRPr="00D805B2" w:rsidRDefault="0093648F" w:rsidP="0093648F">
            <w:pPr>
              <w:tabs>
                <w:tab w:val="left" w:pos="792"/>
              </w:tabs>
              <w:ind w:right="180"/>
              <w:jc w:val="right"/>
              <w:cnfStyle w:val="000000100000" w:firstRow="0" w:lastRow="0" w:firstColumn="0" w:lastColumn="0" w:oddVBand="0" w:evenVBand="0" w:oddHBand="1" w:evenHBand="0" w:firstRowFirstColumn="0" w:firstRowLastColumn="0" w:lastRowFirstColumn="0" w:lastRowLastColumn="0"/>
            </w:pPr>
            <w:r w:rsidRPr="00D805B2">
              <w:t>1.2%</w:t>
            </w:r>
          </w:p>
        </w:tc>
      </w:tr>
      <w:tr w:rsidR="0093648F" w:rsidRPr="006D6238" w:rsidTr="00A1795E">
        <w:trPr>
          <w:trHeight w:val="197"/>
        </w:trPr>
        <w:tc>
          <w:tcPr>
            <w:cnfStyle w:val="001000000000" w:firstRow="0" w:lastRow="0" w:firstColumn="1" w:lastColumn="0" w:oddVBand="0" w:evenVBand="0" w:oddHBand="0" w:evenHBand="0" w:firstRowFirstColumn="0" w:firstRowLastColumn="0" w:lastRowFirstColumn="0" w:lastRowLastColumn="0"/>
            <w:tcW w:w="5220" w:type="dxa"/>
          </w:tcPr>
          <w:p w:rsidR="0093648F" w:rsidRPr="00D805B2" w:rsidRDefault="0093648F" w:rsidP="0093648F">
            <w:pPr>
              <w:ind w:firstLine="162"/>
            </w:pPr>
            <w:r w:rsidRPr="00D805B2">
              <w:t xml:space="preserve">4, 5, or 6 </w:t>
            </w:r>
          </w:p>
        </w:tc>
        <w:tc>
          <w:tcPr>
            <w:tcW w:w="1620" w:type="dxa"/>
          </w:tcPr>
          <w:p w:rsidR="0093648F" w:rsidRPr="00D805B2" w:rsidRDefault="0093648F" w:rsidP="0093648F">
            <w:pPr>
              <w:tabs>
                <w:tab w:val="left" w:pos="1404"/>
              </w:tabs>
              <w:ind w:right="72" w:firstLine="252"/>
              <w:jc w:val="right"/>
              <w:cnfStyle w:val="000000000000" w:firstRow="0" w:lastRow="0" w:firstColumn="0" w:lastColumn="0" w:oddVBand="0" w:evenVBand="0" w:oddHBand="0" w:evenHBand="0" w:firstRowFirstColumn="0" w:firstRowLastColumn="0" w:lastRowFirstColumn="0" w:lastRowLastColumn="0"/>
            </w:pPr>
            <w:r w:rsidRPr="00D805B2">
              <w:t xml:space="preserve">18,062 </w:t>
            </w:r>
          </w:p>
        </w:tc>
        <w:tc>
          <w:tcPr>
            <w:tcW w:w="1098" w:type="dxa"/>
          </w:tcPr>
          <w:p w:rsidR="0093648F" w:rsidRPr="00D805B2" w:rsidRDefault="0093648F" w:rsidP="0093648F">
            <w:pPr>
              <w:tabs>
                <w:tab w:val="left" w:pos="792"/>
              </w:tabs>
              <w:ind w:right="180"/>
              <w:jc w:val="right"/>
              <w:cnfStyle w:val="000000000000" w:firstRow="0" w:lastRow="0" w:firstColumn="0" w:lastColumn="0" w:oddVBand="0" w:evenVBand="0" w:oddHBand="0" w:evenHBand="0" w:firstRowFirstColumn="0" w:firstRowLastColumn="0" w:lastRowFirstColumn="0" w:lastRowLastColumn="0"/>
            </w:pPr>
            <w:r w:rsidRPr="00D805B2">
              <w:t>0.6%</w:t>
            </w:r>
          </w:p>
        </w:tc>
      </w:tr>
    </w:tbl>
    <w:p w:rsidR="00F341D8" w:rsidRDefault="00F341D8" w:rsidP="00F341D8">
      <w:pPr>
        <w:spacing w:after="120" w:line="276" w:lineRule="auto"/>
        <w:rPr>
          <w:rFonts w:cs="DgcryqAdvTT3713a231"/>
          <w:color w:val="131413"/>
          <w:sz w:val="16"/>
          <w:szCs w:val="16"/>
        </w:rPr>
      </w:pPr>
    </w:p>
    <w:p w:rsidR="00F341D8" w:rsidRDefault="00F341D8" w:rsidP="00F341D8">
      <w:pPr>
        <w:spacing w:after="120" w:line="276" w:lineRule="auto"/>
        <w:rPr>
          <w:rFonts w:cs="DgcryqAdvTT3713a231"/>
          <w:color w:val="131413"/>
          <w:sz w:val="16"/>
          <w:szCs w:val="16"/>
        </w:rPr>
      </w:pPr>
    </w:p>
    <w:p w:rsidR="00F341D8" w:rsidRDefault="00F341D8" w:rsidP="00F341D8">
      <w:pPr>
        <w:spacing w:after="120" w:line="276" w:lineRule="auto"/>
        <w:rPr>
          <w:rFonts w:cs="DgcryqAdvTT3713a231"/>
          <w:color w:val="131413"/>
          <w:sz w:val="16"/>
          <w:szCs w:val="16"/>
        </w:rPr>
      </w:pPr>
    </w:p>
    <w:p w:rsidR="00F341D8" w:rsidRDefault="00F341D8" w:rsidP="00F341D8">
      <w:pPr>
        <w:spacing w:after="120" w:line="276" w:lineRule="auto"/>
        <w:rPr>
          <w:rFonts w:cs="DgcryqAdvTT3713a231"/>
          <w:color w:val="131413"/>
          <w:sz w:val="16"/>
          <w:szCs w:val="16"/>
        </w:rPr>
      </w:pPr>
    </w:p>
    <w:p w:rsidR="00F341D8" w:rsidRDefault="00F341D8" w:rsidP="00F341D8">
      <w:pPr>
        <w:spacing w:after="120" w:line="276" w:lineRule="auto"/>
        <w:rPr>
          <w:rFonts w:cs="DgcryqAdvTT3713a231"/>
          <w:color w:val="131413"/>
          <w:sz w:val="16"/>
          <w:szCs w:val="16"/>
        </w:rPr>
      </w:pPr>
    </w:p>
    <w:p w:rsidR="00F341D8" w:rsidRDefault="00F341D8" w:rsidP="00F341D8">
      <w:pPr>
        <w:spacing w:after="120" w:line="276" w:lineRule="auto"/>
        <w:rPr>
          <w:rFonts w:cs="DgcryqAdvTT3713a231"/>
          <w:color w:val="131413"/>
          <w:sz w:val="16"/>
          <w:szCs w:val="16"/>
        </w:rPr>
      </w:pPr>
    </w:p>
    <w:p w:rsidR="00F341D8" w:rsidRPr="00D64BC4" w:rsidRDefault="00F341D8" w:rsidP="00D64BC4">
      <w:pPr>
        <w:spacing w:after="120" w:line="276" w:lineRule="auto"/>
        <w:rPr>
          <w:rFonts w:cs="DgcryqAdvTT3713a231"/>
          <w:color w:val="131413"/>
        </w:rPr>
      </w:pPr>
    </w:p>
    <w:p w:rsidR="005E70E9" w:rsidRPr="00F13064" w:rsidRDefault="005E70E9" w:rsidP="00A877D1">
      <w:pPr>
        <w:pStyle w:val="ListParagraph"/>
        <w:numPr>
          <w:ilvl w:val="0"/>
          <w:numId w:val="22"/>
        </w:numPr>
        <w:spacing w:after="120" w:line="276" w:lineRule="auto"/>
        <w:rPr>
          <w:rFonts w:cs="DgcryqAdvTT3713a231"/>
          <w:color w:val="131413"/>
        </w:rPr>
      </w:pPr>
      <w:r w:rsidRPr="00F13064">
        <w:rPr>
          <w:rFonts w:cs="DgcryqAdvTT3713a231"/>
          <w:color w:val="131413"/>
        </w:rPr>
        <w:t xml:space="preserve">All six types of PIP were associated with higher adjusted hazard for all-cause mortality, four of six with non-fatal </w:t>
      </w:r>
      <w:r w:rsidR="00D41210">
        <w:rPr>
          <w:rFonts w:cs="DgcryqAdvTT3713a231"/>
          <w:color w:val="131413"/>
        </w:rPr>
        <w:t xml:space="preserve">opioid </w:t>
      </w:r>
      <w:r w:rsidRPr="00F13064">
        <w:rPr>
          <w:rFonts w:cs="DgcryqAdvTT3713a231"/>
          <w:color w:val="131413"/>
        </w:rPr>
        <w:t xml:space="preserve">overdose, and </w:t>
      </w:r>
      <w:r w:rsidR="00F13064" w:rsidRPr="00F13064">
        <w:rPr>
          <w:rFonts w:cs="DgcryqAdvTT3713a231"/>
          <w:color w:val="131413"/>
        </w:rPr>
        <w:t xml:space="preserve">five of six with fatal </w:t>
      </w:r>
      <w:r w:rsidR="00D41210">
        <w:rPr>
          <w:rFonts w:cs="DgcryqAdvTT3713a231"/>
          <w:color w:val="131413"/>
        </w:rPr>
        <w:t xml:space="preserve">opioid </w:t>
      </w:r>
      <w:r w:rsidR="00F13064" w:rsidRPr="00F13064">
        <w:rPr>
          <w:rFonts w:cs="DgcryqAdvTT3713a231"/>
          <w:color w:val="131413"/>
        </w:rPr>
        <w:t>overdose</w:t>
      </w:r>
      <w:r w:rsidR="00F341D8">
        <w:rPr>
          <w:rFonts w:cs="DgcryqAdvTT3713a231"/>
          <w:color w:val="131413"/>
        </w:rPr>
        <w:t xml:space="preserve"> (Figure </w:t>
      </w:r>
      <w:r w:rsidR="00E3738E">
        <w:rPr>
          <w:rFonts w:cs="DgcryqAdvTT3713a231"/>
          <w:color w:val="131413"/>
        </w:rPr>
        <w:t>4</w:t>
      </w:r>
      <w:r w:rsidR="00A06D2B">
        <w:rPr>
          <w:rFonts w:cs="DgcryqAdvTT3713a231"/>
          <w:color w:val="131413"/>
        </w:rPr>
        <w:t>6</w:t>
      </w:r>
      <w:r w:rsidR="00F341D8">
        <w:rPr>
          <w:rFonts w:cs="DgcryqAdvTT3713a231"/>
          <w:color w:val="131413"/>
        </w:rPr>
        <w:t>)</w:t>
      </w:r>
      <w:r w:rsidR="00F13064" w:rsidRPr="00F13064">
        <w:rPr>
          <w:rFonts w:cs="DgcryqAdvTT3713a231"/>
          <w:color w:val="131413"/>
        </w:rPr>
        <w:t>:</w:t>
      </w:r>
    </w:p>
    <w:p w:rsidR="005E70E9" w:rsidRDefault="005E70E9" w:rsidP="00A877D1">
      <w:pPr>
        <w:pStyle w:val="ListParagraph"/>
        <w:numPr>
          <w:ilvl w:val="0"/>
          <w:numId w:val="26"/>
        </w:numPr>
        <w:rPr>
          <w:rFonts w:cs="DgcryqAdvTT3713a231"/>
          <w:color w:val="131413"/>
        </w:rPr>
      </w:pPr>
      <w:r w:rsidRPr="00F13064">
        <w:rPr>
          <w:rFonts w:cs="DgcryqAdvTT3713a231"/>
          <w:color w:val="131413"/>
        </w:rPr>
        <w:t>Lacking a documented</w:t>
      </w:r>
      <w:r w:rsidRPr="004664DD">
        <w:rPr>
          <w:rFonts w:cs="DgcryqAdvTT3713a231"/>
          <w:color w:val="131413"/>
        </w:rPr>
        <w:t xml:space="preserve"> pain diagnosis was associated with non-fatal </w:t>
      </w:r>
      <w:r w:rsidR="00D41210">
        <w:rPr>
          <w:rFonts w:cs="DgcryqAdvTT3713a231"/>
          <w:color w:val="131413"/>
        </w:rPr>
        <w:t xml:space="preserve">opioid </w:t>
      </w:r>
      <w:r w:rsidRPr="004664DD">
        <w:rPr>
          <w:rFonts w:cs="DgcryqAdvTT3713a231"/>
          <w:color w:val="131413"/>
        </w:rPr>
        <w:t>overdose (</w:t>
      </w:r>
      <w:r>
        <w:rPr>
          <w:rFonts w:cs="DgcryqAdvTT3713a231"/>
          <w:color w:val="131413"/>
        </w:rPr>
        <w:t>adjusted hazard ratio [AHR] 2.2</w:t>
      </w:r>
      <w:r w:rsidRPr="004664DD">
        <w:rPr>
          <w:rFonts w:cs="DgcryqAdvTT3713a231"/>
          <w:color w:val="131413"/>
        </w:rPr>
        <w:t xml:space="preserve">, 95% </w:t>
      </w:r>
      <w:r>
        <w:rPr>
          <w:rFonts w:cs="DgcryqAdvTT3713a231"/>
          <w:color w:val="131413"/>
        </w:rPr>
        <w:t>[CI] 2.0–2.4). L</w:t>
      </w:r>
      <w:r w:rsidRPr="004664DD">
        <w:rPr>
          <w:rFonts w:cs="DgcryqAdvTT3713a231"/>
          <w:color w:val="131413"/>
        </w:rPr>
        <w:t xml:space="preserve">acking a documented pain diagnosis </w:t>
      </w:r>
      <w:r>
        <w:rPr>
          <w:rFonts w:cs="DgcryqAdvTT3713a231"/>
          <w:color w:val="131413"/>
        </w:rPr>
        <w:t xml:space="preserve">was </w:t>
      </w:r>
      <w:r w:rsidRPr="004664DD">
        <w:rPr>
          <w:rFonts w:cs="DgcryqAdvTT3713a231"/>
          <w:color w:val="131413"/>
        </w:rPr>
        <w:t>associated with all-cause mortali</w:t>
      </w:r>
      <w:r>
        <w:rPr>
          <w:rFonts w:cs="DgcryqAdvTT3713a231"/>
          <w:color w:val="131413"/>
        </w:rPr>
        <w:t>ty (AHR 2.1, 95% CI 2.0–2.1</w:t>
      </w:r>
      <w:r w:rsidRPr="004664DD">
        <w:rPr>
          <w:rFonts w:cs="DgcryqAdvTT3713a231"/>
          <w:color w:val="131413"/>
        </w:rPr>
        <w:t>).</w:t>
      </w:r>
    </w:p>
    <w:p w:rsidR="005E70E9" w:rsidRDefault="005E70E9" w:rsidP="00A877D1">
      <w:pPr>
        <w:pStyle w:val="ListParagraph"/>
        <w:numPr>
          <w:ilvl w:val="0"/>
          <w:numId w:val="26"/>
        </w:numPr>
        <w:rPr>
          <w:rFonts w:cs="DgcryqAdvTT3713a231"/>
          <w:color w:val="131413"/>
        </w:rPr>
      </w:pPr>
      <w:r>
        <w:rPr>
          <w:rFonts w:cs="DgcryqAdvTT3713a231"/>
          <w:color w:val="131413"/>
        </w:rPr>
        <w:t>H</w:t>
      </w:r>
      <w:r w:rsidRPr="004664DD">
        <w:rPr>
          <w:rFonts w:cs="DgcryqAdvTT3713a231"/>
          <w:color w:val="131413"/>
        </w:rPr>
        <w:t>igh-dose opioids w</w:t>
      </w:r>
      <w:r>
        <w:rPr>
          <w:rFonts w:cs="DgcryqAdvTT3713a231"/>
          <w:color w:val="131413"/>
        </w:rPr>
        <w:t>ere</w:t>
      </w:r>
      <w:r w:rsidRPr="004664DD">
        <w:rPr>
          <w:rFonts w:cs="DgcryqAdvTT3713a231"/>
          <w:color w:val="131413"/>
        </w:rPr>
        <w:t xml:space="preserve"> </w:t>
      </w:r>
      <w:r>
        <w:rPr>
          <w:rFonts w:cs="DgcryqAdvTT3713a231"/>
          <w:color w:val="131413"/>
        </w:rPr>
        <w:t xml:space="preserve">also </w:t>
      </w:r>
      <w:r w:rsidRPr="004664DD">
        <w:rPr>
          <w:rFonts w:cs="DgcryqAdvTT3713a231"/>
          <w:color w:val="131413"/>
        </w:rPr>
        <w:t xml:space="preserve">associated with non-fatal </w:t>
      </w:r>
      <w:r w:rsidR="00D41210">
        <w:rPr>
          <w:rFonts w:cs="DgcryqAdvTT3713a231"/>
          <w:color w:val="131413"/>
        </w:rPr>
        <w:t xml:space="preserve">opioid </w:t>
      </w:r>
      <w:r w:rsidRPr="004664DD">
        <w:rPr>
          <w:rFonts w:cs="DgcryqAdvTT3713a231"/>
          <w:color w:val="131413"/>
        </w:rPr>
        <w:t xml:space="preserve">overdose </w:t>
      </w:r>
      <w:r>
        <w:rPr>
          <w:rFonts w:cs="DgcryqAdvTT3713a231"/>
          <w:color w:val="131413"/>
        </w:rPr>
        <w:t>(AHR 1.7, 95% CI 1.6–1.8</w:t>
      </w:r>
      <w:r w:rsidRPr="004664DD">
        <w:rPr>
          <w:rFonts w:cs="DgcryqAdvTT3713a231"/>
          <w:color w:val="131413"/>
        </w:rPr>
        <w:t xml:space="preserve">). High-dose opioids </w:t>
      </w:r>
      <w:r>
        <w:rPr>
          <w:rFonts w:cs="DgcryqAdvTT3713a231"/>
          <w:color w:val="131413"/>
        </w:rPr>
        <w:t>had twice the risk for</w:t>
      </w:r>
      <w:r w:rsidRPr="004664DD">
        <w:rPr>
          <w:rFonts w:cs="DgcryqAdvTT3713a231"/>
          <w:color w:val="131413"/>
        </w:rPr>
        <w:t xml:space="preserve"> all-cause mortali</w:t>
      </w:r>
      <w:r>
        <w:rPr>
          <w:rFonts w:cs="DgcryqAdvTT3713a231"/>
          <w:color w:val="131413"/>
        </w:rPr>
        <w:t>ty (AHR 2.2, 95% CI 2.1–2.2).</w:t>
      </w:r>
    </w:p>
    <w:p w:rsidR="005E70E9" w:rsidRDefault="005E70E9" w:rsidP="00A877D1">
      <w:pPr>
        <w:pStyle w:val="ListParagraph"/>
        <w:numPr>
          <w:ilvl w:val="0"/>
          <w:numId w:val="26"/>
        </w:numPr>
        <w:rPr>
          <w:rFonts w:cs="DgcryqAdvTT3713a231"/>
          <w:color w:val="131413"/>
        </w:rPr>
      </w:pPr>
      <w:r w:rsidRPr="004664DD">
        <w:rPr>
          <w:rFonts w:cs="DgcryqAdvTT3713a231"/>
          <w:color w:val="131413"/>
        </w:rPr>
        <w:t xml:space="preserve">Co-prescription of benzodiazepines was associated with fatal </w:t>
      </w:r>
      <w:r w:rsidR="00D41210">
        <w:rPr>
          <w:rFonts w:cs="DgcryqAdvTT3713a231"/>
          <w:color w:val="131413"/>
        </w:rPr>
        <w:t xml:space="preserve">opioid </w:t>
      </w:r>
      <w:r w:rsidRPr="004664DD">
        <w:rPr>
          <w:rFonts w:cs="DgcryqAdvTT3713a231"/>
          <w:color w:val="131413"/>
        </w:rPr>
        <w:t>over</w:t>
      </w:r>
      <w:r>
        <w:rPr>
          <w:rFonts w:cs="DgcryqAdvTT3713a231"/>
          <w:color w:val="131413"/>
        </w:rPr>
        <w:t>dose (AHR 4.2, 95% CI 3.9–4.7).</w:t>
      </w:r>
    </w:p>
    <w:p w:rsidR="005E70E9" w:rsidRDefault="005E70E9" w:rsidP="00A877D1">
      <w:pPr>
        <w:pStyle w:val="ListParagraph"/>
        <w:numPr>
          <w:ilvl w:val="0"/>
          <w:numId w:val="26"/>
        </w:numPr>
        <w:rPr>
          <w:rFonts w:cs="DgcryqAdvTT3713a231"/>
          <w:color w:val="131413"/>
        </w:rPr>
      </w:pPr>
      <w:r w:rsidRPr="003A4C56">
        <w:rPr>
          <w:rFonts w:cs="DgcryqAdvTT3713a231"/>
          <w:color w:val="131413"/>
        </w:rPr>
        <w:t>Compared to those who received opioids without PIP, the hazard for fatal opioid overdose with one, two, three, and ≥ four PIP subtypes wer</w:t>
      </w:r>
      <w:r>
        <w:rPr>
          <w:rFonts w:cs="DgcryqAdvTT3713a231"/>
          <w:color w:val="131413"/>
        </w:rPr>
        <w:t>e 4.2, 7.1, 10.3, and 13.0.</w:t>
      </w:r>
    </w:p>
    <w:p w:rsidR="00530714" w:rsidRDefault="00530714" w:rsidP="00530714">
      <w:pPr>
        <w:pStyle w:val="ListParagraph"/>
        <w:ind w:left="1080"/>
        <w:rPr>
          <w:rFonts w:cs="DgcryqAdvTT3713a231"/>
          <w:color w:val="131413"/>
        </w:rPr>
      </w:pPr>
    </w:p>
    <w:p w:rsidR="00530714" w:rsidRPr="00E3738E" w:rsidRDefault="00E3738E" w:rsidP="00E3738E">
      <w:pPr>
        <w:pStyle w:val="Caption"/>
        <w:ind w:left="720"/>
        <w:rPr>
          <w:rFonts w:cs="LvdrbbAdvTTb8864ccf.B"/>
          <w:color w:val="auto"/>
          <w:sz w:val="22"/>
          <w:szCs w:val="22"/>
        </w:rPr>
      </w:pPr>
      <w:r w:rsidRPr="00E3738E">
        <w:rPr>
          <w:color w:val="auto"/>
          <w:sz w:val="22"/>
          <w:szCs w:val="22"/>
        </w:rPr>
        <w:t xml:space="preserve">Figure </w:t>
      </w:r>
      <w:r w:rsidRPr="00E3738E">
        <w:rPr>
          <w:color w:val="auto"/>
          <w:sz w:val="22"/>
          <w:szCs w:val="22"/>
        </w:rPr>
        <w:fldChar w:fldCharType="begin"/>
      </w:r>
      <w:r w:rsidRPr="00E3738E">
        <w:rPr>
          <w:color w:val="auto"/>
          <w:sz w:val="22"/>
          <w:szCs w:val="22"/>
        </w:rPr>
        <w:instrText xml:space="preserve"> SEQ Figure \* ARABIC </w:instrText>
      </w:r>
      <w:r w:rsidRPr="00E3738E">
        <w:rPr>
          <w:color w:val="auto"/>
          <w:sz w:val="22"/>
          <w:szCs w:val="22"/>
        </w:rPr>
        <w:fldChar w:fldCharType="separate"/>
      </w:r>
      <w:r w:rsidR="002B3BC3">
        <w:rPr>
          <w:noProof/>
          <w:color w:val="auto"/>
          <w:sz w:val="22"/>
          <w:szCs w:val="22"/>
        </w:rPr>
        <w:t>46</w:t>
      </w:r>
      <w:r w:rsidRPr="00E3738E">
        <w:rPr>
          <w:color w:val="auto"/>
          <w:sz w:val="22"/>
          <w:szCs w:val="22"/>
        </w:rPr>
        <w:fldChar w:fldCharType="end"/>
      </w:r>
      <w:r w:rsidRPr="00E3738E">
        <w:rPr>
          <w:color w:val="auto"/>
          <w:sz w:val="22"/>
          <w:szCs w:val="22"/>
        </w:rPr>
        <w:t xml:space="preserve">. </w:t>
      </w:r>
      <w:r w:rsidR="00F13064" w:rsidRPr="00E3738E">
        <w:rPr>
          <w:rFonts w:cs="LvdrbbAdvTTb8864ccf.B"/>
          <w:color w:val="auto"/>
          <w:sz w:val="22"/>
          <w:szCs w:val="22"/>
        </w:rPr>
        <w:t>Association of Potentially Inappropriate Opioid Prescribing (PIP) and the Outcomes of All-Cause Mortality, Fatal Opioid Overdose, and Non-</w:t>
      </w:r>
      <w:r w:rsidR="00B42C52" w:rsidRPr="00E3738E">
        <w:rPr>
          <w:rFonts w:cs="LvdrbbAdvTTb8864ccf.B"/>
          <w:color w:val="auto"/>
          <w:sz w:val="22"/>
          <w:szCs w:val="22"/>
        </w:rPr>
        <w:t xml:space="preserve">Fatal </w:t>
      </w:r>
      <w:r w:rsidR="00F13064" w:rsidRPr="00E3738E">
        <w:rPr>
          <w:rFonts w:cs="LvdrbbAdvTTb8864ccf.B"/>
          <w:color w:val="auto"/>
          <w:sz w:val="22"/>
          <w:szCs w:val="22"/>
        </w:rPr>
        <w:t>Opioid Overdose</w:t>
      </w:r>
      <w:r w:rsidR="003824C5" w:rsidRPr="00E3738E">
        <w:rPr>
          <w:rFonts w:cs="LvdrbbAdvTTb8864ccf.B"/>
          <w:color w:val="auto"/>
          <w:sz w:val="22"/>
          <w:szCs w:val="22"/>
        </w:rPr>
        <w:t xml:space="preserve">, </w:t>
      </w:r>
      <w:r w:rsidR="00B42C52" w:rsidRPr="00E3738E">
        <w:rPr>
          <w:rFonts w:cs="LvdrbbAdvTTb8864ccf.B"/>
          <w:color w:val="auto"/>
          <w:sz w:val="22"/>
          <w:szCs w:val="22"/>
        </w:rPr>
        <w:t xml:space="preserve">MA: </w:t>
      </w:r>
      <w:r w:rsidR="003824C5" w:rsidRPr="00E3738E">
        <w:rPr>
          <w:rFonts w:cs="LvdrbbAdvTTb8864ccf.B"/>
          <w:color w:val="auto"/>
          <w:sz w:val="22"/>
          <w:szCs w:val="22"/>
        </w:rPr>
        <w:t>2011-2015</w:t>
      </w:r>
      <w:r w:rsidR="00F13064" w:rsidRPr="00E3738E">
        <w:rPr>
          <w:rFonts w:cs="LvdrbbAdvTTb8864ccf.B"/>
          <w:color w:val="auto"/>
          <w:sz w:val="22"/>
          <w:szCs w:val="22"/>
        </w:rPr>
        <w:t xml:space="preserve"> </w:t>
      </w:r>
    </w:p>
    <w:p w:rsidR="00530714" w:rsidRDefault="00D64BC4" w:rsidP="0097072A">
      <w:pPr>
        <w:pStyle w:val="ListParagraph"/>
        <w:rPr>
          <w:rFonts w:cs="DgcryqAdvTT3713a231"/>
          <w:color w:val="131413"/>
        </w:rPr>
      </w:pPr>
      <w:r>
        <w:rPr>
          <w:noProof/>
        </w:rPr>
        <w:drawing>
          <wp:inline distT="0" distB="0" distL="0" distR="0" wp14:anchorId="6B438E14" wp14:editId="19AE7EB1">
            <wp:extent cx="5581650" cy="21907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5E70E9" w:rsidRPr="00181B97" w:rsidRDefault="005E70E9" w:rsidP="005E70E9">
      <w:pPr>
        <w:pStyle w:val="ListParagraph"/>
        <w:ind w:left="1987"/>
        <w:rPr>
          <w:rFonts w:cs="DgcryqAdvTT3713a231"/>
          <w:color w:val="131413"/>
          <w:sz w:val="2"/>
          <w:szCs w:val="2"/>
        </w:rPr>
      </w:pPr>
    </w:p>
    <w:p w:rsidR="005E70E9" w:rsidRPr="00BF5BE4" w:rsidRDefault="005E70E9" w:rsidP="005E70E9">
      <w:pPr>
        <w:pStyle w:val="ListParagraph"/>
        <w:ind w:left="1987"/>
        <w:rPr>
          <w:rFonts w:cs="DgcryqAdvTT3713a231"/>
          <w:color w:val="131413"/>
          <w:sz w:val="8"/>
          <w:szCs w:val="8"/>
        </w:rPr>
      </w:pPr>
    </w:p>
    <w:p w:rsidR="005E70E9" w:rsidRDefault="005E70E9" w:rsidP="00F13064">
      <w:pPr>
        <w:autoSpaceDE w:val="0"/>
        <w:autoSpaceDN w:val="0"/>
        <w:adjustRightInd w:val="0"/>
        <w:ind w:left="720"/>
        <w:rPr>
          <w:rFonts w:cs="SnnqqpAdvTT50a2f13e.I"/>
          <w:color w:val="131413"/>
          <w:sz w:val="18"/>
          <w:szCs w:val="18"/>
        </w:rPr>
      </w:pPr>
      <w:r w:rsidRPr="009D593F">
        <w:rPr>
          <w:rFonts w:cs="SnnqqpAdvTT50a2f13e.I"/>
          <w:color w:val="131413"/>
          <w:sz w:val="18"/>
          <w:szCs w:val="18"/>
        </w:rPr>
        <w:t>MME milligram morphine equivalents</w:t>
      </w:r>
    </w:p>
    <w:p w:rsidR="005E70E9" w:rsidRPr="009D593F" w:rsidRDefault="005E70E9" w:rsidP="00F13064">
      <w:pPr>
        <w:autoSpaceDE w:val="0"/>
        <w:autoSpaceDN w:val="0"/>
        <w:adjustRightInd w:val="0"/>
        <w:ind w:left="720"/>
        <w:rPr>
          <w:rFonts w:cs="SnnqqpAdvTT50a2f13e.I"/>
          <w:color w:val="131413"/>
          <w:sz w:val="18"/>
          <w:szCs w:val="18"/>
        </w:rPr>
      </w:pPr>
      <w:r w:rsidRPr="009D593F">
        <w:rPr>
          <w:rFonts w:cs="SnnqqpAdvTT50a2f13e.I"/>
          <w:color w:val="131413"/>
          <w:sz w:val="18"/>
          <w:szCs w:val="18"/>
        </w:rPr>
        <w:t xml:space="preserve">*Every fatal overdose, by definition, is also </w:t>
      </w:r>
      <w:r w:rsidR="00530714" w:rsidRPr="009D593F">
        <w:rPr>
          <w:rFonts w:cs="SnnqqpAdvTT50a2f13e.I"/>
          <w:color w:val="131413"/>
          <w:sz w:val="18"/>
          <w:szCs w:val="18"/>
        </w:rPr>
        <w:t>all</w:t>
      </w:r>
      <w:r w:rsidRPr="009D593F">
        <w:rPr>
          <w:rFonts w:cs="SnnqqpAdvTT50a2f13e.I"/>
          <w:color w:val="131413"/>
          <w:sz w:val="18"/>
          <w:szCs w:val="18"/>
        </w:rPr>
        <w:t>-cause mortality</w:t>
      </w:r>
      <w:r>
        <w:rPr>
          <w:rFonts w:cs="SnnqqpAdvTT50a2f13e.I"/>
          <w:color w:val="131413"/>
          <w:sz w:val="18"/>
          <w:szCs w:val="18"/>
        </w:rPr>
        <w:t xml:space="preserve">. </w:t>
      </w:r>
      <w:r w:rsidRPr="009D593F">
        <w:rPr>
          <w:rFonts w:cs="FyxpdwAdvTT50a2f13e.I+20"/>
          <w:color w:val="131413"/>
          <w:sz w:val="18"/>
          <w:szCs w:val="18"/>
        </w:rPr>
        <w:t>†</w:t>
      </w:r>
      <w:r w:rsidRPr="009D593F">
        <w:rPr>
          <w:rFonts w:cs="SnnqqpAdvTT50a2f13e.I"/>
          <w:color w:val="131413"/>
          <w:sz w:val="18"/>
          <w:szCs w:val="18"/>
        </w:rPr>
        <w:t>For non-fatal overdose, patients are only considered to have been exposed to PIP if the exposure occurred before the outcome</w:t>
      </w:r>
    </w:p>
    <w:p w:rsidR="005E70E9" w:rsidRDefault="005E70E9" w:rsidP="00F13064">
      <w:pPr>
        <w:autoSpaceDE w:val="0"/>
        <w:autoSpaceDN w:val="0"/>
        <w:adjustRightInd w:val="0"/>
        <w:ind w:left="720"/>
        <w:rPr>
          <w:rFonts w:cs="SnnqqpAdvTT50a2f13e.I"/>
          <w:color w:val="131413"/>
          <w:sz w:val="18"/>
          <w:szCs w:val="18"/>
        </w:rPr>
      </w:pPr>
      <w:r w:rsidRPr="009D593F">
        <w:rPr>
          <w:rFonts w:cs="SnnqqpAdvTT50a2f13e.I"/>
          <w:color w:val="131413"/>
          <w:sz w:val="18"/>
          <w:szCs w:val="18"/>
        </w:rPr>
        <w:t>§Adjusted for age, sex, community-level poverty rate, depression, alcohol use disorder, rural town of residence, and the Elixhauser comorbidity index without the variables for depression and alcohol use disorder</w:t>
      </w:r>
      <w:r w:rsidR="00530714">
        <w:rPr>
          <w:rFonts w:cs="SnnqqpAdvTT50a2f13e.I"/>
          <w:color w:val="131413"/>
          <w:sz w:val="18"/>
          <w:szCs w:val="18"/>
        </w:rPr>
        <w:t xml:space="preserve"> plus the other PIP variables. </w:t>
      </w:r>
      <w:r w:rsidRPr="009D593F">
        <w:rPr>
          <w:rFonts w:cs="SnnqqpAdvTT50a2f13e.I"/>
          <w:color w:val="131413"/>
          <w:sz w:val="18"/>
          <w:szCs w:val="18"/>
        </w:rPr>
        <w:t xml:space="preserve">Models for fatal outcomes (all-cause mortality and fatal opioid overdose) are also adjusted for history of incarceration and history of homelessness. </w:t>
      </w:r>
    </w:p>
    <w:p w:rsidR="005E70E9" w:rsidRPr="007D44DB" w:rsidRDefault="00FE7029" w:rsidP="00A877D1">
      <w:pPr>
        <w:pStyle w:val="ListParagraph"/>
        <w:numPr>
          <w:ilvl w:val="0"/>
          <w:numId w:val="11"/>
        </w:numPr>
        <w:autoSpaceDE w:val="0"/>
        <w:autoSpaceDN w:val="0"/>
        <w:adjustRightInd w:val="0"/>
        <w:rPr>
          <w:rFonts w:ascii="Calibri" w:eastAsia="Times New Roman" w:hAnsi="Calibri"/>
          <w:color w:val="000000" w:themeColor="text1"/>
        </w:rPr>
      </w:pPr>
      <w:r>
        <w:rPr>
          <w:rFonts w:ascii="Calibri" w:eastAsia="Times New Roman" w:hAnsi="Calibri"/>
          <w:color w:val="000000" w:themeColor="text1"/>
        </w:rPr>
        <w:lastRenderedPageBreak/>
        <w:t>There is</w:t>
      </w:r>
      <w:r w:rsidR="005E70E9" w:rsidRPr="00D51DDD">
        <w:rPr>
          <w:rFonts w:ascii="Calibri" w:eastAsia="Times New Roman" w:hAnsi="Calibri"/>
          <w:color w:val="000000" w:themeColor="text1"/>
        </w:rPr>
        <w:t xml:space="preserve"> increasing </w:t>
      </w:r>
      <w:r w:rsidR="005E70E9">
        <w:rPr>
          <w:rFonts w:ascii="Calibri" w:eastAsia="Times New Roman" w:hAnsi="Calibri"/>
          <w:color w:val="000000" w:themeColor="text1"/>
        </w:rPr>
        <w:t>risk</w:t>
      </w:r>
      <w:r w:rsidR="005E70E9" w:rsidRPr="00D51DDD">
        <w:rPr>
          <w:rFonts w:ascii="Calibri" w:eastAsia="Times New Roman" w:hAnsi="Calibri"/>
          <w:color w:val="000000" w:themeColor="text1"/>
        </w:rPr>
        <w:t xml:space="preserve"> for adverse events</w:t>
      </w:r>
      <w:r w:rsidR="005E70E9">
        <w:rPr>
          <w:rFonts w:ascii="Calibri" w:eastAsia="Times New Roman" w:hAnsi="Calibri"/>
          <w:color w:val="000000" w:themeColor="text1"/>
        </w:rPr>
        <w:t xml:space="preserve"> such as all-cause mortality and fatal opioid-overdose</w:t>
      </w:r>
      <w:r w:rsidR="005E70E9" w:rsidRPr="00D51DDD">
        <w:rPr>
          <w:rFonts w:ascii="Calibri" w:eastAsia="Times New Roman" w:hAnsi="Calibri"/>
          <w:color w:val="000000" w:themeColor="text1"/>
        </w:rPr>
        <w:t xml:space="preserve"> as the number of </w:t>
      </w:r>
      <w:r w:rsidR="005E70E9">
        <w:rPr>
          <w:rFonts w:ascii="Calibri" w:eastAsia="Times New Roman" w:hAnsi="Calibri"/>
          <w:color w:val="000000" w:themeColor="text1"/>
        </w:rPr>
        <w:t xml:space="preserve">PIP types </w:t>
      </w:r>
      <w:r w:rsidR="00CF1DFB">
        <w:rPr>
          <w:rFonts w:ascii="Calibri" w:eastAsia="Times New Roman" w:hAnsi="Calibri"/>
          <w:color w:val="000000" w:themeColor="text1"/>
        </w:rPr>
        <w:t>increased</w:t>
      </w:r>
      <w:r w:rsidR="00F341D8">
        <w:rPr>
          <w:rFonts w:ascii="Calibri" w:eastAsia="Times New Roman" w:hAnsi="Calibri"/>
          <w:color w:val="000000" w:themeColor="text1"/>
        </w:rPr>
        <w:t xml:space="preserve"> </w:t>
      </w:r>
      <w:r w:rsidR="00F341D8">
        <w:rPr>
          <w:rFonts w:cs="Times New Roman"/>
        </w:rPr>
        <w:t xml:space="preserve">(Figure </w:t>
      </w:r>
      <w:r w:rsidR="00E3738E">
        <w:rPr>
          <w:rFonts w:cs="Times New Roman"/>
        </w:rPr>
        <w:t>4</w:t>
      </w:r>
      <w:r w:rsidR="00A06D2B">
        <w:rPr>
          <w:rFonts w:cs="Times New Roman"/>
        </w:rPr>
        <w:t>7</w:t>
      </w:r>
      <w:r w:rsidR="00F341D8">
        <w:rPr>
          <w:rFonts w:cs="Times New Roman"/>
        </w:rPr>
        <w:t>).</w:t>
      </w:r>
    </w:p>
    <w:p w:rsidR="00B5763D" w:rsidRPr="00217830" w:rsidRDefault="00B5763D" w:rsidP="00217830">
      <w:pPr>
        <w:autoSpaceDE w:val="0"/>
        <w:autoSpaceDN w:val="0"/>
        <w:adjustRightInd w:val="0"/>
        <w:rPr>
          <w:rFonts w:ascii="Calibri" w:eastAsia="Times New Roman" w:hAnsi="Calibri"/>
          <w:color w:val="000000" w:themeColor="text1"/>
        </w:rPr>
      </w:pPr>
    </w:p>
    <w:p w:rsidR="005E70E9" w:rsidRPr="00E3738E" w:rsidRDefault="00E3738E" w:rsidP="00E3738E">
      <w:pPr>
        <w:pStyle w:val="Caption"/>
        <w:rPr>
          <w:rFonts w:ascii="Calibri" w:eastAsia="Times New Roman" w:hAnsi="Calibri"/>
          <w:color w:val="auto"/>
          <w:sz w:val="22"/>
          <w:szCs w:val="22"/>
        </w:rPr>
      </w:pPr>
      <w:r w:rsidRPr="00E3738E">
        <w:rPr>
          <w:color w:val="auto"/>
          <w:sz w:val="22"/>
          <w:szCs w:val="22"/>
        </w:rPr>
        <w:t xml:space="preserve">Figure </w:t>
      </w:r>
      <w:r w:rsidRPr="00E3738E">
        <w:rPr>
          <w:color w:val="auto"/>
          <w:sz w:val="22"/>
          <w:szCs w:val="22"/>
        </w:rPr>
        <w:fldChar w:fldCharType="begin"/>
      </w:r>
      <w:r w:rsidRPr="00E3738E">
        <w:rPr>
          <w:color w:val="auto"/>
          <w:sz w:val="22"/>
          <w:szCs w:val="22"/>
        </w:rPr>
        <w:instrText xml:space="preserve"> SEQ Figure \* ARABIC </w:instrText>
      </w:r>
      <w:r w:rsidRPr="00E3738E">
        <w:rPr>
          <w:color w:val="auto"/>
          <w:sz w:val="22"/>
          <w:szCs w:val="22"/>
        </w:rPr>
        <w:fldChar w:fldCharType="separate"/>
      </w:r>
      <w:r w:rsidR="002B3BC3">
        <w:rPr>
          <w:noProof/>
          <w:color w:val="auto"/>
          <w:sz w:val="22"/>
          <w:szCs w:val="22"/>
        </w:rPr>
        <w:t>47</w:t>
      </w:r>
      <w:r w:rsidRPr="00E3738E">
        <w:rPr>
          <w:color w:val="auto"/>
          <w:sz w:val="22"/>
          <w:szCs w:val="22"/>
        </w:rPr>
        <w:fldChar w:fldCharType="end"/>
      </w:r>
      <w:r w:rsidRPr="00E3738E">
        <w:rPr>
          <w:color w:val="auto"/>
          <w:sz w:val="22"/>
          <w:szCs w:val="22"/>
        </w:rPr>
        <w:t xml:space="preserve">. </w:t>
      </w:r>
      <w:r w:rsidR="004E55B7" w:rsidRPr="00E3738E">
        <w:rPr>
          <w:rFonts w:cs="Times New Roman"/>
          <w:color w:val="auto"/>
          <w:sz w:val="22"/>
          <w:szCs w:val="22"/>
        </w:rPr>
        <w:t xml:space="preserve">Odds </w:t>
      </w:r>
      <w:r w:rsidR="00CF52EC" w:rsidRPr="00E3738E">
        <w:rPr>
          <w:rFonts w:cs="Times New Roman"/>
          <w:color w:val="auto"/>
          <w:sz w:val="22"/>
          <w:szCs w:val="22"/>
        </w:rPr>
        <w:t xml:space="preserve">Ratios </w:t>
      </w:r>
      <w:r w:rsidR="004E55B7" w:rsidRPr="00E3738E">
        <w:rPr>
          <w:rFonts w:cs="Times New Roman"/>
          <w:color w:val="auto"/>
          <w:sz w:val="22"/>
          <w:szCs w:val="22"/>
        </w:rPr>
        <w:t xml:space="preserve">of </w:t>
      </w:r>
      <w:r w:rsidR="00CF52EC" w:rsidRPr="00E3738E">
        <w:rPr>
          <w:rFonts w:cs="Times New Roman"/>
          <w:color w:val="auto"/>
          <w:sz w:val="22"/>
          <w:szCs w:val="22"/>
        </w:rPr>
        <w:t xml:space="preserve">Potentially Inappropriate Prescribing Practices </w:t>
      </w:r>
      <w:r w:rsidR="004E0537" w:rsidRPr="00E3738E">
        <w:rPr>
          <w:rFonts w:cs="Times New Roman"/>
          <w:color w:val="auto"/>
          <w:sz w:val="22"/>
          <w:szCs w:val="22"/>
        </w:rPr>
        <w:t xml:space="preserve">(PIP) by </w:t>
      </w:r>
      <w:r w:rsidR="00CF52EC" w:rsidRPr="00E3738E">
        <w:rPr>
          <w:rFonts w:cs="Times New Roman"/>
          <w:color w:val="auto"/>
          <w:sz w:val="22"/>
          <w:szCs w:val="22"/>
        </w:rPr>
        <w:t>All</w:t>
      </w:r>
      <w:r w:rsidR="00342B64" w:rsidRPr="00E3738E">
        <w:rPr>
          <w:rFonts w:cs="Times New Roman"/>
          <w:color w:val="auto"/>
          <w:sz w:val="22"/>
          <w:szCs w:val="22"/>
        </w:rPr>
        <w:t>-</w:t>
      </w:r>
      <w:r w:rsidR="00CF52EC" w:rsidRPr="00E3738E">
        <w:rPr>
          <w:rFonts w:cs="Times New Roman"/>
          <w:color w:val="auto"/>
          <w:sz w:val="22"/>
          <w:szCs w:val="22"/>
        </w:rPr>
        <w:t>Cause M</w:t>
      </w:r>
      <w:r w:rsidR="00B42C52" w:rsidRPr="00E3738E">
        <w:rPr>
          <w:rFonts w:cs="Times New Roman"/>
          <w:color w:val="auto"/>
          <w:sz w:val="22"/>
          <w:szCs w:val="22"/>
        </w:rPr>
        <w:t>ortality, MA:</w:t>
      </w:r>
      <w:r w:rsidR="004E55B7" w:rsidRPr="00E3738E">
        <w:rPr>
          <w:rFonts w:cs="Times New Roman"/>
          <w:color w:val="auto"/>
          <w:sz w:val="22"/>
          <w:szCs w:val="22"/>
        </w:rPr>
        <w:t xml:space="preserve"> 2011-2015</w:t>
      </w:r>
    </w:p>
    <w:p w:rsidR="00DA66E7" w:rsidRPr="00075599" w:rsidRDefault="00075599" w:rsidP="00075599">
      <w:pPr>
        <w:pStyle w:val="ListParagraph"/>
        <w:autoSpaceDE w:val="0"/>
        <w:autoSpaceDN w:val="0"/>
        <w:adjustRightInd w:val="0"/>
        <w:ind w:left="360"/>
      </w:pPr>
      <w:r>
        <w:rPr>
          <w:noProof/>
        </w:rPr>
        <w:drawing>
          <wp:inline distT="0" distB="0" distL="0" distR="0" wp14:anchorId="563F15A8" wp14:editId="4D2EA134">
            <wp:extent cx="5943600" cy="2124710"/>
            <wp:effectExtent l="0" t="0" r="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DA66E7" w:rsidRPr="00DA66E7" w:rsidRDefault="00DA66E7" w:rsidP="00DA66E7">
      <w:pPr>
        <w:pStyle w:val="ListParagraph"/>
        <w:spacing w:after="120" w:line="276" w:lineRule="auto"/>
        <w:ind w:left="360"/>
        <w:rPr>
          <w:rFonts w:ascii="Calibri" w:hAnsi="Calibri"/>
          <w:i/>
        </w:rPr>
      </w:pPr>
    </w:p>
    <w:p w:rsidR="008B5459" w:rsidRPr="008B5459" w:rsidRDefault="005E70E9" w:rsidP="00217830">
      <w:pPr>
        <w:pStyle w:val="ListParagraph"/>
        <w:numPr>
          <w:ilvl w:val="0"/>
          <w:numId w:val="11"/>
        </w:numPr>
        <w:spacing w:after="120" w:line="276" w:lineRule="auto"/>
        <w:rPr>
          <w:rFonts w:ascii="Calibri" w:hAnsi="Calibri"/>
          <w:i/>
        </w:rPr>
      </w:pPr>
      <w:r w:rsidRPr="00A46388">
        <w:rPr>
          <w:rFonts w:ascii="Calibri" w:eastAsia="Times New Roman" w:hAnsi="Calibri"/>
          <w:color w:val="000000" w:themeColor="text1"/>
        </w:rPr>
        <w:t>Prescription quantity at discharge</w:t>
      </w:r>
      <w:r w:rsidR="00FE7029" w:rsidRPr="00A46388">
        <w:rPr>
          <w:rFonts w:ascii="Calibri" w:eastAsia="Times New Roman" w:hAnsi="Calibri"/>
          <w:color w:val="000000" w:themeColor="text1"/>
        </w:rPr>
        <w:t xml:space="preserve"> after a medical procedure</w:t>
      </w:r>
      <w:r w:rsidRPr="00A46388">
        <w:rPr>
          <w:rFonts w:ascii="Calibri" w:eastAsia="Times New Roman" w:hAnsi="Calibri"/>
          <w:color w:val="000000" w:themeColor="text1"/>
        </w:rPr>
        <w:t xml:space="preserve"> is crucial in determining the short-term need for re-prescription and the long-term risk of dependence for patients. </w:t>
      </w:r>
      <w:r w:rsidRPr="00A46388">
        <w:rPr>
          <w:rFonts w:cs="DgcryqAdvTT3713a231"/>
          <w:color w:val="131413"/>
        </w:rPr>
        <w:t xml:space="preserve">After surgery an opioid </w:t>
      </w:r>
      <w:r w:rsidRPr="00A414A1">
        <w:rPr>
          <w:rFonts w:cs="DgcryqAdvTT3713a231"/>
          <w:color w:val="131413"/>
        </w:rPr>
        <w:t xml:space="preserve">is often prescribed. </w:t>
      </w:r>
      <w:r w:rsidR="00FE7029" w:rsidRPr="00A414A1">
        <w:rPr>
          <w:rFonts w:cs="DgcryqAdvTT3713a231"/>
          <w:color w:val="131413"/>
        </w:rPr>
        <w:t xml:space="preserve">Medical </w:t>
      </w:r>
      <w:r w:rsidR="00FE7029" w:rsidRPr="00A414A1">
        <w:rPr>
          <w:rFonts w:ascii="Calibri" w:eastAsia="Times New Roman" w:hAnsi="Calibri"/>
          <w:color w:val="000000" w:themeColor="text1"/>
        </w:rPr>
        <w:t>r</w:t>
      </w:r>
      <w:r w:rsidRPr="00A414A1">
        <w:rPr>
          <w:rFonts w:ascii="Calibri" w:eastAsia="Times New Roman" w:hAnsi="Calibri"/>
          <w:color w:val="000000" w:themeColor="text1"/>
        </w:rPr>
        <w:t>esidents</w:t>
      </w:r>
      <w:r w:rsidR="00FE7029" w:rsidRPr="005F44D7">
        <w:rPr>
          <w:rStyle w:val="FootnoteReference"/>
        </w:rPr>
        <w:footnoteReference w:id="69"/>
      </w:r>
      <w:r w:rsidRPr="00A414A1">
        <w:rPr>
          <w:rFonts w:ascii="Calibri" w:eastAsia="Times New Roman" w:hAnsi="Calibri"/>
          <w:color w:val="000000" w:themeColor="text1"/>
        </w:rPr>
        <w:t xml:space="preserve"> vary in the decisions they make, with some residents prescribing more opioids than others in similar settings under the same attending physicians after surgery</w:t>
      </w:r>
      <w:r w:rsidRPr="006E77E3">
        <w:rPr>
          <w:rFonts w:ascii="Calibri" w:eastAsia="Times New Roman" w:hAnsi="Calibri"/>
          <w:color w:val="000000" w:themeColor="text1"/>
        </w:rPr>
        <w:t>. These residents will be referred to as “high supply residents”.</w:t>
      </w:r>
      <w:r w:rsidR="001237C0" w:rsidRPr="001237C0">
        <w:rPr>
          <w:rFonts w:ascii="Calibri" w:eastAsia="Times New Roman" w:hAnsi="Calibri"/>
          <w:color w:val="000000" w:themeColor="text1"/>
        </w:rPr>
        <w:t xml:space="preserve"> </w:t>
      </w:r>
      <w:r w:rsidR="001237C0" w:rsidRPr="008B5459">
        <w:rPr>
          <w:rFonts w:ascii="Calibri" w:eastAsia="Times New Roman" w:hAnsi="Calibri"/>
          <w:color w:val="000000" w:themeColor="text1"/>
        </w:rPr>
        <w:t>Patients of high supply (those in the top 1/3 of opioid prescribing) and low supply (everyone else) medical</w:t>
      </w:r>
      <w:r w:rsidR="001237C0">
        <w:rPr>
          <w:rFonts w:ascii="Calibri" w:eastAsia="Times New Roman" w:hAnsi="Calibri"/>
          <w:color w:val="000000" w:themeColor="text1"/>
        </w:rPr>
        <w:t xml:space="preserve"> </w:t>
      </w:r>
      <w:r w:rsidR="001237C0" w:rsidRPr="008B5459">
        <w:rPr>
          <w:rFonts w:ascii="Calibri" w:eastAsia="Times New Roman" w:hAnsi="Calibri"/>
          <w:color w:val="000000" w:themeColor="text1"/>
        </w:rPr>
        <w:t xml:space="preserve">residents have comparable injuries and demographics, but the patients of “high supply residents” receive about 20 more opioid pills after their surgeries. The patients of high supply residents consequently have different patterns of opioid use in the months after surgery. </w:t>
      </w:r>
    </w:p>
    <w:p w:rsidR="008B5459" w:rsidRPr="008B5459" w:rsidRDefault="008B5459" w:rsidP="00217830">
      <w:pPr>
        <w:pStyle w:val="ListParagraph"/>
        <w:spacing w:after="120" w:line="276" w:lineRule="auto"/>
        <w:ind w:left="360"/>
        <w:rPr>
          <w:rFonts w:ascii="Calibri" w:hAnsi="Calibri"/>
          <w:i/>
        </w:rPr>
      </w:pPr>
    </w:p>
    <w:p w:rsidR="007B0FD5" w:rsidRPr="008B5459" w:rsidRDefault="005E70E9" w:rsidP="00217830">
      <w:pPr>
        <w:pStyle w:val="ListParagraph"/>
        <w:numPr>
          <w:ilvl w:val="0"/>
          <w:numId w:val="11"/>
        </w:numPr>
        <w:spacing w:after="120" w:line="276" w:lineRule="auto"/>
        <w:rPr>
          <w:rFonts w:ascii="Calibri" w:eastAsia="Times New Roman" w:hAnsi="Calibri"/>
          <w:color w:val="000000" w:themeColor="text1"/>
        </w:rPr>
      </w:pPr>
      <w:r w:rsidRPr="008B5459">
        <w:rPr>
          <w:rFonts w:ascii="Calibri" w:eastAsia="Times New Roman" w:hAnsi="Calibri"/>
          <w:color w:val="000000" w:themeColor="text1"/>
        </w:rPr>
        <w:t>In the first few months after surgery, patients of high supply residents (the blue solid line) receive fewer pills than patients of low supply residents (the orange dashed line), averaging 1 to 2 fewer pills per month. Six months after surgery, this relationship reverses, with the patients of high supply residents receiving about 2 more opioid pills per month</w:t>
      </w:r>
      <w:r w:rsidR="00F341D8">
        <w:rPr>
          <w:rFonts w:ascii="Calibri" w:eastAsia="Times New Roman" w:hAnsi="Calibri"/>
          <w:color w:val="000000" w:themeColor="text1"/>
        </w:rPr>
        <w:t xml:space="preserve"> </w:t>
      </w:r>
      <w:r w:rsidR="00F341D8">
        <w:rPr>
          <w:rFonts w:cs="Times New Roman"/>
        </w:rPr>
        <w:t xml:space="preserve">(Figure </w:t>
      </w:r>
      <w:r w:rsidR="00E3738E">
        <w:rPr>
          <w:rFonts w:cs="Times New Roman"/>
        </w:rPr>
        <w:t>4</w:t>
      </w:r>
      <w:r w:rsidR="00A06D2B">
        <w:rPr>
          <w:rFonts w:cs="Times New Roman"/>
        </w:rPr>
        <w:t>8</w:t>
      </w:r>
      <w:r w:rsidR="00F341D8">
        <w:rPr>
          <w:rFonts w:cs="Times New Roman"/>
        </w:rPr>
        <w:t>).</w:t>
      </w:r>
    </w:p>
    <w:p w:rsidR="00A46388" w:rsidRPr="00217830" w:rsidRDefault="00A46388" w:rsidP="00A46388">
      <w:pPr>
        <w:pStyle w:val="ListParagraph"/>
        <w:spacing w:after="120" w:line="276" w:lineRule="auto"/>
        <w:ind w:left="360"/>
        <w:rPr>
          <w:rFonts w:ascii="Calibri" w:eastAsia="Times New Roman" w:hAnsi="Calibri"/>
          <w:color w:val="000000" w:themeColor="text1"/>
          <w:sz w:val="14"/>
          <w:szCs w:val="8"/>
        </w:rPr>
      </w:pPr>
    </w:p>
    <w:p w:rsidR="00CF52EC" w:rsidRDefault="00CF52EC" w:rsidP="00084F10">
      <w:pPr>
        <w:pStyle w:val="ListParagraph"/>
        <w:spacing w:after="120" w:line="276" w:lineRule="auto"/>
        <w:ind w:left="360"/>
        <w:rPr>
          <w:rFonts w:ascii="Calibri" w:eastAsia="Times New Roman" w:hAnsi="Calibri"/>
          <w:color w:val="000000" w:themeColor="text1"/>
          <w:sz w:val="14"/>
          <w:szCs w:val="8"/>
          <w:highlight w:val="yellow"/>
        </w:rPr>
      </w:pPr>
      <w:r>
        <w:rPr>
          <w:rFonts w:ascii="Calibri" w:eastAsia="Times New Roman" w:hAnsi="Calibri"/>
          <w:color w:val="000000" w:themeColor="text1"/>
          <w:sz w:val="14"/>
          <w:szCs w:val="8"/>
          <w:highlight w:val="yellow"/>
        </w:rPr>
        <w:br/>
      </w: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075599" w:rsidRPr="00084F10" w:rsidRDefault="00075599" w:rsidP="00084F10">
      <w:pPr>
        <w:pStyle w:val="ListParagraph"/>
        <w:spacing w:after="120" w:line="276" w:lineRule="auto"/>
        <w:ind w:left="360"/>
        <w:rPr>
          <w:rFonts w:ascii="Calibri" w:eastAsia="Times New Roman" w:hAnsi="Calibri"/>
          <w:color w:val="000000" w:themeColor="text1"/>
          <w:sz w:val="14"/>
          <w:szCs w:val="8"/>
          <w:highlight w:val="yellow"/>
        </w:rPr>
      </w:pPr>
    </w:p>
    <w:p w:rsidR="00CF52EC" w:rsidRPr="00217830" w:rsidRDefault="00CF52EC" w:rsidP="00A46388">
      <w:pPr>
        <w:pStyle w:val="ListParagraph"/>
        <w:spacing w:after="120" w:line="276" w:lineRule="auto"/>
        <w:ind w:left="360"/>
        <w:rPr>
          <w:rFonts w:ascii="Calibri" w:eastAsia="Times New Roman" w:hAnsi="Calibri"/>
          <w:color w:val="000000" w:themeColor="text1"/>
          <w:sz w:val="14"/>
          <w:szCs w:val="8"/>
          <w:highlight w:val="yellow"/>
        </w:rPr>
      </w:pPr>
    </w:p>
    <w:p w:rsidR="00071D71" w:rsidRPr="00E3738E" w:rsidRDefault="00E3738E" w:rsidP="00E3738E">
      <w:pPr>
        <w:pStyle w:val="Caption"/>
        <w:rPr>
          <w:rFonts w:cs="Times New Roman"/>
          <w:color w:val="auto"/>
          <w:sz w:val="22"/>
          <w:szCs w:val="22"/>
        </w:rPr>
      </w:pPr>
      <w:r w:rsidRPr="00E3738E">
        <w:rPr>
          <w:color w:val="auto"/>
          <w:sz w:val="22"/>
          <w:szCs w:val="22"/>
        </w:rPr>
        <w:lastRenderedPageBreak/>
        <w:t xml:space="preserve">Figure </w:t>
      </w:r>
      <w:r w:rsidRPr="00E3738E">
        <w:rPr>
          <w:color w:val="auto"/>
          <w:sz w:val="22"/>
          <w:szCs w:val="22"/>
        </w:rPr>
        <w:fldChar w:fldCharType="begin"/>
      </w:r>
      <w:r w:rsidRPr="00E3738E">
        <w:rPr>
          <w:color w:val="auto"/>
          <w:sz w:val="22"/>
          <w:szCs w:val="22"/>
        </w:rPr>
        <w:instrText xml:space="preserve"> SEQ Figure \* ARABIC </w:instrText>
      </w:r>
      <w:r w:rsidRPr="00E3738E">
        <w:rPr>
          <w:color w:val="auto"/>
          <w:sz w:val="22"/>
          <w:szCs w:val="22"/>
        </w:rPr>
        <w:fldChar w:fldCharType="separate"/>
      </w:r>
      <w:r w:rsidR="002B3BC3">
        <w:rPr>
          <w:noProof/>
          <w:color w:val="auto"/>
          <w:sz w:val="22"/>
          <w:szCs w:val="22"/>
        </w:rPr>
        <w:t>48</w:t>
      </w:r>
      <w:r w:rsidRPr="00E3738E">
        <w:rPr>
          <w:color w:val="auto"/>
          <w:sz w:val="22"/>
          <w:szCs w:val="22"/>
        </w:rPr>
        <w:fldChar w:fldCharType="end"/>
      </w:r>
      <w:r w:rsidRPr="00E3738E">
        <w:rPr>
          <w:color w:val="auto"/>
          <w:sz w:val="22"/>
          <w:szCs w:val="22"/>
        </w:rPr>
        <w:t xml:space="preserve">. </w:t>
      </w:r>
      <w:r w:rsidR="005E70E9" w:rsidRPr="00E3738E">
        <w:rPr>
          <w:rFonts w:cs="Times New Roman"/>
          <w:color w:val="auto"/>
          <w:sz w:val="22"/>
          <w:szCs w:val="22"/>
        </w:rPr>
        <w:t xml:space="preserve">Average </w:t>
      </w:r>
      <w:r w:rsidR="00CF52EC" w:rsidRPr="00E3738E">
        <w:rPr>
          <w:rFonts w:cs="Times New Roman"/>
          <w:color w:val="auto"/>
          <w:sz w:val="22"/>
          <w:szCs w:val="22"/>
        </w:rPr>
        <w:t xml:space="preserve">Number </w:t>
      </w:r>
      <w:r w:rsidR="005E70E9" w:rsidRPr="00E3738E">
        <w:rPr>
          <w:rFonts w:cs="Times New Roman"/>
          <w:color w:val="auto"/>
          <w:sz w:val="22"/>
          <w:szCs w:val="22"/>
        </w:rPr>
        <w:t xml:space="preserve">of </w:t>
      </w:r>
      <w:r w:rsidR="00CF52EC" w:rsidRPr="00E3738E">
        <w:rPr>
          <w:rFonts w:cs="Times New Roman"/>
          <w:color w:val="auto"/>
          <w:sz w:val="22"/>
          <w:szCs w:val="22"/>
        </w:rPr>
        <w:t xml:space="preserve">Opioid Pills Received </w:t>
      </w:r>
      <w:r w:rsidR="005E70E9" w:rsidRPr="00E3738E">
        <w:rPr>
          <w:rFonts w:cs="Times New Roman"/>
          <w:color w:val="auto"/>
          <w:sz w:val="22"/>
          <w:szCs w:val="22"/>
        </w:rPr>
        <w:t xml:space="preserve">by </w:t>
      </w:r>
      <w:r w:rsidR="00CF52EC" w:rsidRPr="00E3738E">
        <w:rPr>
          <w:rFonts w:cs="Times New Roman"/>
          <w:color w:val="auto"/>
          <w:sz w:val="22"/>
          <w:szCs w:val="22"/>
        </w:rPr>
        <w:t xml:space="preserve">Patients </w:t>
      </w:r>
      <w:r w:rsidR="005E70E9" w:rsidRPr="00E3738E">
        <w:rPr>
          <w:rFonts w:cs="Times New Roman"/>
          <w:color w:val="auto"/>
          <w:sz w:val="22"/>
          <w:szCs w:val="22"/>
        </w:rPr>
        <w:t xml:space="preserve">of </w:t>
      </w:r>
      <w:r w:rsidR="00CF52EC" w:rsidRPr="00E3738E">
        <w:rPr>
          <w:rFonts w:cs="Times New Roman"/>
          <w:color w:val="auto"/>
          <w:sz w:val="22"/>
          <w:szCs w:val="22"/>
        </w:rPr>
        <w:t xml:space="preserve">High </w:t>
      </w:r>
      <w:r w:rsidR="005E70E9" w:rsidRPr="00E3738E">
        <w:rPr>
          <w:rFonts w:cs="Times New Roman"/>
          <w:color w:val="auto"/>
          <w:sz w:val="22"/>
          <w:szCs w:val="22"/>
        </w:rPr>
        <w:t xml:space="preserve">and </w:t>
      </w:r>
      <w:r w:rsidR="00CF52EC" w:rsidRPr="00E3738E">
        <w:rPr>
          <w:rFonts w:cs="Times New Roman"/>
          <w:color w:val="auto"/>
          <w:sz w:val="22"/>
          <w:szCs w:val="22"/>
        </w:rPr>
        <w:t>Low Supply Residents</w:t>
      </w:r>
      <w:r w:rsidR="003824C5" w:rsidRPr="00E3738E">
        <w:rPr>
          <w:rFonts w:cs="Times New Roman"/>
          <w:color w:val="auto"/>
          <w:sz w:val="22"/>
          <w:szCs w:val="22"/>
        </w:rPr>
        <w:t>,</w:t>
      </w:r>
      <w:r w:rsidR="00B42C52" w:rsidRPr="00E3738E">
        <w:rPr>
          <w:rFonts w:cs="Times New Roman"/>
          <w:color w:val="auto"/>
          <w:sz w:val="22"/>
          <w:szCs w:val="22"/>
        </w:rPr>
        <w:t xml:space="preserve"> MA:</w:t>
      </w:r>
      <w:r w:rsidR="003824C5" w:rsidRPr="00E3738E">
        <w:rPr>
          <w:rFonts w:cs="Times New Roman"/>
          <w:color w:val="auto"/>
          <w:sz w:val="22"/>
          <w:szCs w:val="22"/>
        </w:rPr>
        <w:t xml:space="preserve"> 2011-2015</w:t>
      </w:r>
    </w:p>
    <w:p w:rsidR="00EE483A" w:rsidRPr="00071D71" w:rsidRDefault="00EE483A" w:rsidP="00071D71">
      <w:pPr>
        <w:ind w:left="720"/>
        <w:rPr>
          <w:rFonts w:cs="Times New Roman"/>
          <w:b/>
        </w:rPr>
      </w:pPr>
    </w:p>
    <w:p w:rsidR="00EE483A" w:rsidRPr="00F825E8" w:rsidRDefault="005E70E9" w:rsidP="00F825E8">
      <w:pPr>
        <w:ind w:left="720"/>
        <w:jc w:val="center"/>
        <w:rPr>
          <w:rFonts w:eastAsia="Times New Roman" w:cs="Times New Roman"/>
          <w:color w:val="000000" w:themeColor="text1"/>
        </w:rPr>
      </w:pPr>
      <w:r w:rsidRPr="00F448B1">
        <w:rPr>
          <w:noProof/>
        </w:rPr>
        <w:drawing>
          <wp:inline distT="0" distB="0" distL="0" distR="0" wp14:anchorId="10EB1332" wp14:editId="254C2DB2">
            <wp:extent cx="5524500" cy="2352675"/>
            <wp:effectExtent l="0" t="0" r="0" b="9525"/>
            <wp:docPr id="15" name="Picture 15" descr="2_Basilico_DPH_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_Basilico_DPH_Note.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540223" cy="2359371"/>
                    </a:xfrm>
                    <a:prstGeom prst="rect">
                      <a:avLst/>
                    </a:prstGeom>
                    <a:noFill/>
                    <a:ln>
                      <a:noFill/>
                    </a:ln>
                  </pic:spPr>
                </pic:pic>
              </a:graphicData>
            </a:graphic>
          </wp:inline>
        </w:drawing>
      </w:r>
    </w:p>
    <w:p w:rsidR="00EE483A" w:rsidRDefault="00EE483A" w:rsidP="0048024F">
      <w:pPr>
        <w:pStyle w:val="ListParagraph"/>
        <w:spacing w:after="120" w:line="276" w:lineRule="auto"/>
        <w:rPr>
          <w:rFonts w:cs="DgcryqAdvTT3713a231"/>
          <w:color w:val="131413"/>
        </w:rPr>
      </w:pPr>
    </w:p>
    <w:p w:rsidR="00DA66E7" w:rsidRDefault="00DA66E7" w:rsidP="0048024F">
      <w:pPr>
        <w:pStyle w:val="ListParagraph"/>
        <w:spacing w:after="120" w:line="276" w:lineRule="auto"/>
        <w:rPr>
          <w:rFonts w:cs="DgcryqAdvTT3713a231"/>
          <w:color w:val="131413"/>
        </w:rPr>
      </w:pPr>
    </w:p>
    <w:p w:rsidR="0048024F" w:rsidRPr="00217830" w:rsidRDefault="005E70E9" w:rsidP="00217830">
      <w:pPr>
        <w:pStyle w:val="ListParagraph"/>
        <w:numPr>
          <w:ilvl w:val="0"/>
          <w:numId w:val="25"/>
        </w:numPr>
        <w:spacing w:after="120" w:line="276" w:lineRule="auto"/>
        <w:rPr>
          <w:rFonts w:cs="DgcryqAdvTT3713a231"/>
          <w:color w:val="131413"/>
        </w:rPr>
      </w:pPr>
      <w:r w:rsidRPr="00F13064">
        <w:rPr>
          <w:rFonts w:cs="DgcryqAdvTT3713a231"/>
          <w:color w:val="131413"/>
        </w:rPr>
        <w:t>Among patients with traumatic orthopedic injuries and no prior opioid use, 16% still use opioids four to six months after their initial injury</w:t>
      </w:r>
      <w:r w:rsidR="00F341D8">
        <w:rPr>
          <w:rFonts w:cs="DgcryqAdvTT3713a231"/>
          <w:color w:val="131413"/>
        </w:rPr>
        <w:t xml:space="preserve"> (Figure</w:t>
      </w:r>
      <w:r w:rsidR="00A06D2B">
        <w:rPr>
          <w:rFonts w:cs="DgcryqAdvTT3713a231"/>
          <w:color w:val="131413"/>
        </w:rPr>
        <w:t xml:space="preserve"> 49</w:t>
      </w:r>
      <w:r w:rsidR="00F341D8">
        <w:rPr>
          <w:rFonts w:cs="DgcryqAdvTT3713a231"/>
          <w:color w:val="131413"/>
        </w:rPr>
        <w:t>)</w:t>
      </w:r>
      <w:r w:rsidRPr="00F13064">
        <w:rPr>
          <w:rFonts w:cs="DgcryqAdvTT3713a231"/>
          <w:color w:val="131413"/>
        </w:rPr>
        <w:t>. Patients of a resident who prescribes ten more pill</w:t>
      </w:r>
      <w:r w:rsidR="00A414A1">
        <w:rPr>
          <w:rFonts w:cs="DgcryqAdvTT3713a231"/>
          <w:color w:val="131413"/>
        </w:rPr>
        <w:t>s at discharge than average are</w:t>
      </w:r>
      <w:r w:rsidR="00A414A1">
        <w:rPr>
          <w:rFonts w:cs="DgcryqAdvTT3713a231"/>
          <w:i/>
          <w:color w:val="131413"/>
        </w:rPr>
        <w:t>:</w:t>
      </w:r>
    </w:p>
    <w:p w:rsidR="0048024F" w:rsidRPr="00F825E8" w:rsidRDefault="005E70E9" w:rsidP="00217830">
      <w:pPr>
        <w:pStyle w:val="ListParagraph"/>
        <w:numPr>
          <w:ilvl w:val="0"/>
          <w:numId w:val="9"/>
        </w:numPr>
        <w:rPr>
          <w:rFonts w:ascii="Calibri" w:hAnsi="Calibri"/>
        </w:rPr>
      </w:pPr>
      <w:r w:rsidRPr="00F95A4F">
        <w:rPr>
          <w:rFonts w:ascii="Calibri" w:hAnsi="Calibri"/>
        </w:rPr>
        <w:t xml:space="preserve">14.4% more likely to have an opioid prescription four to six months after the initial injury. </w:t>
      </w:r>
    </w:p>
    <w:p w:rsidR="0048024F" w:rsidRPr="00F825E8" w:rsidRDefault="005E70E9" w:rsidP="00217830">
      <w:pPr>
        <w:pStyle w:val="ListParagraph"/>
        <w:numPr>
          <w:ilvl w:val="0"/>
          <w:numId w:val="9"/>
        </w:numPr>
        <w:rPr>
          <w:rFonts w:ascii="Calibri" w:hAnsi="Calibri"/>
        </w:rPr>
      </w:pPr>
      <w:r w:rsidRPr="00F95A4F">
        <w:rPr>
          <w:rFonts w:ascii="Calibri" w:hAnsi="Calibri"/>
        </w:rPr>
        <w:t>32.6% more likely to have at least three opioid prescriptions 4</w:t>
      </w:r>
      <w:r w:rsidR="00D41210">
        <w:rPr>
          <w:rFonts w:ascii="Calibri" w:hAnsi="Calibri"/>
        </w:rPr>
        <w:t xml:space="preserve"> to 6 months after discharge and </w:t>
      </w:r>
      <w:r w:rsidRPr="00F95A4F">
        <w:rPr>
          <w:rFonts w:ascii="Calibri" w:hAnsi="Calibri"/>
        </w:rPr>
        <w:t>41.7% mor</w:t>
      </w:r>
      <w:r w:rsidR="00F825E8">
        <w:rPr>
          <w:rFonts w:ascii="Calibri" w:hAnsi="Calibri"/>
        </w:rPr>
        <w:t>e likely to have at least five.</w:t>
      </w:r>
    </w:p>
    <w:p w:rsidR="00A46388" w:rsidRPr="0048024F" w:rsidRDefault="00A46388" w:rsidP="00CF52EC">
      <w:pPr>
        <w:tabs>
          <w:tab w:val="left" w:pos="1080"/>
        </w:tabs>
        <w:rPr>
          <w:rFonts w:eastAsia="Times New Roman" w:cs="Times New Roman"/>
          <w:b/>
          <w:sz w:val="8"/>
          <w:szCs w:val="8"/>
        </w:rPr>
      </w:pPr>
    </w:p>
    <w:p w:rsidR="000516BC" w:rsidRDefault="000516BC" w:rsidP="008A4710">
      <w:pPr>
        <w:tabs>
          <w:tab w:val="left" w:pos="1080"/>
        </w:tabs>
        <w:ind w:left="720"/>
        <w:rPr>
          <w:rFonts w:cs="Times New Roman"/>
          <w:b/>
        </w:rPr>
      </w:pPr>
    </w:p>
    <w:p w:rsidR="00DA66E7" w:rsidRDefault="00DA66E7" w:rsidP="008A4710">
      <w:pPr>
        <w:tabs>
          <w:tab w:val="left" w:pos="1080"/>
        </w:tabs>
        <w:ind w:left="720"/>
        <w:rPr>
          <w:rFonts w:cs="Times New Roman"/>
          <w:b/>
        </w:rPr>
      </w:pPr>
    </w:p>
    <w:p w:rsidR="00E85D16" w:rsidRPr="00E3738E" w:rsidRDefault="00E3738E" w:rsidP="00E3738E">
      <w:pPr>
        <w:pStyle w:val="Caption"/>
        <w:rPr>
          <w:rFonts w:cs="Times New Roman"/>
          <w:color w:val="auto"/>
          <w:sz w:val="22"/>
          <w:szCs w:val="22"/>
        </w:rPr>
      </w:pPr>
      <w:r w:rsidRPr="00E3738E">
        <w:rPr>
          <w:color w:val="auto"/>
          <w:sz w:val="22"/>
          <w:szCs w:val="22"/>
        </w:rPr>
        <w:t xml:space="preserve">Figure </w:t>
      </w:r>
      <w:r w:rsidRPr="00E3738E">
        <w:rPr>
          <w:color w:val="auto"/>
          <w:sz w:val="22"/>
          <w:szCs w:val="22"/>
        </w:rPr>
        <w:fldChar w:fldCharType="begin"/>
      </w:r>
      <w:r w:rsidRPr="00E3738E">
        <w:rPr>
          <w:color w:val="auto"/>
          <w:sz w:val="22"/>
          <w:szCs w:val="22"/>
        </w:rPr>
        <w:instrText xml:space="preserve"> SEQ Figure \* ARABIC </w:instrText>
      </w:r>
      <w:r w:rsidRPr="00E3738E">
        <w:rPr>
          <w:color w:val="auto"/>
          <w:sz w:val="22"/>
          <w:szCs w:val="22"/>
        </w:rPr>
        <w:fldChar w:fldCharType="separate"/>
      </w:r>
      <w:r w:rsidR="002B3BC3">
        <w:rPr>
          <w:noProof/>
          <w:color w:val="auto"/>
          <w:sz w:val="22"/>
          <w:szCs w:val="22"/>
        </w:rPr>
        <w:t>49</w:t>
      </w:r>
      <w:r w:rsidRPr="00E3738E">
        <w:rPr>
          <w:color w:val="auto"/>
          <w:sz w:val="22"/>
          <w:szCs w:val="22"/>
        </w:rPr>
        <w:fldChar w:fldCharType="end"/>
      </w:r>
      <w:r w:rsidRPr="00E3738E">
        <w:rPr>
          <w:color w:val="auto"/>
          <w:sz w:val="22"/>
          <w:szCs w:val="22"/>
        </w:rPr>
        <w:t xml:space="preserve">. </w:t>
      </w:r>
      <w:r w:rsidR="004E55B7" w:rsidRPr="00E3738E">
        <w:rPr>
          <w:rFonts w:cs="Times New Roman"/>
          <w:color w:val="auto"/>
          <w:sz w:val="22"/>
          <w:szCs w:val="22"/>
        </w:rPr>
        <w:t xml:space="preserve">Patients with an </w:t>
      </w:r>
      <w:r w:rsidR="00CF52EC" w:rsidRPr="00E3738E">
        <w:rPr>
          <w:rFonts w:cs="Times New Roman"/>
          <w:color w:val="auto"/>
          <w:sz w:val="22"/>
          <w:szCs w:val="22"/>
        </w:rPr>
        <w:t xml:space="preserve">Opioid Prescription </w:t>
      </w:r>
      <w:r w:rsidR="004E55B7" w:rsidRPr="00E3738E">
        <w:rPr>
          <w:rFonts w:cs="Times New Roman"/>
          <w:color w:val="auto"/>
          <w:sz w:val="22"/>
          <w:szCs w:val="22"/>
        </w:rPr>
        <w:t xml:space="preserve">4-6 </w:t>
      </w:r>
      <w:r w:rsidR="00CF52EC" w:rsidRPr="00E3738E">
        <w:rPr>
          <w:rFonts w:cs="Times New Roman"/>
          <w:color w:val="auto"/>
          <w:sz w:val="22"/>
          <w:szCs w:val="22"/>
        </w:rPr>
        <w:t xml:space="preserve">Months After Injury </w:t>
      </w:r>
      <w:r w:rsidR="004E55B7" w:rsidRPr="00E3738E">
        <w:rPr>
          <w:rFonts w:cs="Times New Roman"/>
          <w:color w:val="auto"/>
          <w:sz w:val="22"/>
          <w:szCs w:val="22"/>
        </w:rPr>
        <w:t xml:space="preserve">by </w:t>
      </w:r>
      <w:r w:rsidR="00CF52EC" w:rsidRPr="00E3738E">
        <w:rPr>
          <w:rFonts w:cs="Times New Roman"/>
          <w:color w:val="auto"/>
          <w:sz w:val="22"/>
          <w:szCs w:val="22"/>
        </w:rPr>
        <w:t xml:space="preserve">Average Number </w:t>
      </w:r>
      <w:r w:rsidR="004E55B7" w:rsidRPr="00E3738E">
        <w:rPr>
          <w:rFonts w:cs="Times New Roman"/>
          <w:color w:val="auto"/>
          <w:sz w:val="22"/>
          <w:szCs w:val="22"/>
        </w:rPr>
        <w:t xml:space="preserve">of </w:t>
      </w:r>
      <w:r w:rsidR="00CF52EC" w:rsidRPr="00E3738E">
        <w:rPr>
          <w:rFonts w:cs="Times New Roman"/>
          <w:color w:val="auto"/>
          <w:sz w:val="22"/>
          <w:szCs w:val="22"/>
        </w:rPr>
        <w:t xml:space="preserve">Pills Prescribed </w:t>
      </w:r>
      <w:r w:rsidR="004E55B7" w:rsidRPr="00E3738E">
        <w:rPr>
          <w:rFonts w:cs="Times New Roman"/>
          <w:color w:val="auto"/>
          <w:sz w:val="22"/>
          <w:szCs w:val="22"/>
        </w:rPr>
        <w:t xml:space="preserve">by </w:t>
      </w:r>
      <w:r w:rsidR="00CF52EC" w:rsidRPr="00E3738E">
        <w:rPr>
          <w:rFonts w:cs="Times New Roman"/>
          <w:color w:val="auto"/>
          <w:sz w:val="22"/>
          <w:szCs w:val="22"/>
        </w:rPr>
        <w:t>Resident</w:t>
      </w:r>
      <w:r w:rsidR="009052E3" w:rsidRPr="00E3738E">
        <w:rPr>
          <w:rFonts w:cs="Times New Roman"/>
          <w:color w:val="auto"/>
          <w:sz w:val="22"/>
          <w:szCs w:val="22"/>
        </w:rPr>
        <w:t xml:space="preserve">, </w:t>
      </w:r>
      <w:r w:rsidR="00B42C52" w:rsidRPr="00E3738E">
        <w:rPr>
          <w:rFonts w:cs="Times New Roman"/>
          <w:color w:val="auto"/>
          <w:sz w:val="22"/>
          <w:szCs w:val="22"/>
        </w:rPr>
        <w:t>MA</w:t>
      </w:r>
      <w:r w:rsidR="009052E3" w:rsidRPr="00E3738E">
        <w:rPr>
          <w:rFonts w:cs="Times New Roman"/>
          <w:color w:val="auto"/>
          <w:sz w:val="22"/>
          <w:szCs w:val="22"/>
        </w:rPr>
        <w:t>: 2011-2015</w:t>
      </w:r>
    </w:p>
    <w:p w:rsidR="0048024F" w:rsidRPr="008A4710" w:rsidRDefault="0048024F" w:rsidP="008A4710">
      <w:pPr>
        <w:tabs>
          <w:tab w:val="left" w:pos="1080"/>
        </w:tabs>
        <w:ind w:left="720"/>
        <w:rPr>
          <w:b/>
          <w:bCs/>
        </w:rPr>
      </w:pPr>
    </w:p>
    <w:p w:rsidR="0048024F" w:rsidRPr="00F825E8" w:rsidRDefault="008A4710" w:rsidP="00F825E8">
      <w:pPr>
        <w:tabs>
          <w:tab w:val="left" w:pos="1080"/>
        </w:tabs>
        <w:ind w:left="720"/>
        <w:rPr>
          <w:rFonts w:ascii="Times New Roman" w:eastAsia="Times New Roman" w:hAnsi="Times New Roman" w:cs="Times New Roman"/>
        </w:rPr>
      </w:pPr>
      <w:r>
        <w:rPr>
          <w:noProof/>
        </w:rPr>
        <w:drawing>
          <wp:inline distT="0" distB="0" distL="0" distR="0" wp14:anchorId="7681D8E8" wp14:editId="6E6B34EA">
            <wp:extent cx="5505450" cy="2428875"/>
            <wp:effectExtent l="0" t="0" r="0" b="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5E70E9" w:rsidRPr="00084F10" w:rsidRDefault="005E70E9" w:rsidP="00084F10">
      <w:pPr>
        <w:pStyle w:val="ListParagraph"/>
        <w:numPr>
          <w:ilvl w:val="1"/>
          <w:numId w:val="5"/>
        </w:numPr>
        <w:spacing w:after="120" w:line="276" w:lineRule="auto"/>
        <w:rPr>
          <w:rFonts w:cs="Times New Roman"/>
        </w:rPr>
      </w:pPr>
      <w:r w:rsidRPr="00A414A1">
        <w:rPr>
          <w:rFonts w:cs="Times New Roman"/>
        </w:rPr>
        <w:lastRenderedPageBreak/>
        <w:t>Patients of a resident who prescribe higher volumes of opioids at discharge are more likely to seek out additional prescribers in the four to six months after their injury</w:t>
      </w:r>
      <w:r w:rsidR="00F341D8">
        <w:rPr>
          <w:rFonts w:cs="Times New Roman"/>
        </w:rPr>
        <w:t xml:space="preserve"> (Figure </w:t>
      </w:r>
      <w:r w:rsidR="00E3738E">
        <w:rPr>
          <w:rFonts w:cs="Times New Roman"/>
        </w:rPr>
        <w:t>5</w:t>
      </w:r>
      <w:r w:rsidR="00A06D2B">
        <w:rPr>
          <w:rFonts w:cs="Times New Roman"/>
        </w:rPr>
        <w:t>0</w:t>
      </w:r>
      <w:r w:rsidR="00F341D8">
        <w:rPr>
          <w:rFonts w:cs="Times New Roman"/>
        </w:rPr>
        <w:t>).</w:t>
      </w:r>
    </w:p>
    <w:p w:rsidR="00DA66E7" w:rsidRPr="00717ABC" w:rsidRDefault="00DA66E7" w:rsidP="005E70E9">
      <w:pPr>
        <w:pStyle w:val="ListParagraph"/>
        <w:spacing w:after="120"/>
        <w:ind w:left="1080"/>
        <w:rPr>
          <w:rFonts w:cs="Times New Roman"/>
          <w:sz w:val="8"/>
          <w:szCs w:val="8"/>
        </w:rPr>
      </w:pPr>
    </w:p>
    <w:p w:rsidR="005E70E9" w:rsidRDefault="005E70E9" w:rsidP="00E248B6">
      <w:pPr>
        <w:ind w:left="720"/>
        <w:rPr>
          <w:rFonts w:eastAsia="Times New Roman" w:cs="Times New Roman"/>
          <w:b/>
        </w:rPr>
      </w:pPr>
      <w:r w:rsidRPr="00512E2C">
        <w:rPr>
          <w:rFonts w:cs="Times New Roman"/>
          <w:b/>
        </w:rPr>
        <w:t xml:space="preserve">Figure </w:t>
      </w:r>
      <w:r w:rsidRPr="00512E2C">
        <w:rPr>
          <w:rFonts w:cs="Times New Roman"/>
          <w:b/>
        </w:rPr>
        <w:fldChar w:fldCharType="begin"/>
      </w:r>
      <w:r w:rsidRPr="00512E2C">
        <w:rPr>
          <w:rFonts w:cs="Times New Roman"/>
          <w:b/>
        </w:rPr>
        <w:instrText xml:space="preserve"> SEQ Figure \* ARABIC </w:instrText>
      </w:r>
      <w:r w:rsidRPr="00512E2C">
        <w:rPr>
          <w:rFonts w:cs="Times New Roman"/>
          <w:b/>
        </w:rPr>
        <w:fldChar w:fldCharType="separate"/>
      </w:r>
      <w:r w:rsidR="002B3BC3">
        <w:rPr>
          <w:rFonts w:cs="Times New Roman"/>
          <w:b/>
          <w:noProof/>
        </w:rPr>
        <w:t>50</w:t>
      </w:r>
      <w:r w:rsidRPr="00512E2C">
        <w:rPr>
          <w:rFonts w:cs="Times New Roman"/>
          <w:b/>
        </w:rPr>
        <w:fldChar w:fldCharType="end"/>
      </w:r>
      <w:r w:rsidRPr="00512E2C">
        <w:rPr>
          <w:rFonts w:cs="Times New Roman"/>
          <w:b/>
        </w:rPr>
        <w:t>.</w:t>
      </w:r>
      <w:r>
        <w:rPr>
          <w:rFonts w:cs="Times New Roman"/>
          <w:b/>
        </w:rPr>
        <w:t xml:space="preserve"> </w:t>
      </w:r>
      <w:r w:rsidRPr="0078398B">
        <w:rPr>
          <w:rFonts w:eastAsia="Times New Roman" w:cs="Times New Roman"/>
          <w:b/>
        </w:rPr>
        <w:t>Rates of Acquiring at Least 3 New Opioid Prescribers 4-6 Months After Injury by Resident Prescribing Tendencies</w:t>
      </w:r>
      <w:r w:rsidR="003824C5">
        <w:rPr>
          <w:rFonts w:eastAsia="Times New Roman" w:cs="Times New Roman"/>
          <w:b/>
        </w:rPr>
        <w:t xml:space="preserve">, </w:t>
      </w:r>
      <w:r w:rsidR="00B42C52">
        <w:rPr>
          <w:rFonts w:eastAsia="Times New Roman" w:cs="Times New Roman"/>
          <w:b/>
        </w:rPr>
        <w:t xml:space="preserve">MA: </w:t>
      </w:r>
      <w:r w:rsidR="003824C5">
        <w:rPr>
          <w:rFonts w:eastAsia="Times New Roman" w:cs="Times New Roman"/>
          <w:b/>
        </w:rPr>
        <w:t>2011-2015</w:t>
      </w:r>
    </w:p>
    <w:p w:rsidR="005E70E9" w:rsidRDefault="00934A17" w:rsidP="005E70E9">
      <w:pPr>
        <w:ind w:firstLine="630"/>
        <w:rPr>
          <w:rFonts w:ascii="Times New Roman" w:eastAsia="Times New Roman" w:hAnsi="Times New Roman" w:cs="Times New Roman"/>
        </w:rPr>
      </w:pPr>
      <w:r>
        <w:rPr>
          <w:noProof/>
        </w:rPr>
        <w:drawing>
          <wp:inline distT="0" distB="0" distL="0" distR="0" wp14:anchorId="21D9DFC8" wp14:editId="3E6ACF5A">
            <wp:extent cx="5362575" cy="2638425"/>
            <wp:effectExtent l="0" t="0" r="0" b="0"/>
            <wp:docPr id="139" name="Chart 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C52887" w:rsidRPr="00C52887" w:rsidRDefault="00C52887" w:rsidP="00A1795E"/>
    <w:p w:rsidR="00EE483A" w:rsidRDefault="00EE483A">
      <w:pPr>
        <w:spacing w:after="200" w:line="276" w:lineRule="auto"/>
        <w:rPr>
          <w:rFonts w:asciiTheme="majorHAnsi" w:eastAsiaTheme="majorEastAsia" w:hAnsiTheme="majorHAnsi" w:cstheme="majorBidi"/>
          <w:b/>
          <w:bCs/>
          <w:color w:val="365F91" w:themeColor="accent1" w:themeShade="BF"/>
          <w:sz w:val="28"/>
          <w:szCs w:val="28"/>
        </w:rPr>
      </w:pPr>
      <w:r>
        <w:br w:type="page"/>
      </w:r>
    </w:p>
    <w:p w:rsidR="005E70E9" w:rsidRPr="00590298" w:rsidRDefault="00154F3A" w:rsidP="00A1795E">
      <w:pPr>
        <w:pStyle w:val="Heading1"/>
        <w:rPr>
          <w:sz w:val="44"/>
          <w:szCs w:val="44"/>
        </w:rPr>
      </w:pPr>
      <w:bookmarkStart w:id="17" w:name="_Toc20134886"/>
      <w:r w:rsidRPr="00590298">
        <w:rPr>
          <w:sz w:val="44"/>
          <w:szCs w:val="44"/>
        </w:rPr>
        <w:lastRenderedPageBreak/>
        <w:t>Section II</w:t>
      </w:r>
      <w:r w:rsidR="005E70E9" w:rsidRPr="00590298">
        <w:rPr>
          <w:sz w:val="44"/>
          <w:szCs w:val="44"/>
        </w:rPr>
        <w:t xml:space="preserve">. </w:t>
      </w:r>
      <w:r w:rsidR="00F825E8" w:rsidRPr="00590298">
        <w:rPr>
          <w:sz w:val="44"/>
          <w:szCs w:val="44"/>
        </w:rPr>
        <w:t>Medications for Opioid Use Disorder (MOUD)</w:t>
      </w:r>
      <w:r w:rsidR="00586AD0" w:rsidRPr="00590298">
        <w:rPr>
          <w:sz w:val="44"/>
          <w:szCs w:val="44"/>
        </w:rPr>
        <w:t xml:space="preserve"> Treatment Efficacy</w:t>
      </w:r>
      <w:bookmarkEnd w:id="17"/>
      <w:r w:rsidR="00586AD0" w:rsidRPr="00590298">
        <w:rPr>
          <w:sz w:val="44"/>
          <w:szCs w:val="44"/>
        </w:rPr>
        <w:t xml:space="preserve"> </w:t>
      </w:r>
    </w:p>
    <w:p w:rsidR="005B646D" w:rsidRPr="005B646D" w:rsidRDefault="005B646D" w:rsidP="005B646D"/>
    <w:p w:rsidR="007E07D0" w:rsidRDefault="00E65E65" w:rsidP="0053198D">
      <w:pPr>
        <w:autoSpaceDE w:val="0"/>
        <w:autoSpaceDN w:val="0"/>
        <w:adjustRightInd w:val="0"/>
        <w:rPr>
          <w:rFonts w:cs="Arial"/>
          <w:b/>
          <w:shd w:val="clear" w:color="auto" w:fill="FFFFFF"/>
        </w:rPr>
      </w:pPr>
      <w:r>
        <w:rPr>
          <w:rFonts w:cs="Arial"/>
          <w:b/>
          <w:shd w:val="clear" w:color="auto" w:fill="FFFFFF"/>
        </w:rPr>
        <w:t xml:space="preserve">Background: </w:t>
      </w:r>
    </w:p>
    <w:p w:rsidR="00876D72" w:rsidRPr="00876D72" w:rsidRDefault="00876D72" w:rsidP="00217830">
      <w:pPr>
        <w:autoSpaceDE w:val="0"/>
        <w:autoSpaceDN w:val="0"/>
        <w:adjustRightInd w:val="0"/>
        <w:rPr>
          <w:rFonts w:cs="Times New Roman"/>
          <w:i/>
        </w:rPr>
      </w:pPr>
      <w:r w:rsidRPr="00876D72">
        <w:rPr>
          <w:rFonts w:cs="Arial"/>
          <w:shd w:val="clear" w:color="auto" w:fill="FFFFFF"/>
        </w:rPr>
        <w:t>Medications for opioid use disorder (OUD) save lives. Yet most people with OUD in the United States receive no treatment at all, and only a fraction of those who do receive medications for OUD</w:t>
      </w:r>
      <w:r w:rsidRPr="00876D72">
        <w:rPr>
          <w:rFonts w:cs="Times New Roman"/>
          <w:i/>
        </w:rPr>
        <w:t>.</w:t>
      </w:r>
    </w:p>
    <w:p w:rsidR="00264F2D" w:rsidRDefault="00264F2D" w:rsidP="003E463D">
      <w:pPr>
        <w:autoSpaceDE w:val="0"/>
        <w:autoSpaceDN w:val="0"/>
        <w:adjustRightInd w:val="0"/>
        <w:rPr>
          <w:rFonts w:cs="Times New Roman"/>
          <w:i/>
        </w:rPr>
      </w:pPr>
    </w:p>
    <w:p w:rsidR="005E70E9" w:rsidRPr="007E07D0" w:rsidRDefault="00E65E65" w:rsidP="005E70E9">
      <w:pPr>
        <w:autoSpaceDE w:val="0"/>
        <w:autoSpaceDN w:val="0"/>
        <w:adjustRightInd w:val="0"/>
        <w:rPr>
          <w:rFonts w:cs="Times New Roman"/>
          <w:b/>
        </w:rPr>
      </w:pPr>
      <w:r>
        <w:rPr>
          <w:rFonts w:cs="Times New Roman"/>
          <w:b/>
        </w:rPr>
        <w:t>Key Findings:</w:t>
      </w:r>
    </w:p>
    <w:p w:rsidR="003E463D" w:rsidRDefault="005E70E9" w:rsidP="005A0CCC">
      <w:pPr>
        <w:pStyle w:val="ListParagraph"/>
        <w:numPr>
          <w:ilvl w:val="0"/>
          <w:numId w:val="5"/>
        </w:numPr>
        <w:autoSpaceDE w:val="0"/>
        <w:autoSpaceDN w:val="0"/>
        <w:adjustRightInd w:val="0"/>
        <w:spacing w:after="200" w:line="276" w:lineRule="auto"/>
        <w:rPr>
          <w:rFonts w:cs="Times New Roman"/>
        </w:rPr>
      </w:pPr>
      <w:r w:rsidRPr="00464051">
        <w:rPr>
          <w:rFonts w:cs="Times New Roman"/>
        </w:rPr>
        <w:t xml:space="preserve">For the period of 2012 to 2014, there were 17,568 persons who had </w:t>
      </w:r>
      <w:r w:rsidR="00C95D25">
        <w:rPr>
          <w:rFonts w:cs="Times New Roman"/>
        </w:rPr>
        <w:t>1</w:t>
      </w:r>
      <w:r w:rsidR="00C95D25" w:rsidRPr="00464051">
        <w:rPr>
          <w:rFonts w:cs="Times New Roman"/>
        </w:rPr>
        <w:t xml:space="preserve"> </w:t>
      </w:r>
      <w:r w:rsidRPr="00464051">
        <w:rPr>
          <w:rFonts w:cs="Times New Roman"/>
        </w:rPr>
        <w:t>or more non</w:t>
      </w:r>
      <w:r w:rsidR="00D41210">
        <w:rPr>
          <w:rFonts w:cs="Times New Roman"/>
        </w:rPr>
        <w:t>-</w:t>
      </w:r>
      <w:r w:rsidRPr="00464051">
        <w:rPr>
          <w:rFonts w:cs="Times New Roman"/>
        </w:rPr>
        <w:t xml:space="preserve">fatal </w:t>
      </w:r>
      <w:r w:rsidRPr="00B64D64">
        <w:rPr>
          <w:rFonts w:cs="Times New Roman"/>
        </w:rPr>
        <w:t xml:space="preserve">opioid overdoses in Massachusetts; 62% were male, and 69% were younger than 45 years. In the 12 months before the index overdose, 26% received </w:t>
      </w:r>
      <w:r w:rsidR="00C95D25">
        <w:rPr>
          <w:rFonts w:cs="Times New Roman"/>
        </w:rPr>
        <w:t>1</w:t>
      </w:r>
      <w:r w:rsidR="00C95D25" w:rsidRPr="00B64D64">
        <w:rPr>
          <w:rFonts w:cs="Times New Roman"/>
        </w:rPr>
        <w:t xml:space="preserve"> </w:t>
      </w:r>
      <w:r w:rsidRPr="00B64D64">
        <w:rPr>
          <w:rFonts w:cs="Times New Roman"/>
        </w:rPr>
        <w:t>or more types of Medication for Opioid Use Disorder (MOUD), 41% received prescriptions for opioid analgesics, and 28% received prescriptions for benzodiazepines. Twenty-two</w:t>
      </w:r>
      <w:r w:rsidRPr="00464051">
        <w:rPr>
          <w:rFonts w:cs="Times New Roman"/>
        </w:rPr>
        <w:t xml:space="preserve"> percent had an episode</w:t>
      </w:r>
      <w:r>
        <w:rPr>
          <w:rFonts w:cs="Times New Roman"/>
        </w:rPr>
        <w:t xml:space="preserve"> of opioid detoxification</w:t>
      </w:r>
      <w:r w:rsidR="003E463D">
        <w:rPr>
          <w:rFonts w:cs="Times New Roman"/>
        </w:rPr>
        <w:t>.</w:t>
      </w:r>
      <w:r w:rsidR="00264F2D" w:rsidRPr="005F44D7">
        <w:rPr>
          <w:rStyle w:val="FootnoteReference"/>
        </w:rPr>
        <w:footnoteReference w:id="70"/>
      </w:r>
    </w:p>
    <w:p w:rsidR="007636AB" w:rsidRDefault="007636AB" w:rsidP="00217830">
      <w:pPr>
        <w:pStyle w:val="ListParagraph"/>
        <w:autoSpaceDE w:val="0"/>
        <w:autoSpaceDN w:val="0"/>
        <w:adjustRightInd w:val="0"/>
        <w:spacing w:after="200" w:line="276" w:lineRule="auto"/>
        <w:ind w:left="360"/>
      </w:pPr>
    </w:p>
    <w:tbl>
      <w:tblPr>
        <w:tblStyle w:val="LightShading-Accent1"/>
        <w:tblW w:w="4041" w:type="pct"/>
        <w:jc w:val="center"/>
        <w:tblLook w:val="04A0" w:firstRow="1" w:lastRow="0" w:firstColumn="1" w:lastColumn="0" w:noHBand="0" w:noVBand="1"/>
      </w:tblPr>
      <w:tblGrid>
        <w:gridCol w:w="3924"/>
        <w:gridCol w:w="3815"/>
      </w:tblGrid>
      <w:tr w:rsidR="007636AB" w:rsidRPr="00015EE4" w:rsidTr="00A1795E">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7636AB" w:rsidRPr="00E76F5B" w:rsidRDefault="007636AB" w:rsidP="007636AB">
            <w:pPr>
              <w:autoSpaceDE w:val="0"/>
              <w:autoSpaceDN w:val="0"/>
              <w:adjustRightInd w:val="0"/>
              <w:rPr>
                <w:rFonts w:cs="AvenirNextLTPro-Medium"/>
              </w:rPr>
            </w:pPr>
            <w:r w:rsidRPr="00E76F5B">
              <w:t xml:space="preserve">Table </w:t>
            </w:r>
            <w:r w:rsidR="008030D6">
              <w:fldChar w:fldCharType="begin"/>
            </w:r>
            <w:r w:rsidR="008030D6">
              <w:instrText xml:space="preserve"> SEQ Table \* ARABIC </w:instrText>
            </w:r>
            <w:r w:rsidR="008030D6">
              <w:fldChar w:fldCharType="separate"/>
            </w:r>
            <w:r w:rsidR="00FA5C39">
              <w:rPr>
                <w:noProof/>
              </w:rPr>
              <w:t>6</w:t>
            </w:r>
            <w:r w:rsidR="008030D6">
              <w:rPr>
                <w:noProof/>
              </w:rPr>
              <w:fldChar w:fldCharType="end"/>
            </w:r>
            <w:r w:rsidRPr="00E76F5B">
              <w:t xml:space="preserve">. </w:t>
            </w:r>
            <w:r w:rsidRPr="00E76F5B">
              <w:rPr>
                <w:rFonts w:cs="AvenirNextLTPro-Medium"/>
              </w:rPr>
              <w:t>Baseline Patient Characteristics Before and Treatments After Index Non</w:t>
            </w:r>
            <w:r w:rsidR="00BC760A" w:rsidRPr="00E76F5B">
              <w:rPr>
                <w:rFonts w:cs="AvenirNextLTPro-Medium"/>
              </w:rPr>
              <w:t>-</w:t>
            </w:r>
            <w:r w:rsidR="00AC274A" w:rsidRPr="00E76F5B">
              <w:rPr>
                <w:rFonts w:cs="AvenirNextLTPro-Medium"/>
              </w:rPr>
              <w:t>fatal Opioid Overdose</w:t>
            </w:r>
            <w:r w:rsidR="003824C5" w:rsidRPr="00E76F5B">
              <w:rPr>
                <w:rFonts w:cs="AvenirNextLTPro-Medium"/>
              </w:rPr>
              <w:t>, MA: 2012-2014</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712A04">
            <w:pPr>
              <w:pStyle w:val="ListParagraph"/>
              <w:ind w:left="0"/>
              <w:rPr>
                <w:rFonts w:cs="DgcryqAdvTT3713a231"/>
                <w:b w:val="0"/>
                <w:color w:val="131413"/>
              </w:rPr>
            </w:pPr>
            <w:r w:rsidRPr="00015EE4">
              <w:rPr>
                <w:b w:val="0"/>
              </w:rPr>
              <w:t>Baseline Characteristic†</w:t>
            </w:r>
          </w:p>
        </w:tc>
        <w:tc>
          <w:tcPr>
            <w:tcW w:w="2465" w:type="pct"/>
          </w:tcPr>
          <w:p w:rsidR="007636AB" w:rsidRDefault="007636AB" w:rsidP="007636A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r w:rsidRPr="00015EE4">
              <w:rPr>
                <w:b/>
              </w:rPr>
              <w:t>Full Cohort</w:t>
            </w:r>
          </w:p>
          <w:p w:rsidR="007636AB" w:rsidRPr="00015EE4" w:rsidRDefault="007636AB" w:rsidP="007636A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venirNextLTPro-Bold" w:hAnsi="AvenirNextLTPro-Bold" w:cs="AvenirNextLTPro-Bold"/>
                <w:b/>
                <w:bCs/>
                <w:color w:val="231F20"/>
              </w:rPr>
            </w:pPr>
            <w:r w:rsidRPr="00015EE4">
              <w:rPr>
                <w:b/>
              </w:rPr>
              <w:t>n=17,568 (%)</w:t>
            </w:r>
          </w:p>
        </w:tc>
      </w:tr>
      <w:tr w:rsidR="007636AB" w:rsidRPr="00015EE4" w:rsidTr="00A1795E">
        <w:trPr>
          <w:trHeight w:val="422"/>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Male </w:t>
            </w:r>
          </w:p>
        </w:tc>
        <w:tc>
          <w:tcPr>
            <w:tcW w:w="2465" w:type="pct"/>
          </w:tcPr>
          <w:p w:rsidR="007636AB" w:rsidRPr="00015EE4" w:rsidRDefault="007636AB" w:rsidP="007636AB">
            <w:pPr>
              <w:ind w:right="1241"/>
              <w:jc w:val="right"/>
              <w:cnfStyle w:val="000000000000" w:firstRow="0" w:lastRow="0" w:firstColumn="0" w:lastColumn="0" w:oddVBand="0" w:evenVBand="0" w:oddHBand="0" w:evenHBand="0" w:firstRowFirstColumn="0" w:firstRowLastColumn="0" w:lastRowFirstColumn="0" w:lastRowLastColumn="0"/>
            </w:pPr>
            <w:r w:rsidRPr="00015EE4">
              <w:t>10,955 (62%)</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7636AB" w:rsidRPr="00015EE4" w:rsidRDefault="007636AB" w:rsidP="0023175C">
            <w:pPr>
              <w:ind w:right="1511"/>
            </w:pPr>
            <w:r w:rsidRPr="00015EE4">
              <w:t>Age</w:t>
            </w:r>
          </w:p>
        </w:tc>
      </w:tr>
      <w:tr w:rsidR="007636AB" w:rsidRPr="00015EE4" w:rsidTr="00A1795E">
        <w:trPr>
          <w:trHeight w:val="260"/>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pPr>
              <w:ind w:firstLine="432"/>
            </w:pPr>
            <w:r w:rsidRPr="00015EE4">
              <w:t>18</w:t>
            </w:r>
            <w:r w:rsidRPr="00015EE4">
              <w:rPr>
                <w:rFonts w:hint="eastAsia"/>
              </w:rPr>
              <w:t>–</w:t>
            </w:r>
            <w:r w:rsidRPr="00015EE4">
              <w:t>29 years</w:t>
            </w:r>
          </w:p>
        </w:tc>
        <w:tc>
          <w:tcPr>
            <w:tcW w:w="2465" w:type="pct"/>
          </w:tcPr>
          <w:p w:rsidR="007636AB" w:rsidRPr="00015EE4" w:rsidRDefault="007636AB" w:rsidP="007636AB">
            <w:pPr>
              <w:ind w:right="1241"/>
              <w:jc w:val="right"/>
              <w:cnfStyle w:val="000000000000" w:firstRow="0" w:lastRow="0" w:firstColumn="0" w:lastColumn="0" w:oddVBand="0" w:evenVBand="0" w:oddHBand="0" w:evenHBand="0" w:firstRowFirstColumn="0" w:firstRowLastColumn="0" w:lastRowFirstColumn="0" w:lastRowLastColumn="0"/>
            </w:pPr>
            <w:r w:rsidRPr="00015EE4">
              <w:t>6,147 (35%)</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pPr>
              <w:ind w:firstLine="432"/>
            </w:pPr>
            <w:r w:rsidRPr="00015EE4">
              <w:t>30</w:t>
            </w:r>
            <w:r w:rsidRPr="00015EE4">
              <w:rPr>
                <w:rFonts w:hint="eastAsia"/>
              </w:rPr>
              <w:t>–</w:t>
            </w:r>
            <w:r w:rsidRPr="00015EE4">
              <w:t>44 years</w:t>
            </w:r>
          </w:p>
        </w:tc>
        <w:tc>
          <w:tcPr>
            <w:tcW w:w="2465" w:type="pct"/>
          </w:tcPr>
          <w:p w:rsidR="007636AB" w:rsidRPr="00015EE4" w:rsidRDefault="007636AB" w:rsidP="007636AB">
            <w:pPr>
              <w:ind w:right="1241"/>
              <w:jc w:val="right"/>
              <w:cnfStyle w:val="000000100000" w:firstRow="0" w:lastRow="0" w:firstColumn="0" w:lastColumn="0" w:oddVBand="0" w:evenVBand="0" w:oddHBand="1" w:evenHBand="0" w:firstRowFirstColumn="0" w:firstRowLastColumn="0" w:lastRowFirstColumn="0" w:lastRowLastColumn="0"/>
            </w:pPr>
            <w:r w:rsidRPr="00015EE4">
              <w:t>5,915 (34%)</w:t>
            </w:r>
          </w:p>
        </w:tc>
      </w:tr>
      <w:tr w:rsidR="007636AB" w:rsidRPr="00015EE4" w:rsidTr="00A1795E">
        <w:trPr>
          <w:trHeight w:val="188"/>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pPr>
              <w:ind w:firstLine="432"/>
            </w:pPr>
            <w:r w:rsidRPr="00015EE4">
              <w:rPr>
                <w:rFonts w:hint="eastAsia"/>
              </w:rPr>
              <w:t>≥</w:t>
            </w:r>
            <w:r w:rsidRPr="00015EE4">
              <w:t>45 years</w:t>
            </w:r>
          </w:p>
        </w:tc>
        <w:tc>
          <w:tcPr>
            <w:tcW w:w="2465" w:type="pct"/>
          </w:tcPr>
          <w:p w:rsidR="007636AB" w:rsidRPr="00015EE4" w:rsidRDefault="007636AB" w:rsidP="007636AB">
            <w:pPr>
              <w:ind w:right="1241"/>
              <w:jc w:val="right"/>
              <w:cnfStyle w:val="000000000000" w:firstRow="0" w:lastRow="0" w:firstColumn="0" w:lastColumn="0" w:oddVBand="0" w:evenVBand="0" w:oddHBand="0" w:evenHBand="0" w:firstRowFirstColumn="0" w:firstRowLastColumn="0" w:lastRowFirstColumn="0" w:lastRowLastColumn="0"/>
            </w:pPr>
            <w:r w:rsidRPr="00015EE4">
              <w:t>5,506 (31%)</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Anxiety </w:t>
            </w:r>
          </w:p>
        </w:tc>
        <w:tc>
          <w:tcPr>
            <w:tcW w:w="2465" w:type="pct"/>
          </w:tcPr>
          <w:p w:rsidR="007636AB" w:rsidRPr="00015EE4" w:rsidRDefault="007636AB" w:rsidP="007636AB">
            <w:pPr>
              <w:ind w:right="1241"/>
              <w:jc w:val="right"/>
              <w:cnfStyle w:val="000000100000" w:firstRow="0" w:lastRow="0" w:firstColumn="0" w:lastColumn="0" w:oddVBand="0" w:evenVBand="0" w:oddHBand="1" w:evenHBand="0" w:firstRowFirstColumn="0" w:firstRowLastColumn="0" w:lastRowFirstColumn="0" w:lastRowLastColumn="0"/>
            </w:pPr>
            <w:r w:rsidRPr="00015EE4">
              <w:t>3,034 (17%)</w:t>
            </w:r>
          </w:p>
        </w:tc>
      </w:tr>
      <w:tr w:rsidR="007636AB" w:rsidRPr="00015EE4" w:rsidTr="00A1795E">
        <w:trPr>
          <w:trHeight w:val="350"/>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Any MOUD before index overdose </w:t>
            </w:r>
          </w:p>
        </w:tc>
        <w:tc>
          <w:tcPr>
            <w:tcW w:w="2465" w:type="pct"/>
          </w:tcPr>
          <w:p w:rsidR="007636AB" w:rsidRPr="00015EE4" w:rsidRDefault="007636AB" w:rsidP="007636AB">
            <w:pPr>
              <w:ind w:right="1241"/>
              <w:jc w:val="right"/>
              <w:cnfStyle w:val="000000000000" w:firstRow="0" w:lastRow="0" w:firstColumn="0" w:lastColumn="0" w:oddVBand="0" w:evenVBand="0" w:oddHBand="0" w:evenHBand="0" w:firstRowFirstColumn="0" w:firstRowLastColumn="0" w:lastRowFirstColumn="0" w:lastRowLastColumn="0"/>
            </w:pPr>
            <w:r w:rsidRPr="00015EE4">
              <w:t>4,492 (26%)</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Detoxification </w:t>
            </w:r>
          </w:p>
        </w:tc>
        <w:tc>
          <w:tcPr>
            <w:tcW w:w="2465" w:type="pct"/>
          </w:tcPr>
          <w:p w:rsidR="007636AB" w:rsidRPr="00015EE4" w:rsidRDefault="007636AB" w:rsidP="007636AB">
            <w:pPr>
              <w:ind w:right="1241"/>
              <w:jc w:val="right"/>
              <w:cnfStyle w:val="000000100000" w:firstRow="0" w:lastRow="0" w:firstColumn="0" w:lastColumn="0" w:oddVBand="0" w:evenVBand="0" w:oddHBand="1" w:evenHBand="0" w:firstRowFirstColumn="0" w:firstRowLastColumn="0" w:lastRowFirstColumn="0" w:lastRowLastColumn="0"/>
            </w:pPr>
            <w:r w:rsidRPr="00015EE4">
              <w:t>3,872 (22%)</w:t>
            </w:r>
          </w:p>
        </w:tc>
      </w:tr>
      <w:tr w:rsidR="007636AB" w:rsidRPr="00015EE4" w:rsidTr="00A1795E">
        <w:trPr>
          <w:trHeight w:val="377"/>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Opioid prescription </w:t>
            </w:r>
          </w:p>
        </w:tc>
        <w:tc>
          <w:tcPr>
            <w:tcW w:w="2465" w:type="pct"/>
          </w:tcPr>
          <w:p w:rsidR="007636AB" w:rsidRPr="00015EE4" w:rsidRDefault="007636AB" w:rsidP="007636AB">
            <w:pPr>
              <w:ind w:right="1241"/>
              <w:jc w:val="right"/>
              <w:cnfStyle w:val="000000000000" w:firstRow="0" w:lastRow="0" w:firstColumn="0" w:lastColumn="0" w:oddVBand="0" w:evenVBand="0" w:oddHBand="0" w:evenHBand="0" w:firstRowFirstColumn="0" w:firstRowLastColumn="0" w:lastRowFirstColumn="0" w:lastRowLastColumn="0"/>
            </w:pPr>
            <w:r w:rsidRPr="00015EE4">
              <w:t>7,185 (41%)</w:t>
            </w:r>
          </w:p>
        </w:tc>
      </w:tr>
      <w:tr w:rsidR="007636AB" w:rsidRPr="00015EE4" w:rsidTr="00A1795E">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535" w:type="pct"/>
          </w:tcPr>
          <w:p w:rsidR="007636AB" w:rsidRPr="00015EE4" w:rsidRDefault="007636AB" w:rsidP="0023175C">
            <w:r w:rsidRPr="00015EE4">
              <w:t xml:space="preserve">Benzodiazepine prescription </w:t>
            </w:r>
          </w:p>
        </w:tc>
        <w:tc>
          <w:tcPr>
            <w:tcW w:w="2465" w:type="pct"/>
          </w:tcPr>
          <w:p w:rsidR="007636AB" w:rsidRPr="00015EE4" w:rsidRDefault="007636AB" w:rsidP="007636AB">
            <w:pPr>
              <w:ind w:right="1241"/>
              <w:jc w:val="right"/>
              <w:cnfStyle w:val="000000100000" w:firstRow="0" w:lastRow="0" w:firstColumn="0" w:lastColumn="0" w:oddVBand="0" w:evenVBand="0" w:oddHBand="1" w:evenHBand="0" w:firstRowFirstColumn="0" w:firstRowLastColumn="0" w:lastRowFirstColumn="0" w:lastRowLastColumn="0"/>
            </w:pPr>
            <w:r w:rsidRPr="00015EE4">
              <w:t>4,871 (28%)</w:t>
            </w:r>
          </w:p>
        </w:tc>
      </w:tr>
    </w:tbl>
    <w:p w:rsidR="005E70E9" w:rsidRPr="003A5D2A" w:rsidRDefault="005E70E9" w:rsidP="005E70E9">
      <w:pPr>
        <w:pStyle w:val="ListParagraph"/>
        <w:ind w:left="1080"/>
        <w:rPr>
          <w:rFonts w:eastAsia="AvenirNextLTPro-Regular" w:cs="AvenirNextLTPro-Regular"/>
          <w:color w:val="231F20"/>
          <w:sz w:val="18"/>
          <w:szCs w:val="18"/>
        </w:rPr>
      </w:pPr>
      <w:r w:rsidRPr="003A5D2A">
        <w:rPr>
          <w:rFonts w:eastAsia="AvenirNextLTPro-Regular" w:cs="AvenirNextLTPro-Regular"/>
          <w:color w:val="231F20"/>
          <w:sz w:val="18"/>
          <w:szCs w:val="18"/>
        </w:rPr>
        <w:t>MOUD = medication for opioid use disorder.</w:t>
      </w:r>
    </w:p>
    <w:p w:rsidR="005E70E9" w:rsidRPr="00E82A3F" w:rsidRDefault="005E70E9" w:rsidP="005E70E9">
      <w:pPr>
        <w:pStyle w:val="ListParagraph"/>
        <w:ind w:left="1080"/>
        <w:rPr>
          <w:rFonts w:eastAsia="AvenirNextLTPro-Regular" w:cs="AvenirNextLTPro-Regular"/>
          <w:color w:val="231F20"/>
          <w:sz w:val="18"/>
          <w:szCs w:val="18"/>
        </w:rPr>
      </w:pPr>
      <w:r w:rsidRPr="003A5D2A">
        <w:rPr>
          <w:rFonts w:eastAsia="AvenirNextLTPro-Regular" w:cs="AvenirNextLTPro-Regular"/>
          <w:color w:val="231F20"/>
          <w:sz w:val="18"/>
          <w:szCs w:val="18"/>
        </w:rPr>
        <w:t>Index nonfatal opioid overdose was defined as a participant's first ambulance or hospital encounter for opioid</w:t>
      </w:r>
      <w:r>
        <w:rPr>
          <w:rFonts w:eastAsia="AvenirNextLTPro-Regular" w:cs="AvenirNextLTPro-Regular"/>
          <w:color w:val="231F20"/>
          <w:sz w:val="18"/>
          <w:szCs w:val="18"/>
        </w:rPr>
        <w:t xml:space="preserve"> </w:t>
      </w:r>
      <w:r w:rsidRPr="00E82A3F">
        <w:rPr>
          <w:rFonts w:eastAsia="AvenirNextLTPro-Regular" w:cs="AvenirNextLTPro-Regular"/>
          <w:color w:val="231F20"/>
          <w:sz w:val="18"/>
          <w:szCs w:val="18"/>
        </w:rPr>
        <w:t>overdose between January 2012 and December 2014 without death in the subsequent 30 d.</w:t>
      </w:r>
    </w:p>
    <w:p w:rsidR="005E70E9" w:rsidRDefault="005E70E9" w:rsidP="005E70E9">
      <w:pPr>
        <w:pStyle w:val="ListParagraph"/>
        <w:ind w:left="1080"/>
        <w:rPr>
          <w:rFonts w:eastAsia="AvenirNextLTPro-Regular" w:cs="AvenirNextLTPro-Regular"/>
          <w:color w:val="231F20"/>
          <w:sz w:val="18"/>
          <w:szCs w:val="18"/>
        </w:rPr>
      </w:pPr>
      <w:r w:rsidRPr="003A5D2A">
        <w:rPr>
          <w:rFonts w:eastAsia="AvenirNextLTPro-Regular" w:cs="AvenirNextLTPro-Regular" w:hint="eastAsia"/>
          <w:color w:val="231F20"/>
          <w:sz w:val="18"/>
          <w:szCs w:val="18"/>
        </w:rPr>
        <w:t>†</w:t>
      </w:r>
      <w:r w:rsidRPr="003A5D2A">
        <w:rPr>
          <w:rFonts w:eastAsia="AvenirNextLTPro-Regular" w:cs="AvenirNextLTPro-Regular"/>
          <w:color w:val="231F20"/>
          <w:sz w:val="18"/>
          <w:szCs w:val="18"/>
        </w:rPr>
        <w:t xml:space="preserve"> Participants received these diagnoses, medications, or services in </w:t>
      </w:r>
      <w:r w:rsidRPr="003A5D2A">
        <w:rPr>
          <w:rFonts w:eastAsia="AvenirNextLTPro-Regular" w:cs="AvenirNextLTPro-Regular" w:hint="eastAsia"/>
          <w:color w:val="231F20"/>
          <w:sz w:val="18"/>
          <w:szCs w:val="18"/>
        </w:rPr>
        <w:t>≥</w:t>
      </w:r>
      <w:r w:rsidRPr="003A5D2A">
        <w:rPr>
          <w:rFonts w:eastAsia="AvenirNextLTPro-Regular" w:cs="AvenirNextLTPro-Regular"/>
          <w:color w:val="231F20"/>
          <w:sz w:val="18"/>
          <w:szCs w:val="18"/>
        </w:rPr>
        <w:t>1 of the 12 mo</w:t>
      </w:r>
      <w:r>
        <w:rPr>
          <w:rFonts w:eastAsia="AvenirNextLTPro-Regular" w:cs="AvenirNextLTPro-Regular"/>
          <w:color w:val="231F20"/>
          <w:sz w:val="18"/>
          <w:szCs w:val="18"/>
        </w:rPr>
        <w:t>nths</w:t>
      </w:r>
      <w:r w:rsidRPr="003A5D2A">
        <w:rPr>
          <w:rFonts w:eastAsia="AvenirNextLTPro-Regular" w:cs="AvenirNextLTPro-Regular"/>
          <w:color w:val="231F20"/>
          <w:sz w:val="18"/>
          <w:szCs w:val="18"/>
        </w:rPr>
        <w:t xml:space="preserve"> preceding the index nonfatal opioid overdose.</w:t>
      </w:r>
    </w:p>
    <w:p w:rsidR="005E70E9" w:rsidRPr="00217830" w:rsidRDefault="005E70E9" w:rsidP="00217830">
      <w:pPr>
        <w:spacing w:after="120"/>
        <w:rPr>
          <w:rFonts w:cs="Times New Roman"/>
          <w:i/>
        </w:rPr>
      </w:pPr>
    </w:p>
    <w:p w:rsidR="00710F66" w:rsidRPr="00DA66E7" w:rsidRDefault="005E70E9" w:rsidP="00217830">
      <w:pPr>
        <w:pStyle w:val="ListParagraph"/>
        <w:numPr>
          <w:ilvl w:val="0"/>
          <w:numId w:val="5"/>
        </w:numPr>
        <w:autoSpaceDE w:val="0"/>
        <w:autoSpaceDN w:val="0"/>
        <w:adjustRightInd w:val="0"/>
        <w:spacing w:after="120" w:line="276" w:lineRule="auto"/>
        <w:rPr>
          <w:rFonts w:cs="Times New Roman"/>
        </w:rPr>
      </w:pPr>
      <w:r w:rsidRPr="00B81700">
        <w:rPr>
          <w:rFonts w:cs="Times New Roman"/>
        </w:rPr>
        <w:t xml:space="preserve">In the 12 months after the index overdose, 30% of participants received any </w:t>
      </w:r>
      <w:r w:rsidR="00E65E65">
        <w:rPr>
          <w:rFonts w:cs="Times New Roman"/>
        </w:rPr>
        <w:t>M</w:t>
      </w:r>
      <w:r w:rsidRPr="00B81700">
        <w:rPr>
          <w:rFonts w:cs="Times New Roman"/>
        </w:rPr>
        <w:t xml:space="preserve">OUD, 8% received </w:t>
      </w:r>
      <w:r>
        <w:rPr>
          <w:rFonts w:cs="Times New Roman"/>
        </w:rPr>
        <w:t>methadone maintenance treatment (</w:t>
      </w:r>
      <w:r w:rsidRPr="00B81700">
        <w:rPr>
          <w:rFonts w:cs="Times New Roman"/>
        </w:rPr>
        <w:t>MMT</w:t>
      </w:r>
      <w:r>
        <w:rPr>
          <w:rFonts w:cs="Times New Roman"/>
        </w:rPr>
        <w:t>)</w:t>
      </w:r>
      <w:r w:rsidRPr="00B81700">
        <w:rPr>
          <w:rFonts w:cs="Times New Roman"/>
        </w:rPr>
        <w:t>, 13% received buprenorphine,</w:t>
      </w:r>
      <w:r>
        <w:rPr>
          <w:rFonts w:cs="Times New Roman"/>
        </w:rPr>
        <w:t xml:space="preserve"> </w:t>
      </w:r>
      <w:r w:rsidRPr="00B81700">
        <w:rPr>
          <w:rFonts w:cs="Times New Roman"/>
        </w:rPr>
        <w:t xml:space="preserve">4% </w:t>
      </w:r>
      <w:r>
        <w:rPr>
          <w:rFonts w:cs="Times New Roman"/>
        </w:rPr>
        <w:t xml:space="preserve">received naltrexone, and </w:t>
      </w:r>
      <w:r w:rsidRPr="00B81700">
        <w:rPr>
          <w:rFonts w:cs="Times New Roman"/>
        </w:rPr>
        <w:t>5%</w:t>
      </w:r>
      <w:r>
        <w:rPr>
          <w:rFonts w:cs="Times New Roman"/>
        </w:rPr>
        <w:t xml:space="preserve"> </w:t>
      </w:r>
      <w:r w:rsidRPr="00B81700">
        <w:rPr>
          <w:rFonts w:cs="Times New Roman"/>
        </w:rPr>
        <w:t xml:space="preserve">received more than </w:t>
      </w:r>
      <w:r w:rsidR="00C95D25">
        <w:rPr>
          <w:rFonts w:cs="Times New Roman"/>
        </w:rPr>
        <w:t>1</w:t>
      </w:r>
      <w:r w:rsidRPr="00B81700">
        <w:rPr>
          <w:rFonts w:cs="Times New Roman"/>
        </w:rPr>
        <w:t xml:space="preserve"> MOUD</w:t>
      </w:r>
      <w:r w:rsidR="00F341D8">
        <w:rPr>
          <w:rFonts w:cs="Times New Roman"/>
        </w:rPr>
        <w:t xml:space="preserve"> (Figure </w:t>
      </w:r>
      <w:r w:rsidR="00E3738E">
        <w:rPr>
          <w:rFonts w:cs="Times New Roman"/>
        </w:rPr>
        <w:t>5</w:t>
      </w:r>
      <w:r w:rsidR="00A06D2B">
        <w:rPr>
          <w:rFonts w:cs="Times New Roman"/>
        </w:rPr>
        <w:t>1</w:t>
      </w:r>
      <w:r w:rsidR="00F341D8">
        <w:rPr>
          <w:rFonts w:cs="Times New Roman"/>
        </w:rPr>
        <w:t>).</w:t>
      </w:r>
    </w:p>
    <w:p w:rsidR="00B35C4D" w:rsidRPr="00E3738E" w:rsidRDefault="00E3738E" w:rsidP="00E3738E">
      <w:pPr>
        <w:pStyle w:val="Caption"/>
        <w:rPr>
          <w:rFonts w:cs="AvenirNextLTPro-Medium"/>
          <w:color w:val="auto"/>
          <w:sz w:val="22"/>
          <w:szCs w:val="22"/>
        </w:rPr>
      </w:pPr>
      <w:r w:rsidRPr="00E3738E">
        <w:rPr>
          <w:color w:val="auto"/>
          <w:sz w:val="22"/>
          <w:szCs w:val="22"/>
        </w:rPr>
        <w:lastRenderedPageBreak/>
        <w:t xml:space="preserve">Figure </w:t>
      </w:r>
      <w:r w:rsidRPr="00E3738E">
        <w:rPr>
          <w:color w:val="auto"/>
          <w:sz w:val="22"/>
          <w:szCs w:val="22"/>
        </w:rPr>
        <w:fldChar w:fldCharType="begin"/>
      </w:r>
      <w:r w:rsidRPr="00E3738E">
        <w:rPr>
          <w:color w:val="auto"/>
          <w:sz w:val="22"/>
          <w:szCs w:val="22"/>
        </w:rPr>
        <w:instrText xml:space="preserve"> SEQ Figure \* ARABIC </w:instrText>
      </w:r>
      <w:r w:rsidRPr="00E3738E">
        <w:rPr>
          <w:color w:val="auto"/>
          <w:sz w:val="22"/>
          <w:szCs w:val="22"/>
        </w:rPr>
        <w:fldChar w:fldCharType="separate"/>
      </w:r>
      <w:r w:rsidR="002B3BC3">
        <w:rPr>
          <w:noProof/>
          <w:color w:val="auto"/>
          <w:sz w:val="22"/>
          <w:szCs w:val="22"/>
        </w:rPr>
        <w:t>51</w:t>
      </w:r>
      <w:r w:rsidRPr="00E3738E">
        <w:rPr>
          <w:color w:val="auto"/>
          <w:sz w:val="22"/>
          <w:szCs w:val="22"/>
        </w:rPr>
        <w:fldChar w:fldCharType="end"/>
      </w:r>
      <w:r w:rsidRPr="00E3738E">
        <w:rPr>
          <w:color w:val="auto"/>
          <w:sz w:val="22"/>
          <w:szCs w:val="22"/>
        </w:rPr>
        <w:t xml:space="preserve">. </w:t>
      </w:r>
      <w:r w:rsidR="005E70E9" w:rsidRPr="00E3738E">
        <w:rPr>
          <w:bCs w:val="0"/>
          <w:color w:val="auto"/>
          <w:sz w:val="22"/>
          <w:szCs w:val="22"/>
        </w:rPr>
        <w:t>MOUDs in the 12 Months After Index Non</w:t>
      </w:r>
      <w:r w:rsidR="00504C23" w:rsidRPr="00E3738E">
        <w:rPr>
          <w:bCs w:val="0"/>
          <w:color w:val="auto"/>
          <w:sz w:val="22"/>
          <w:szCs w:val="22"/>
        </w:rPr>
        <w:t>-</w:t>
      </w:r>
      <w:r w:rsidR="00C95D25" w:rsidRPr="00E3738E">
        <w:rPr>
          <w:bCs w:val="0"/>
          <w:color w:val="auto"/>
          <w:sz w:val="22"/>
          <w:szCs w:val="22"/>
        </w:rPr>
        <w:t xml:space="preserve">Fatal </w:t>
      </w:r>
      <w:r w:rsidR="005E70E9" w:rsidRPr="00E3738E">
        <w:rPr>
          <w:bCs w:val="0"/>
          <w:color w:val="auto"/>
          <w:sz w:val="22"/>
          <w:szCs w:val="22"/>
        </w:rPr>
        <w:t>Opioid Overdose</w:t>
      </w:r>
      <w:r w:rsidR="003824C5" w:rsidRPr="00E3738E">
        <w:rPr>
          <w:rFonts w:cs="AvenirNextLTPro-Medium"/>
          <w:color w:val="auto"/>
          <w:sz w:val="22"/>
          <w:szCs w:val="22"/>
        </w:rPr>
        <w:t>, MA: 2012-2014</w:t>
      </w:r>
    </w:p>
    <w:p w:rsidR="00710F66" w:rsidRPr="00710F66" w:rsidRDefault="00710F66" w:rsidP="00710F66">
      <w:pPr>
        <w:autoSpaceDE w:val="0"/>
        <w:autoSpaceDN w:val="0"/>
        <w:adjustRightInd w:val="0"/>
        <w:ind w:left="360"/>
        <w:rPr>
          <w:b/>
        </w:rPr>
      </w:pPr>
    </w:p>
    <w:p w:rsidR="005E70E9" w:rsidRPr="00F3361D" w:rsidRDefault="00710F66" w:rsidP="00B517A8">
      <w:pPr>
        <w:pStyle w:val="ListParagraph"/>
        <w:autoSpaceDE w:val="0"/>
        <w:autoSpaceDN w:val="0"/>
        <w:adjustRightInd w:val="0"/>
        <w:spacing w:after="120"/>
        <w:ind w:left="360"/>
        <w:rPr>
          <w:rFonts w:cs="Times New Roman"/>
        </w:rPr>
      </w:pPr>
      <w:r>
        <w:rPr>
          <w:noProof/>
        </w:rPr>
        <w:drawing>
          <wp:inline distT="0" distB="0" distL="0" distR="0" wp14:anchorId="22A1856A" wp14:editId="2988058E">
            <wp:extent cx="5943600" cy="2397125"/>
            <wp:effectExtent l="0" t="0" r="0" b="3175"/>
            <wp:docPr id="164"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710F66" w:rsidRDefault="00710F66" w:rsidP="005E70E9">
      <w:pPr>
        <w:pStyle w:val="ListParagraph"/>
        <w:spacing w:after="120"/>
        <w:ind w:left="1080" w:hanging="360"/>
        <w:rPr>
          <w:rFonts w:cs="Times New Roman"/>
        </w:rPr>
      </w:pPr>
    </w:p>
    <w:p w:rsidR="005E70E9" w:rsidRPr="00710F66" w:rsidRDefault="00710F66" w:rsidP="00710F66">
      <w:pPr>
        <w:pStyle w:val="ListParagraph"/>
        <w:ind w:left="1080" w:hanging="360"/>
        <w:rPr>
          <w:rFonts w:cs="Times New Roman"/>
          <w:sz w:val="20"/>
          <w:szCs w:val="20"/>
        </w:rPr>
      </w:pPr>
      <w:r w:rsidRPr="00710F66">
        <w:rPr>
          <w:rFonts w:cs="Times New Roman"/>
          <w:sz w:val="20"/>
          <w:szCs w:val="20"/>
        </w:rPr>
        <w:t>MOUD=Medication for Opioid Use Disorder</w:t>
      </w:r>
    </w:p>
    <w:p w:rsidR="00DA66E7" w:rsidRPr="00D475DA" w:rsidRDefault="00DA66E7" w:rsidP="00B35C4D">
      <w:pPr>
        <w:spacing w:after="120"/>
        <w:rPr>
          <w:rFonts w:cs="Times New Roman"/>
          <w:i/>
          <w:sz w:val="18"/>
          <w:szCs w:val="18"/>
        </w:rPr>
      </w:pPr>
    </w:p>
    <w:p w:rsidR="00E65E65" w:rsidRDefault="00E65E65" w:rsidP="00E65E65">
      <w:pPr>
        <w:pStyle w:val="ListParagraph"/>
        <w:numPr>
          <w:ilvl w:val="0"/>
          <w:numId w:val="5"/>
        </w:numPr>
        <w:autoSpaceDE w:val="0"/>
        <w:autoSpaceDN w:val="0"/>
        <w:adjustRightInd w:val="0"/>
        <w:spacing w:after="120" w:line="276" w:lineRule="auto"/>
        <w:rPr>
          <w:rFonts w:cs="Times New Roman"/>
        </w:rPr>
      </w:pPr>
      <w:r w:rsidRPr="003E2EF7">
        <w:rPr>
          <w:rFonts w:cs="Times New Roman"/>
        </w:rPr>
        <w:t xml:space="preserve">Patients receiving MOUD </w:t>
      </w:r>
      <w:r>
        <w:rPr>
          <w:rFonts w:cs="Times New Roman"/>
        </w:rPr>
        <w:t>i</w:t>
      </w:r>
      <w:r w:rsidRPr="00B81700">
        <w:rPr>
          <w:rFonts w:cs="Times New Roman"/>
        </w:rPr>
        <w:t>n the 12 months after the index overdose</w:t>
      </w:r>
      <w:r w:rsidRPr="003E2EF7">
        <w:rPr>
          <w:rFonts w:cs="Times New Roman"/>
        </w:rPr>
        <w:t xml:space="preserve"> were more likely to be younger than 45 years, to have a diagnosis of anxiety or depression, and to have received detoxification treatment </w:t>
      </w:r>
      <w:r>
        <w:rPr>
          <w:rFonts w:cs="Times New Roman"/>
        </w:rPr>
        <w:t>in the past 12 months</w:t>
      </w:r>
      <w:r w:rsidRPr="00F3361D">
        <w:rPr>
          <w:rFonts w:cs="Times New Roman"/>
        </w:rPr>
        <w:t>.</w:t>
      </w:r>
    </w:p>
    <w:p w:rsidR="00E65E65" w:rsidRDefault="00E65E65" w:rsidP="006A4D9F">
      <w:pPr>
        <w:pStyle w:val="ListParagraph"/>
        <w:autoSpaceDE w:val="0"/>
        <w:autoSpaceDN w:val="0"/>
        <w:adjustRightInd w:val="0"/>
        <w:spacing w:after="120" w:line="276" w:lineRule="auto"/>
        <w:ind w:left="360"/>
        <w:rPr>
          <w:rFonts w:cs="Times New Roman"/>
        </w:rPr>
      </w:pPr>
    </w:p>
    <w:p w:rsidR="003E463D" w:rsidRDefault="005E70E9" w:rsidP="00217830">
      <w:pPr>
        <w:pStyle w:val="ListParagraph"/>
        <w:numPr>
          <w:ilvl w:val="0"/>
          <w:numId w:val="5"/>
        </w:numPr>
        <w:rPr>
          <w:rFonts w:cs="Times New Roman"/>
        </w:rPr>
      </w:pPr>
      <w:r>
        <w:rPr>
          <w:rFonts w:cs="Times New Roman"/>
        </w:rPr>
        <w:t>All</w:t>
      </w:r>
      <w:r w:rsidRPr="00FC5B72">
        <w:rPr>
          <w:rFonts w:cs="Times New Roman"/>
        </w:rPr>
        <w:t>-cause mortality at 12 months was 4.7 deaths per 100 person-years</w:t>
      </w:r>
      <w:r>
        <w:rPr>
          <w:rFonts w:cs="Times New Roman"/>
        </w:rPr>
        <w:t xml:space="preserve"> and </w:t>
      </w:r>
      <w:r w:rsidRPr="00B81700">
        <w:rPr>
          <w:rFonts w:cs="Times New Roman"/>
        </w:rPr>
        <w:t xml:space="preserve">for </w:t>
      </w:r>
      <w:r w:rsidR="00C95D25" w:rsidRPr="00B81700">
        <w:rPr>
          <w:rFonts w:cs="Times New Roman"/>
        </w:rPr>
        <w:t>opioid</w:t>
      </w:r>
      <w:r w:rsidR="00C95D25">
        <w:rPr>
          <w:rFonts w:cs="Times New Roman"/>
        </w:rPr>
        <w:t>-</w:t>
      </w:r>
      <w:r w:rsidRPr="00B81700">
        <w:rPr>
          <w:rFonts w:cs="Times New Roman"/>
        </w:rPr>
        <w:t>related mortality</w:t>
      </w:r>
      <w:r w:rsidRPr="00FC5B72">
        <w:rPr>
          <w:rFonts w:cs="Times New Roman"/>
        </w:rPr>
        <w:t xml:space="preserve"> </w:t>
      </w:r>
      <w:r>
        <w:rPr>
          <w:rFonts w:cs="Times New Roman"/>
        </w:rPr>
        <w:t xml:space="preserve">it was </w:t>
      </w:r>
      <w:r w:rsidR="00F341D8">
        <w:rPr>
          <w:rFonts w:cs="Times New Roman"/>
        </w:rPr>
        <w:t xml:space="preserve">2.1 deaths per 100 person-years (Figure </w:t>
      </w:r>
      <w:r w:rsidR="00E3738E">
        <w:rPr>
          <w:rFonts w:cs="Times New Roman"/>
        </w:rPr>
        <w:t>5</w:t>
      </w:r>
      <w:r w:rsidR="00A06D2B">
        <w:rPr>
          <w:rFonts w:cs="Times New Roman"/>
        </w:rPr>
        <w:t>2</w:t>
      </w:r>
      <w:r w:rsidR="00F341D8">
        <w:rPr>
          <w:rFonts w:cs="Times New Roman"/>
        </w:rPr>
        <w:t>).</w:t>
      </w:r>
    </w:p>
    <w:p w:rsidR="00DA66E7" w:rsidRPr="00DA66E7" w:rsidRDefault="00DA66E7" w:rsidP="00DA66E7">
      <w:pPr>
        <w:pStyle w:val="ListParagraph"/>
        <w:rPr>
          <w:rFonts w:cs="Times New Roman"/>
        </w:rPr>
      </w:pPr>
    </w:p>
    <w:p w:rsidR="003E463D" w:rsidRPr="003E463D" w:rsidRDefault="003E463D" w:rsidP="00217830">
      <w:pPr>
        <w:rPr>
          <w:rFonts w:cs="Times New Roman"/>
        </w:rPr>
      </w:pPr>
    </w:p>
    <w:p w:rsidR="00260ECA" w:rsidRPr="00075599" w:rsidRDefault="00E3738E" w:rsidP="00075599">
      <w:pPr>
        <w:pStyle w:val="Caption"/>
        <w:rPr>
          <w:rFonts w:cs="Times New Roman"/>
        </w:rPr>
      </w:pPr>
      <w:r w:rsidRPr="00E3738E">
        <w:rPr>
          <w:rFonts w:cs="Times New Roman"/>
          <w:bCs w:val="0"/>
          <w:color w:val="auto"/>
          <w:sz w:val="22"/>
          <w:szCs w:val="22"/>
        </w:rPr>
        <w:t xml:space="preserve">Figure </w:t>
      </w:r>
      <w:r w:rsidRPr="00E3738E">
        <w:rPr>
          <w:rFonts w:cs="Times New Roman"/>
          <w:bCs w:val="0"/>
          <w:color w:val="auto"/>
          <w:sz w:val="22"/>
          <w:szCs w:val="22"/>
        </w:rPr>
        <w:fldChar w:fldCharType="begin"/>
      </w:r>
      <w:r w:rsidRPr="00E3738E">
        <w:rPr>
          <w:rFonts w:cs="Times New Roman"/>
          <w:bCs w:val="0"/>
          <w:color w:val="auto"/>
          <w:sz w:val="22"/>
          <w:szCs w:val="22"/>
        </w:rPr>
        <w:instrText xml:space="preserve"> SEQ Figure \* ARABIC </w:instrText>
      </w:r>
      <w:r w:rsidRPr="00E3738E">
        <w:rPr>
          <w:rFonts w:cs="Times New Roman"/>
          <w:bCs w:val="0"/>
          <w:color w:val="auto"/>
          <w:sz w:val="22"/>
          <w:szCs w:val="22"/>
        </w:rPr>
        <w:fldChar w:fldCharType="separate"/>
      </w:r>
      <w:r w:rsidR="002B3BC3">
        <w:rPr>
          <w:rFonts w:cs="Times New Roman"/>
          <w:bCs w:val="0"/>
          <w:noProof/>
          <w:color w:val="auto"/>
          <w:sz w:val="22"/>
          <w:szCs w:val="22"/>
        </w:rPr>
        <w:t>52</w:t>
      </w:r>
      <w:r w:rsidRPr="00E3738E">
        <w:rPr>
          <w:rFonts w:cs="Times New Roman"/>
          <w:bCs w:val="0"/>
          <w:color w:val="auto"/>
          <w:sz w:val="22"/>
          <w:szCs w:val="22"/>
        </w:rPr>
        <w:fldChar w:fldCharType="end"/>
      </w:r>
      <w:r>
        <w:t xml:space="preserve">. </w:t>
      </w:r>
      <w:r w:rsidR="004E55B7" w:rsidRPr="0018551D">
        <w:rPr>
          <w:rFonts w:cs="Times New Roman"/>
          <w:bCs w:val="0"/>
          <w:color w:val="auto"/>
          <w:sz w:val="22"/>
          <w:szCs w:val="22"/>
        </w:rPr>
        <w:t>All-</w:t>
      </w:r>
      <w:r w:rsidR="003E463D">
        <w:rPr>
          <w:rFonts w:cs="Times New Roman"/>
          <w:bCs w:val="0"/>
          <w:color w:val="auto"/>
          <w:sz w:val="22"/>
          <w:szCs w:val="22"/>
        </w:rPr>
        <w:t>C</w:t>
      </w:r>
      <w:r w:rsidR="003E463D" w:rsidRPr="0018551D">
        <w:rPr>
          <w:rFonts w:cs="Times New Roman"/>
          <w:bCs w:val="0"/>
          <w:color w:val="auto"/>
          <w:sz w:val="22"/>
          <w:szCs w:val="22"/>
        </w:rPr>
        <w:t xml:space="preserve">ause </w:t>
      </w:r>
      <w:r w:rsidR="003E463D">
        <w:rPr>
          <w:rFonts w:cs="Times New Roman"/>
          <w:bCs w:val="0"/>
          <w:color w:val="auto"/>
          <w:sz w:val="22"/>
          <w:szCs w:val="22"/>
        </w:rPr>
        <w:t>M</w:t>
      </w:r>
      <w:r w:rsidR="003E463D" w:rsidRPr="0018551D">
        <w:rPr>
          <w:rFonts w:cs="Times New Roman"/>
          <w:bCs w:val="0"/>
          <w:color w:val="auto"/>
          <w:sz w:val="22"/>
          <w:szCs w:val="22"/>
        </w:rPr>
        <w:t xml:space="preserve">ortality </w:t>
      </w:r>
      <w:r w:rsidR="003E463D">
        <w:rPr>
          <w:rFonts w:cs="Times New Roman"/>
          <w:bCs w:val="0"/>
          <w:color w:val="auto"/>
          <w:sz w:val="22"/>
          <w:szCs w:val="22"/>
        </w:rPr>
        <w:t>R</w:t>
      </w:r>
      <w:r w:rsidR="003E463D" w:rsidRPr="0018551D">
        <w:rPr>
          <w:rFonts w:cs="Times New Roman"/>
          <w:bCs w:val="0"/>
          <w:color w:val="auto"/>
          <w:sz w:val="22"/>
          <w:szCs w:val="22"/>
        </w:rPr>
        <w:t xml:space="preserve">ate </w:t>
      </w:r>
      <w:r w:rsidR="004E55B7" w:rsidRPr="0018551D">
        <w:rPr>
          <w:rFonts w:cs="Times New Roman"/>
          <w:bCs w:val="0"/>
          <w:color w:val="auto"/>
          <w:sz w:val="22"/>
          <w:szCs w:val="22"/>
        </w:rPr>
        <w:t xml:space="preserve">and </w:t>
      </w:r>
      <w:r w:rsidR="003E463D">
        <w:rPr>
          <w:rFonts w:cs="Times New Roman"/>
          <w:bCs w:val="0"/>
          <w:color w:val="auto"/>
          <w:sz w:val="22"/>
          <w:szCs w:val="22"/>
        </w:rPr>
        <w:t>O</w:t>
      </w:r>
      <w:r w:rsidR="003E463D" w:rsidRPr="0018551D">
        <w:rPr>
          <w:rFonts w:cs="Times New Roman"/>
          <w:bCs w:val="0"/>
          <w:color w:val="auto"/>
          <w:sz w:val="22"/>
          <w:szCs w:val="22"/>
        </w:rPr>
        <w:t>pioid</w:t>
      </w:r>
      <w:r w:rsidR="004E55B7" w:rsidRPr="0018551D">
        <w:rPr>
          <w:rFonts w:cs="Times New Roman"/>
          <w:bCs w:val="0"/>
          <w:color w:val="auto"/>
          <w:sz w:val="22"/>
          <w:szCs w:val="22"/>
        </w:rPr>
        <w:t>-</w:t>
      </w:r>
      <w:r w:rsidR="003E463D">
        <w:rPr>
          <w:rFonts w:cs="Times New Roman"/>
          <w:bCs w:val="0"/>
          <w:color w:val="auto"/>
          <w:sz w:val="22"/>
          <w:szCs w:val="22"/>
        </w:rPr>
        <w:t>R</w:t>
      </w:r>
      <w:r w:rsidR="003E463D" w:rsidRPr="0018551D">
        <w:rPr>
          <w:rFonts w:cs="Times New Roman"/>
          <w:bCs w:val="0"/>
          <w:color w:val="auto"/>
          <w:sz w:val="22"/>
          <w:szCs w:val="22"/>
        </w:rPr>
        <w:t xml:space="preserve">elated </w:t>
      </w:r>
      <w:r w:rsidR="003E463D">
        <w:rPr>
          <w:rFonts w:cs="Times New Roman"/>
          <w:bCs w:val="0"/>
          <w:color w:val="auto"/>
          <w:sz w:val="22"/>
          <w:szCs w:val="22"/>
        </w:rPr>
        <w:t>M</w:t>
      </w:r>
      <w:r w:rsidR="003E463D" w:rsidRPr="0018551D">
        <w:rPr>
          <w:rFonts w:cs="Times New Roman"/>
          <w:bCs w:val="0"/>
          <w:color w:val="auto"/>
          <w:sz w:val="22"/>
          <w:szCs w:val="22"/>
        </w:rPr>
        <w:t xml:space="preserve">ortality </w:t>
      </w:r>
      <w:r w:rsidR="003E463D">
        <w:rPr>
          <w:rFonts w:cs="Times New Roman"/>
          <w:bCs w:val="0"/>
          <w:color w:val="auto"/>
          <w:sz w:val="22"/>
          <w:szCs w:val="22"/>
        </w:rPr>
        <w:t>R</w:t>
      </w:r>
      <w:r w:rsidR="004E55B7" w:rsidRPr="0018551D">
        <w:rPr>
          <w:rFonts w:cs="Times New Roman"/>
          <w:bCs w:val="0"/>
          <w:color w:val="auto"/>
          <w:sz w:val="22"/>
          <w:szCs w:val="22"/>
        </w:rPr>
        <w:t xml:space="preserve">ate for </w:t>
      </w:r>
      <w:r w:rsidR="003E463D">
        <w:rPr>
          <w:rFonts w:cs="Times New Roman"/>
          <w:bCs w:val="0"/>
          <w:color w:val="auto"/>
          <w:sz w:val="22"/>
          <w:szCs w:val="22"/>
        </w:rPr>
        <w:t>P</w:t>
      </w:r>
      <w:r w:rsidR="003E463D" w:rsidRPr="0018551D">
        <w:rPr>
          <w:rFonts w:cs="Times New Roman"/>
          <w:bCs w:val="0"/>
          <w:color w:val="auto"/>
          <w:sz w:val="22"/>
          <w:szCs w:val="22"/>
        </w:rPr>
        <w:t xml:space="preserve">atients </w:t>
      </w:r>
      <w:r w:rsidR="003E463D">
        <w:rPr>
          <w:rFonts w:cs="Times New Roman"/>
          <w:bCs w:val="0"/>
          <w:color w:val="auto"/>
          <w:sz w:val="22"/>
          <w:szCs w:val="22"/>
        </w:rPr>
        <w:t>O</w:t>
      </w:r>
      <w:r w:rsidR="003E463D" w:rsidRPr="0018551D">
        <w:rPr>
          <w:rFonts w:cs="Times New Roman"/>
          <w:bCs w:val="0"/>
          <w:color w:val="auto"/>
          <w:sz w:val="22"/>
          <w:szCs w:val="22"/>
        </w:rPr>
        <w:t xml:space="preserve">ne </w:t>
      </w:r>
      <w:r w:rsidR="003E463D">
        <w:rPr>
          <w:rFonts w:cs="Times New Roman"/>
          <w:bCs w:val="0"/>
          <w:color w:val="auto"/>
          <w:sz w:val="22"/>
          <w:szCs w:val="22"/>
        </w:rPr>
        <w:t>Year Following Opioid Overdose</w:t>
      </w:r>
      <w:r w:rsidR="0057008D">
        <w:rPr>
          <w:rFonts w:cs="Times New Roman"/>
          <w:bCs w:val="0"/>
          <w:color w:val="auto"/>
          <w:sz w:val="22"/>
          <w:szCs w:val="22"/>
        </w:rPr>
        <w:t>, MA: 2012-2014</w:t>
      </w:r>
      <w:r w:rsidR="00710F66" w:rsidRPr="00710F66">
        <w:rPr>
          <w:noProof/>
        </w:rPr>
        <w:t xml:space="preserve"> </w:t>
      </w:r>
      <w:r w:rsidR="00075599">
        <w:rPr>
          <w:noProof/>
        </w:rPr>
        <w:drawing>
          <wp:inline distT="0" distB="0" distL="0" distR="0" wp14:anchorId="6249EE74" wp14:editId="494DB820">
            <wp:extent cx="5943600" cy="2698115"/>
            <wp:effectExtent l="0" t="0" r="0" b="698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5E70E9" w:rsidRPr="00264F2D" w:rsidRDefault="005E70E9" w:rsidP="00A06D2B">
      <w:pPr>
        <w:pStyle w:val="ListParagraph"/>
        <w:numPr>
          <w:ilvl w:val="0"/>
          <w:numId w:val="5"/>
        </w:numPr>
        <w:spacing w:after="200" w:line="276" w:lineRule="auto"/>
        <w:rPr>
          <w:rFonts w:cs="Times New Roman"/>
        </w:rPr>
      </w:pPr>
      <w:r>
        <w:rPr>
          <w:rFonts w:cs="Times New Roman"/>
        </w:rPr>
        <w:lastRenderedPageBreak/>
        <w:t>C</w:t>
      </w:r>
      <w:r w:rsidRPr="005C54A9">
        <w:rPr>
          <w:rFonts w:cs="Times New Roman"/>
        </w:rPr>
        <w:t>ompared with no MOUD, MMT was associated with decreased all-cause mortality (adjusted hazard ratio [AHR], 0.47 [CI, 0.32 to 0.71]) and opioid-related mortality (AHR, 0.41 [CI, 0.24 to 0.70]).</w:t>
      </w:r>
      <w:r w:rsidR="00C95D25">
        <w:rPr>
          <w:rFonts w:cs="Times New Roman"/>
        </w:rPr>
        <w:t xml:space="preserve"> </w:t>
      </w:r>
      <w:r w:rsidRPr="005C54A9">
        <w:rPr>
          <w:rFonts w:cs="Times New Roman"/>
        </w:rPr>
        <w:t>Buprenorphine was associated with decreased all-cause mortality (AHR, 0.63 [CI, 0.46 to 0.87]) and opioid-related mortality (AHR, 0.62 [CI, 0.41 to 0.92]). No associations between naltrexone and all-cause mortality (AHR, 1.44 [CI, 0.84 to 2.46]) or opioid-related mortality (AHR, 1.42 [CI,</w:t>
      </w:r>
      <w:r w:rsidR="00F341D8">
        <w:rPr>
          <w:rFonts w:cs="Times New Roman"/>
        </w:rPr>
        <w:t xml:space="preserve"> 0.73 to 2.79]) were identified (Figure </w:t>
      </w:r>
      <w:r w:rsidR="00E3738E">
        <w:rPr>
          <w:rFonts w:cs="Times New Roman"/>
        </w:rPr>
        <w:t>5</w:t>
      </w:r>
      <w:r w:rsidR="00A06D2B">
        <w:rPr>
          <w:rFonts w:cs="Times New Roman"/>
        </w:rPr>
        <w:t>3</w:t>
      </w:r>
      <w:r w:rsidR="00F341D8">
        <w:rPr>
          <w:rFonts w:cs="Times New Roman"/>
        </w:rPr>
        <w:t>).</w:t>
      </w:r>
    </w:p>
    <w:p w:rsidR="005E70E9" w:rsidRDefault="005E70E9" w:rsidP="00217830">
      <w:pPr>
        <w:pStyle w:val="ListParagraph"/>
        <w:ind w:left="1080"/>
        <w:rPr>
          <w:rFonts w:cs="Times New Roman"/>
        </w:rPr>
      </w:pPr>
    </w:p>
    <w:p w:rsidR="005E70E9" w:rsidRPr="00B35C4D" w:rsidRDefault="00E3738E" w:rsidP="00E3738E">
      <w:pPr>
        <w:pStyle w:val="Caption"/>
        <w:rPr>
          <w:b w:val="0"/>
        </w:rPr>
      </w:pPr>
      <w:r w:rsidRPr="00E3738E">
        <w:rPr>
          <w:rFonts w:cs="Times New Roman"/>
          <w:bCs w:val="0"/>
          <w:color w:val="auto"/>
          <w:sz w:val="22"/>
          <w:szCs w:val="22"/>
        </w:rPr>
        <w:t xml:space="preserve">Figure </w:t>
      </w:r>
      <w:r w:rsidRPr="00E3738E">
        <w:rPr>
          <w:rFonts w:cs="Times New Roman"/>
          <w:bCs w:val="0"/>
          <w:color w:val="auto"/>
          <w:sz w:val="22"/>
          <w:szCs w:val="22"/>
        </w:rPr>
        <w:fldChar w:fldCharType="begin"/>
      </w:r>
      <w:r w:rsidRPr="00E3738E">
        <w:rPr>
          <w:rFonts w:cs="Times New Roman"/>
          <w:bCs w:val="0"/>
          <w:color w:val="auto"/>
          <w:sz w:val="22"/>
          <w:szCs w:val="22"/>
        </w:rPr>
        <w:instrText xml:space="preserve"> SEQ Figure \* ARABIC </w:instrText>
      </w:r>
      <w:r w:rsidRPr="00E3738E">
        <w:rPr>
          <w:rFonts w:cs="Times New Roman"/>
          <w:bCs w:val="0"/>
          <w:color w:val="auto"/>
          <w:sz w:val="22"/>
          <w:szCs w:val="22"/>
        </w:rPr>
        <w:fldChar w:fldCharType="separate"/>
      </w:r>
      <w:r w:rsidR="002B3BC3">
        <w:rPr>
          <w:rFonts w:cs="Times New Roman"/>
          <w:bCs w:val="0"/>
          <w:noProof/>
          <w:color w:val="auto"/>
          <w:sz w:val="22"/>
          <w:szCs w:val="22"/>
        </w:rPr>
        <w:t>53</w:t>
      </w:r>
      <w:r w:rsidRPr="00E3738E">
        <w:rPr>
          <w:rFonts w:cs="Times New Roman"/>
          <w:bCs w:val="0"/>
          <w:color w:val="auto"/>
          <w:sz w:val="22"/>
          <w:szCs w:val="22"/>
        </w:rPr>
        <w:fldChar w:fldCharType="end"/>
      </w:r>
      <w:r w:rsidRPr="00E3738E">
        <w:rPr>
          <w:rFonts w:cs="Times New Roman"/>
          <w:bCs w:val="0"/>
          <w:color w:val="auto"/>
          <w:sz w:val="22"/>
          <w:szCs w:val="22"/>
        </w:rPr>
        <w:t>.</w:t>
      </w:r>
      <w:r>
        <w:t xml:space="preserve"> </w:t>
      </w:r>
      <w:r w:rsidR="005E70E9" w:rsidRPr="004E5FB7">
        <w:rPr>
          <w:rFonts w:cs="Times New Roman"/>
          <w:bCs w:val="0"/>
          <w:color w:val="auto"/>
          <w:sz w:val="22"/>
          <w:szCs w:val="22"/>
        </w:rPr>
        <w:t xml:space="preserve">Receipt Reduction in </w:t>
      </w:r>
      <w:r w:rsidR="00C95D25">
        <w:rPr>
          <w:rFonts w:cs="Times New Roman"/>
          <w:bCs w:val="0"/>
          <w:color w:val="auto"/>
          <w:sz w:val="22"/>
          <w:szCs w:val="22"/>
        </w:rPr>
        <w:t>M</w:t>
      </w:r>
      <w:r w:rsidR="00C95D25" w:rsidRPr="004E5FB7">
        <w:rPr>
          <w:rFonts w:cs="Times New Roman"/>
          <w:bCs w:val="0"/>
          <w:color w:val="auto"/>
          <w:sz w:val="22"/>
          <w:szCs w:val="22"/>
        </w:rPr>
        <w:t xml:space="preserve">ortality </w:t>
      </w:r>
      <w:r w:rsidR="005E70E9" w:rsidRPr="004E5FB7">
        <w:rPr>
          <w:rFonts w:cs="Times New Roman"/>
          <w:bCs w:val="0"/>
          <w:color w:val="auto"/>
          <w:sz w:val="22"/>
          <w:szCs w:val="22"/>
        </w:rPr>
        <w:t xml:space="preserve">by </w:t>
      </w:r>
      <w:r w:rsidR="00C95D25">
        <w:rPr>
          <w:rFonts w:cs="Times New Roman"/>
          <w:bCs w:val="0"/>
          <w:color w:val="auto"/>
          <w:sz w:val="22"/>
          <w:szCs w:val="22"/>
        </w:rPr>
        <w:t>R</w:t>
      </w:r>
      <w:r w:rsidR="00C95D25" w:rsidRPr="004E5FB7">
        <w:rPr>
          <w:rFonts w:cs="Times New Roman"/>
          <w:bCs w:val="0"/>
          <w:color w:val="auto"/>
          <w:sz w:val="22"/>
          <w:szCs w:val="22"/>
        </w:rPr>
        <w:t xml:space="preserve">eceipt </w:t>
      </w:r>
      <w:r w:rsidR="005E70E9" w:rsidRPr="004E5FB7">
        <w:rPr>
          <w:rFonts w:cs="Times New Roman"/>
          <w:bCs w:val="0"/>
          <w:color w:val="auto"/>
          <w:sz w:val="22"/>
          <w:szCs w:val="22"/>
        </w:rPr>
        <w:t xml:space="preserve">of </w:t>
      </w:r>
      <w:r w:rsidR="00C95D25">
        <w:rPr>
          <w:rFonts w:cs="Times New Roman"/>
          <w:bCs w:val="0"/>
          <w:color w:val="auto"/>
          <w:sz w:val="22"/>
          <w:szCs w:val="22"/>
        </w:rPr>
        <w:t>T</w:t>
      </w:r>
      <w:r w:rsidR="00C95D25" w:rsidRPr="004E5FB7">
        <w:rPr>
          <w:rFonts w:cs="Times New Roman"/>
          <w:bCs w:val="0"/>
          <w:color w:val="auto"/>
          <w:sz w:val="22"/>
          <w:szCs w:val="22"/>
        </w:rPr>
        <w:t>reatment</w:t>
      </w:r>
      <w:r w:rsidR="0057008D">
        <w:rPr>
          <w:rFonts w:cs="Times New Roman"/>
          <w:bCs w:val="0"/>
          <w:color w:val="auto"/>
          <w:sz w:val="22"/>
          <w:szCs w:val="22"/>
        </w:rPr>
        <w:t>, MA: 2012-2014</w:t>
      </w:r>
    </w:p>
    <w:p w:rsidR="005E70E9" w:rsidRDefault="00075599" w:rsidP="005E70E9">
      <w:pPr>
        <w:spacing w:after="120"/>
        <w:rPr>
          <w:rFonts w:cs="Times New Roman"/>
        </w:rPr>
      </w:pPr>
      <w:r>
        <w:rPr>
          <w:noProof/>
        </w:rPr>
        <w:drawing>
          <wp:inline distT="0" distB="0" distL="0" distR="0" wp14:anchorId="459D7140" wp14:editId="440E84FC">
            <wp:extent cx="5943600" cy="250126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710F66" w:rsidRDefault="00710F66" w:rsidP="00710F66">
      <w:pPr>
        <w:pStyle w:val="ListParagraph"/>
        <w:ind w:left="1080" w:hanging="360"/>
        <w:rPr>
          <w:rFonts w:cs="Times New Roman"/>
          <w:sz w:val="20"/>
          <w:szCs w:val="20"/>
        </w:rPr>
      </w:pPr>
    </w:p>
    <w:bookmarkEnd w:id="3"/>
    <w:p w:rsidR="00B517A8" w:rsidRPr="003560A6" w:rsidRDefault="00B517A8" w:rsidP="003560A6">
      <w:pPr>
        <w:pStyle w:val="ListParagraph"/>
        <w:ind w:left="1080" w:hanging="360"/>
        <w:rPr>
          <w:rFonts w:cs="Times New Roman"/>
          <w:sz w:val="20"/>
          <w:szCs w:val="20"/>
        </w:rPr>
      </w:pPr>
    </w:p>
    <w:sectPr w:rsidR="00B517A8" w:rsidRPr="003560A6">
      <w:headerReference w:type="default" r:id="rId84"/>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7E" w:rsidRDefault="00A5727E" w:rsidP="00930639">
      <w:r>
        <w:separator/>
      </w:r>
    </w:p>
  </w:endnote>
  <w:endnote w:type="continuationSeparator" w:id="0">
    <w:p w:rsidR="00A5727E" w:rsidRDefault="00A5727E" w:rsidP="0093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vOT596495f2">
    <w:altName w:val="Cambria"/>
    <w:panose1 w:val="00000000000000000000"/>
    <w:charset w:val="00"/>
    <w:family w:val="roman"/>
    <w:notTrueType/>
    <w:pitch w:val="default"/>
    <w:sig w:usb0="00000003" w:usb1="00000000" w:usb2="00000000" w:usb3="00000000" w:csb0="00000001" w:csb1="00000000"/>
  </w:font>
  <w:font w:name="AdvOT7fb33346.I">
    <w:panose1 w:val="00000000000000000000"/>
    <w:charset w:val="00"/>
    <w:family w:val="roman"/>
    <w:notTrueType/>
    <w:pitch w:val="default"/>
    <w:sig w:usb0="00000003" w:usb1="00000000" w:usb2="00000000" w:usb3="00000000" w:csb0="00000001" w:csb1="00000000"/>
  </w:font>
  <w:font w:name="AdvOT596495f2+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dvOTe1080306.I">
    <w:panose1 w:val="00000000000000000000"/>
    <w:charset w:val="00"/>
    <w:family w:val="roman"/>
    <w:notTrueType/>
    <w:pitch w:val="default"/>
    <w:sig w:usb0="00000003" w:usb1="00000000" w:usb2="00000000" w:usb3="00000000" w:csb0="00000001" w:csb1="00000000"/>
  </w:font>
  <w:font w:name="AdvPSA538">
    <w:panose1 w:val="00000000000000000000"/>
    <w:charset w:val="00"/>
    <w:family w:val="roman"/>
    <w:notTrueType/>
    <w:pitch w:val="default"/>
    <w:sig w:usb0="00000003" w:usb1="00000000" w:usb2="00000000" w:usb3="00000000" w:csb0="00000001" w:csb1="00000000"/>
  </w:font>
  <w:font w:name="AdvPS8C2A">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dvOTa54b5d5d">
    <w:altName w:val="Cambria"/>
    <w:panose1 w:val="00000000000000000000"/>
    <w:charset w:val="00"/>
    <w:family w:val="roman"/>
    <w:notTrueType/>
    <w:pitch w:val="default"/>
    <w:sig w:usb0="00000003" w:usb1="00000000" w:usb2="00000000" w:usb3="00000000" w:csb0="00000001" w:csb1="00000000"/>
  </w:font>
  <w:font w:name="AdvOTa54b5d5d+20">
    <w:panose1 w:val="00000000000000000000"/>
    <w:charset w:val="00"/>
    <w:family w:val="swiss"/>
    <w:notTrueType/>
    <w:pitch w:val="default"/>
    <w:sig w:usb0="00000003" w:usb1="00000000" w:usb2="00000000" w:usb3="00000000" w:csb0="00000001" w:csb1="00000000"/>
  </w:font>
  <w:font w:name="CharisSIL">
    <w:panose1 w:val="00000000000000000000"/>
    <w:charset w:val="00"/>
    <w:family w:val="auto"/>
    <w:notTrueType/>
    <w:pitch w:val="default"/>
    <w:sig w:usb0="00000003" w:usb1="00000000" w:usb2="00000000" w:usb3="00000000" w:csb0="00000001" w:csb1="00000000"/>
  </w:font>
  <w:font w:name="LvdrbbAdvTTb8864ccf.B">
    <w:altName w:val="Cambria"/>
    <w:panose1 w:val="00000000000000000000"/>
    <w:charset w:val="00"/>
    <w:family w:val="roman"/>
    <w:notTrueType/>
    <w:pitch w:val="default"/>
    <w:sig w:usb0="00000003" w:usb1="00000000" w:usb2="00000000" w:usb3="00000000" w:csb0="00000001" w:csb1="00000000"/>
  </w:font>
  <w:font w:name="AdvTTc7ad1622">
    <w:panose1 w:val="00000000000000000000"/>
    <w:charset w:val="00"/>
    <w:family w:val="roman"/>
    <w:notTrueType/>
    <w:pitch w:val="default"/>
    <w:sig w:usb0="00000003" w:usb1="00000000" w:usb2="00000000" w:usb3="00000000" w:csb0="00000001" w:csb1="00000000"/>
  </w:font>
  <w:font w:name="AdvTT17891b3d.I">
    <w:panose1 w:val="00000000000000000000"/>
    <w:charset w:val="00"/>
    <w:family w:val="swiss"/>
    <w:notTrueType/>
    <w:pitch w:val="default"/>
    <w:sig w:usb0="00000003" w:usb1="00000000" w:usb2="00000000" w:usb3="00000000" w:csb0="00000001" w:csb1="00000000"/>
  </w:font>
  <w:font w:name="DINOT-Medium">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ckvwpAdvTT73efd071">
    <w:panose1 w:val="00000000000000000000"/>
    <w:charset w:val="00"/>
    <w:family w:val="roman"/>
    <w:notTrueType/>
    <w:pitch w:val="default"/>
    <w:sig w:usb0="00000003" w:usb1="00000000" w:usb2="00000000" w:usb3="00000000" w:csb0="00000001" w:csb1="00000000"/>
  </w:font>
  <w:font w:name="GdjdcdAdvTT92610610.B">
    <w:panose1 w:val="00000000000000000000"/>
    <w:charset w:val="00"/>
    <w:family w:val="roman"/>
    <w:notTrueType/>
    <w:pitch w:val="default"/>
    <w:sig w:usb0="00000003" w:usb1="00000000" w:usb2="00000000" w:usb3="00000000" w:csb0="00000001" w:csb1="00000000"/>
  </w:font>
  <w:font w:name="ChtklcAdvTT73efd071+20">
    <w:panose1 w:val="00000000000000000000"/>
    <w:charset w:val="00"/>
    <w:family w:val="swiss"/>
    <w:notTrueType/>
    <w:pitch w:val="default"/>
    <w:sig w:usb0="00000003" w:usb1="00000000" w:usb2="00000000" w:usb3="00000000" w:csb0="00000001" w:csb1="00000000"/>
  </w:font>
  <w:font w:name="DgcryqAdvTT3713a231">
    <w:altName w:val="Cambria"/>
    <w:panose1 w:val="00000000000000000000"/>
    <w:charset w:val="00"/>
    <w:family w:val="roman"/>
    <w:notTrueType/>
    <w:pitch w:val="default"/>
    <w:sig w:usb0="00000003" w:usb1="00000000" w:usb2="00000000" w:usb3="00000000" w:csb0="00000001" w:csb1="00000000"/>
  </w:font>
  <w:font w:name="DttsgfAdvTT3713a231+22">
    <w:panose1 w:val="00000000000000000000"/>
    <w:charset w:val="00"/>
    <w:family w:val="auto"/>
    <w:notTrueType/>
    <w:pitch w:val="default"/>
    <w:sig w:usb0="00000003" w:usb1="00000000" w:usb2="00000000" w:usb3="00000000" w:csb0="00000001" w:csb1="00000000"/>
  </w:font>
  <w:font w:name="SnnqqpAdvTT50a2f13e.I">
    <w:panose1 w:val="00000000000000000000"/>
    <w:charset w:val="00"/>
    <w:family w:val="roman"/>
    <w:notTrueType/>
    <w:pitch w:val="default"/>
    <w:sig w:usb0="00000003" w:usb1="00000000" w:usb2="00000000" w:usb3="00000000" w:csb0="00000001" w:csb1="00000000"/>
  </w:font>
  <w:font w:name="FyxpdwAdvTT50a2f13e.I+20">
    <w:panose1 w:val="00000000000000000000"/>
    <w:charset w:val="00"/>
    <w:family w:val="swiss"/>
    <w:notTrueType/>
    <w:pitch w:val="default"/>
    <w:sig w:usb0="00000003" w:usb1="00000000" w:usb2="00000000" w:usb3="00000000" w:csb0="00000001" w:csb1="00000000"/>
  </w:font>
  <w:font w:name="AvenirNextLTPro-Medium">
    <w:panose1 w:val="00000000000000000000"/>
    <w:charset w:val="00"/>
    <w:family w:val="auto"/>
    <w:notTrueType/>
    <w:pitch w:val="default"/>
    <w:sig w:usb0="00000003" w:usb1="00000000" w:usb2="00000000" w:usb3="00000000" w:csb0="00000001" w:csb1="00000000"/>
  </w:font>
  <w:font w:name="AvenirNextLTPro-Bold">
    <w:altName w:val="Calibri"/>
    <w:panose1 w:val="00000000000000000000"/>
    <w:charset w:val="00"/>
    <w:family w:val="auto"/>
    <w:notTrueType/>
    <w:pitch w:val="default"/>
    <w:sig w:usb0="00000003" w:usb1="00000000" w:usb2="00000000" w:usb3="00000000" w:csb0="00000001" w:csb1="00000000"/>
  </w:font>
  <w:font w:name="AvenirNextLTPro-Regula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084009"/>
      <w:docPartObj>
        <w:docPartGallery w:val="Page Numbers (Bottom of Page)"/>
        <w:docPartUnique/>
      </w:docPartObj>
    </w:sdtPr>
    <w:sdtEndPr>
      <w:rPr>
        <w:noProof/>
      </w:rPr>
    </w:sdtEndPr>
    <w:sdtContent>
      <w:p w:rsidR="00A5727E" w:rsidRDefault="00A5727E">
        <w:pPr>
          <w:pStyle w:val="Footer"/>
          <w:jc w:val="right"/>
        </w:pPr>
        <w:r>
          <w:fldChar w:fldCharType="begin"/>
        </w:r>
        <w:r>
          <w:instrText xml:space="preserve"> PAGE   \* MERGEFORMAT </w:instrText>
        </w:r>
        <w:r>
          <w:fldChar w:fldCharType="separate"/>
        </w:r>
        <w:r w:rsidR="008030D6">
          <w:rPr>
            <w:noProof/>
          </w:rPr>
          <w:t>1</w:t>
        </w:r>
        <w:r>
          <w:rPr>
            <w:noProof/>
          </w:rPr>
          <w:fldChar w:fldCharType="end"/>
        </w:r>
      </w:p>
    </w:sdtContent>
  </w:sdt>
  <w:p w:rsidR="00A5727E" w:rsidRDefault="00A57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7E" w:rsidRDefault="00A5727E" w:rsidP="00930639">
      <w:r>
        <w:separator/>
      </w:r>
    </w:p>
  </w:footnote>
  <w:footnote w:type="continuationSeparator" w:id="0">
    <w:p w:rsidR="00A5727E" w:rsidRDefault="00A5727E" w:rsidP="00930639">
      <w:r>
        <w:continuationSeparator/>
      </w:r>
    </w:p>
  </w:footnote>
  <w:footnote w:id="1">
    <w:p w:rsidR="00617750" w:rsidRPr="00593047" w:rsidRDefault="00617750" w:rsidP="00617750">
      <w:pPr>
        <w:pStyle w:val="FootnoteText"/>
        <w:rPr>
          <w:rFonts w:asciiTheme="minorHAnsi" w:hAnsiTheme="minorHAnsi"/>
          <w:sz w:val="18"/>
          <w:szCs w:val="18"/>
        </w:rPr>
      </w:pPr>
      <w:r w:rsidRPr="005F44D7">
        <w:rPr>
          <w:rStyle w:val="FootnoteReference"/>
        </w:rPr>
        <w:footnoteRef/>
      </w:r>
      <w:r w:rsidRPr="00593047">
        <w:rPr>
          <w:rFonts w:asciiTheme="minorHAnsi" w:hAnsiTheme="minorHAnsi"/>
          <w:sz w:val="18"/>
          <w:szCs w:val="18"/>
        </w:rPr>
        <w:t xml:space="preserve"> </w:t>
      </w:r>
      <w:r w:rsidRPr="00593047">
        <w:rPr>
          <w:rFonts w:asciiTheme="minorHAnsi" w:hAnsiTheme="minorHAnsi"/>
          <w:noProof/>
          <w:sz w:val="18"/>
          <w:szCs w:val="18"/>
        </w:rPr>
        <w:t>Behavioral health trends in the United States: Results from the 2014 National Survey on Drug Use and Health. Substance Abuse and Mental Health Services Administration; 2015.</w:t>
      </w:r>
    </w:p>
  </w:footnote>
  <w:footnote w:id="2">
    <w:p w:rsidR="00617750" w:rsidRPr="00593047" w:rsidRDefault="00617750" w:rsidP="00617750">
      <w:pPr>
        <w:pStyle w:val="FootnoteText"/>
        <w:rPr>
          <w:rFonts w:asciiTheme="minorHAnsi" w:hAnsiTheme="minorHAnsi"/>
          <w:sz w:val="18"/>
          <w:szCs w:val="18"/>
        </w:rPr>
      </w:pPr>
      <w:r w:rsidRPr="005F44D7">
        <w:rPr>
          <w:rStyle w:val="FootnoteReference"/>
        </w:rPr>
        <w:footnoteRef/>
      </w:r>
      <w:r w:rsidRPr="00593047">
        <w:rPr>
          <w:rFonts w:asciiTheme="minorHAnsi" w:hAnsiTheme="minorHAnsi"/>
          <w:sz w:val="18"/>
          <w:szCs w:val="18"/>
        </w:rPr>
        <w:t xml:space="preserve"> </w:t>
      </w:r>
      <w:r w:rsidRPr="00593047">
        <w:rPr>
          <w:rFonts w:asciiTheme="minorHAnsi" w:hAnsiTheme="minorHAnsi"/>
          <w:noProof/>
          <w:sz w:val="18"/>
          <w:szCs w:val="18"/>
        </w:rPr>
        <w:t>Rudd RA, Aleshire N, Zibbell JE, Gladden RM. Increases in Drug and Opioid Overdose Deaths--United States, 2000-2014. MMWR Morb Mortal Wkly Rep. 2016;64(50-51):1378-82.</w:t>
      </w:r>
    </w:p>
  </w:footnote>
  <w:footnote w:id="3">
    <w:p w:rsidR="00617750" w:rsidRPr="00A341B2" w:rsidRDefault="00617750" w:rsidP="00617750">
      <w:pPr>
        <w:pStyle w:val="EndNoteBibliography"/>
        <w:spacing w:line="240" w:lineRule="auto"/>
        <w:rPr>
          <w:rFonts w:asciiTheme="minorHAnsi" w:hAnsiTheme="minorHAnsi" w:cs="Arial"/>
          <w:noProof/>
          <w:sz w:val="18"/>
          <w:szCs w:val="18"/>
        </w:rPr>
      </w:pPr>
      <w:r w:rsidRPr="005F44D7">
        <w:rPr>
          <w:rStyle w:val="FootnoteReference"/>
        </w:rPr>
        <w:footnoteRef/>
      </w:r>
      <w:r w:rsidRPr="00186746">
        <w:rPr>
          <w:rFonts w:asciiTheme="minorHAnsi" w:hAnsiTheme="minorHAnsi"/>
          <w:sz w:val="18"/>
          <w:szCs w:val="18"/>
        </w:rPr>
        <w:t xml:space="preserve"> </w:t>
      </w:r>
      <w:r w:rsidRPr="00186746">
        <w:rPr>
          <w:rFonts w:asciiTheme="minorHAnsi" w:hAnsiTheme="minorHAnsi" w:cs="Arial"/>
          <w:noProof/>
          <w:sz w:val="18"/>
          <w:szCs w:val="18"/>
        </w:rPr>
        <w:t>Data Brief: An Assessment of Opioid-Related Deaths in Massachusetts 2013-2014. Massachusetts Department of Public Health; 2016.</w:t>
      </w:r>
    </w:p>
  </w:footnote>
  <w:footnote w:id="4">
    <w:p w:rsidR="00617750" w:rsidRPr="00773916" w:rsidRDefault="00617750" w:rsidP="00617750">
      <w:pPr>
        <w:pStyle w:val="FootnoteText"/>
        <w:rPr>
          <w:rFonts w:asciiTheme="minorHAnsi" w:hAnsiTheme="minorHAnsi"/>
          <w:sz w:val="18"/>
          <w:szCs w:val="18"/>
        </w:rPr>
      </w:pPr>
      <w:r w:rsidRPr="005F44D7">
        <w:rPr>
          <w:rStyle w:val="FootnoteReference"/>
        </w:rPr>
        <w:footnoteRef/>
      </w:r>
      <w:r w:rsidRPr="00773916">
        <w:rPr>
          <w:rFonts w:asciiTheme="minorHAnsi" w:hAnsiTheme="minorHAnsi"/>
          <w:sz w:val="18"/>
          <w:szCs w:val="18"/>
        </w:rPr>
        <w:t xml:space="preserve"> </w:t>
      </w:r>
      <w:hyperlink r:id="rId1" w:history="1">
        <w:r w:rsidRPr="00773916">
          <w:rPr>
            <w:rStyle w:val="Hyperlink"/>
            <w:rFonts w:asciiTheme="minorHAnsi" w:hAnsiTheme="minorHAnsi"/>
            <w:color w:val="auto"/>
            <w:sz w:val="18"/>
            <w:szCs w:val="18"/>
          </w:rPr>
          <w:t>https://www.mass.gov/lists/current-opioid-statistics</w:t>
        </w:r>
      </w:hyperlink>
      <w:r>
        <w:rPr>
          <w:rFonts w:asciiTheme="minorHAnsi" w:hAnsiTheme="minorHAnsi"/>
          <w:sz w:val="18"/>
          <w:szCs w:val="18"/>
        </w:rPr>
        <w:t>.</w:t>
      </w:r>
    </w:p>
  </w:footnote>
  <w:footnote w:id="5">
    <w:p w:rsidR="00617750" w:rsidRPr="00773916" w:rsidRDefault="00617750" w:rsidP="00617750">
      <w:pPr>
        <w:pStyle w:val="FootnoteText"/>
      </w:pPr>
      <w:r w:rsidRPr="005F44D7">
        <w:rPr>
          <w:rStyle w:val="FootnoteReference"/>
        </w:rPr>
        <w:footnoteRef/>
      </w:r>
      <w:r w:rsidRPr="00773916">
        <w:rPr>
          <w:rStyle w:val="FootnoteReference"/>
          <w:rFonts w:asciiTheme="minorHAnsi" w:hAnsiTheme="minorHAnsi"/>
          <w:sz w:val="18"/>
          <w:szCs w:val="18"/>
          <w:vertAlign w:val="baseline"/>
        </w:rPr>
        <w:t xml:space="preserve"> </w:t>
      </w:r>
      <w:hyperlink r:id="rId2" w:history="1">
        <w:r w:rsidRPr="00773916">
          <w:rPr>
            <w:rStyle w:val="FootnoteReference"/>
            <w:rFonts w:asciiTheme="minorHAnsi" w:hAnsiTheme="minorHAnsi"/>
            <w:sz w:val="18"/>
            <w:szCs w:val="18"/>
            <w:vertAlign w:val="baseline"/>
          </w:rPr>
          <w:t>https://www.mass.gov/service-details/chapter-55-overdose-report</w:t>
        </w:r>
      </w:hyperlink>
    </w:p>
  </w:footnote>
  <w:footnote w:id="6">
    <w:p w:rsidR="00617750" w:rsidRDefault="00617750" w:rsidP="00617750">
      <w:pPr>
        <w:autoSpaceDE w:val="0"/>
        <w:autoSpaceDN w:val="0"/>
        <w:adjustRightInd w:val="0"/>
      </w:pPr>
      <w:r w:rsidRPr="005F44D7">
        <w:rPr>
          <w:rStyle w:val="FootnoteReference"/>
        </w:rPr>
        <w:footnoteRef/>
      </w:r>
      <w:r w:rsidRPr="00EA7F50">
        <w:rPr>
          <w:sz w:val="18"/>
          <w:szCs w:val="18"/>
        </w:rPr>
        <w:t xml:space="preserve"> </w:t>
      </w:r>
      <w:proofErr w:type="spellStart"/>
      <w:r>
        <w:rPr>
          <w:rFonts w:cs="AdvOT596495f2"/>
          <w:sz w:val="18"/>
          <w:szCs w:val="18"/>
        </w:rPr>
        <w:t>Ciccarone</w:t>
      </w:r>
      <w:proofErr w:type="spellEnd"/>
      <w:r>
        <w:rPr>
          <w:rFonts w:cs="AdvOT596495f2"/>
          <w:sz w:val="18"/>
          <w:szCs w:val="18"/>
        </w:rPr>
        <w:t>, D</w:t>
      </w:r>
      <w:r w:rsidRPr="00EA7F50">
        <w:rPr>
          <w:rFonts w:cs="AdvOT596495f2"/>
          <w:sz w:val="18"/>
          <w:szCs w:val="18"/>
        </w:rPr>
        <w:t xml:space="preserve">. Fentanyl in the US heroin supply: A rapidly changing risk environment. </w:t>
      </w:r>
      <w:r w:rsidRPr="00EA7F50">
        <w:rPr>
          <w:rFonts w:cs="AdvOT7fb33346.I"/>
          <w:sz w:val="18"/>
          <w:szCs w:val="18"/>
        </w:rPr>
        <w:t>The International Journal of Drug Policy, 46</w:t>
      </w:r>
      <w:r w:rsidRPr="00EA7F50">
        <w:rPr>
          <w:rFonts w:cs="AdvOT596495f2"/>
          <w:sz w:val="18"/>
          <w:szCs w:val="18"/>
        </w:rPr>
        <w:t>, 107</w:t>
      </w:r>
      <w:r w:rsidRPr="00EA7F50">
        <w:rPr>
          <w:rFonts w:cs="AdvOT596495f2+20"/>
          <w:sz w:val="18"/>
          <w:szCs w:val="18"/>
        </w:rPr>
        <w:t>–</w:t>
      </w:r>
      <w:r w:rsidRPr="00EA7F50">
        <w:rPr>
          <w:rFonts w:cs="AdvOT596495f2"/>
          <w:sz w:val="18"/>
          <w:szCs w:val="18"/>
        </w:rPr>
        <w:t xml:space="preserve">111. </w:t>
      </w:r>
      <w:hyperlink r:id="rId3" w:history="1">
        <w:r w:rsidRPr="002D21D9">
          <w:rPr>
            <w:rStyle w:val="Hyperlink"/>
            <w:rFonts w:cs="AdvOT596495f2"/>
            <w:sz w:val="18"/>
            <w:szCs w:val="18"/>
          </w:rPr>
          <w:t>https://doi.org/10.1016/j.drugpo.2017.06.010</w:t>
        </w:r>
      </w:hyperlink>
      <w:r w:rsidRPr="00EA7F50">
        <w:rPr>
          <w:rFonts w:cs="AdvOT596495f2"/>
          <w:sz w:val="18"/>
          <w:szCs w:val="18"/>
        </w:rPr>
        <w:t>.</w:t>
      </w:r>
      <w:r>
        <w:rPr>
          <w:rFonts w:cs="AdvOT596495f2"/>
          <w:sz w:val="18"/>
          <w:szCs w:val="18"/>
        </w:rPr>
        <w:t xml:space="preserve"> </w:t>
      </w:r>
    </w:p>
  </w:footnote>
  <w:footnote w:id="7">
    <w:p w:rsidR="00617750" w:rsidRPr="00A341B2" w:rsidRDefault="00617750" w:rsidP="00617750">
      <w:pPr>
        <w:pStyle w:val="EndNoteBibliography"/>
        <w:spacing w:line="240" w:lineRule="auto"/>
        <w:rPr>
          <w:rFonts w:asciiTheme="minorHAnsi" w:hAnsiTheme="minorHAnsi" w:cs="Arial"/>
          <w:noProof/>
          <w:sz w:val="18"/>
          <w:szCs w:val="18"/>
        </w:rPr>
      </w:pPr>
      <w:r w:rsidRPr="005F44D7">
        <w:rPr>
          <w:rStyle w:val="FootnoteReference"/>
        </w:rPr>
        <w:footnoteRef/>
      </w:r>
      <w:r w:rsidRPr="00A341B2">
        <w:rPr>
          <w:rFonts w:asciiTheme="minorHAnsi" w:hAnsiTheme="minorHAnsi"/>
          <w:sz w:val="18"/>
          <w:szCs w:val="18"/>
        </w:rPr>
        <w:t xml:space="preserve"> </w:t>
      </w:r>
      <w:r w:rsidRPr="00A341B2">
        <w:rPr>
          <w:rFonts w:asciiTheme="minorHAnsi" w:hAnsiTheme="minorHAnsi" w:cs="Arial"/>
          <w:noProof/>
          <w:sz w:val="18"/>
          <w:szCs w:val="18"/>
        </w:rPr>
        <w:t>American Psychiatric Association., American Psychiatric Association. DSM-5 Task Force. Diagnostic and statistical manual of mental disorders : DSM-5. 5th ed. Washington, D.C.: American Psychiatric Association; 2013. xliv, 947 p. p.</w:t>
      </w:r>
    </w:p>
  </w:footnote>
  <w:footnote w:id="8">
    <w:p w:rsidR="00617750" w:rsidRPr="00A341B2" w:rsidRDefault="00617750" w:rsidP="00617750">
      <w:pPr>
        <w:pStyle w:val="EndNoteBibliography"/>
        <w:spacing w:line="240" w:lineRule="auto"/>
        <w:rPr>
          <w:rFonts w:ascii="Arial" w:hAnsi="Arial" w:cs="Arial"/>
          <w:noProof/>
          <w:sz w:val="22"/>
          <w:szCs w:val="22"/>
        </w:rPr>
      </w:pPr>
      <w:r w:rsidRPr="005F44D7">
        <w:rPr>
          <w:rStyle w:val="FootnoteReference"/>
        </w:rPr>
        <w:footnoteRef/>
      </w:r>
      <w:r w:rsidRPr="00A341B2">
        <w:rPr>
          <w:rFonts w:asciiTheme="minorHAnsi" w:hAnsiTheme="minorHAnsi"/>
          <w:sz w:val="18"/>
          <w:szCs w:val="18"/>
        </w:rPr>
        <w:t xml:space="preserve"> </w:t>
      </w:r>
      <w:r w:rsidRPr="00A341B2">
        <w:rPr>
          <w:rFonts w:asciiTheme="minorHAnsi" w:hAnsiTheme="minorHAnsi" w:cs="Arial"/>
          <w:noProof/>
          <w:sz w:val="18"/>
          <w:szCs w:val="18"/>
        </w:rPr>
        <w:t>Key substance use and mental health indicators in the United States: Results from the 2015 National Survey on drug use and health.: Substance Abuse and Mental Health Services Administration; 2016.</w:t>
      </w:r>
    </w:p>
  </w:footnote>
  <w:footnote w:id="9">
    <w:p w:rsidR="00617750" w:rsidRPr="00A341B2" w:rsidRDefault="00617750" w:rsidP="00617750">
      <w:pPr>
        <w:pStyle w:val="EndNoteBibliography"/>
        <w:spacing w:line="240" w:lineRule="auto"/>
        <w:rPr>
          <w:rFonts w:ascii="Calibri" w:hAnsi="Calibri" w:cs="Arial"/>
          <w:noProof/>
          <w:sz w:val="18"/>
          <w:szCs w:val="18"/>
        </w:rPr>
      </w:pPr>
      <w:r w:rsidRPr="005F44D7">
        <w:rPr>
          <w:rStyle w:val="FootnoteReference"/>
        </w:rPr>
        <w:footnoteRef/>
      </w:r>
      <w:r w:rsidRPr="00A341B2">
        <w:rPr>
          <w:rFonts w:ascii="Calibri" w:hAnsi="Calibri"/>
          <w:sz w:val="18"/>
          <w:szCs w:val="18"/>
        </w:rPr>
        <w:t xml:space="preserve"> </w:t>
      </w:r>
      <w:r w:rsidRPr="00A341B2">
        <w:rPr>
          <w:rFonts w:ascii="Calibri" w:hAnsi="Calibri" w:cs="Arial"/>
          <w:noProof/>
          <w:sz w:val="18"/>
          <w:szCs w:val="18"/>
        </w:rPr>
        <w:t>Wu LT, Zhu H, Swartz MS. Treatment utilization among persons with opioid use disorder in the United States. Drug Alcohol Depend. 2016;169:117-27.</w:t>
      </w:r>
    </w:p>
    <w:p w:rsidR="00617750" w:rsidRDefault="00617750" w:rsidP="00617750">
      <w:pPr>
        <w:pStyle w:val="FootnoteText"/>
      </w:pPr>
    </w:p>
  </w:footnote>
  <w:footnote w:id="10">
    <w:p w:rsidR="00617750" w:rsidRDefault="00617750" w:rsidP="00617750">
      <w:pPr>
        <w:pStyle w:val="FootnoteText"/>
      </w:pPr>
      <w:r w:rsidRPr="005F44D7">
        <w:rPr>
          <w:rStyle w:val="FootnoteReference"/>
          <w:rFonts w:eastAsiaTheme="majorEastAsia"/>
        </w:rPr>
        <w:footnoteRef/>
      </w:r>
      <w:r w:rsidRPr="005105B4">
        <w:rPr>
          <w:rFonts w:asciiTheme="minorHAnsi" w:hAnsiTheme="minorHAnsi"/>
          <w:sz w:val="18"/>
          <w:szCs w:val="18"/>
        </w:rPr>
        <w:t xml:space="preserve"> </w:t>
      </w:r>
      <w:r w:rsidRPr="005105B4">
        <w:rPr>
          <w:rFonts w:asciiTheme="minorHAnsi" w:hAnsiTheme="minorHAnsi"/>
          <w:bCs/>
          <w:sz w:val="18"/>
          <w:szCs w:val="18"/>
          <w:shd w:val="clear" w:color="auto" w:fill="FFFFFF"/>
        </w:rPr>
        <w:t>Administrative data</w:t>
      </w:r>
      <w:r w:rsidRPr="005105B4">
        <w:rPr>
          <w:rStyle w:val="apple-converted-space"/>
          <w:rFonts w:asciiTheme="minorHAnsi" w:hAnsiTheme="minorHAnsi"/>
          <w:sz w:val="18"/>
          <w:szCs w:val="18"/>
          <w:shd w:val="clear" w:color="auto" w:fill="FFFFFF"/>
        </w:rPr>
        <w:t> </w:t>
      </w:r>
      <w:r w:rsidRPr="005105B4">
        <w:rPr>
          <w:rFonts w:asciiTheme="minorHAnsi" w:hAnsiTheme="minorHAnsi"/>
          <w:sz w:val="18"/>
          <w:szCs w:val="18"/>
          <w:shd w:val="clear" w:color="auto" w:fill="FFFFFF"/>
        </w:rPr>
        <w:t>refers to information collected primarily for</w:t>
      </w:r>
      <w:r w:rsidRPr="005105B4">
        <w:rPr>
          <w:rStyle w:val="apple-converted-space"/>
          <w:rFonts w:asciiTheme="minorHAnsi" w:hAnsiTheme="minorHAnsi"/>
          <w:sz w:val="18"/>
          <w:szCs w:val="18"/>
          <w:shd w:val="clear" w:color="auto" w:fill="FFFFFF"/>
        </w:rPr>
        <w:t> </w:t>
      </w:r>
      <w:r w:rsidRPr="005105B4">
        <w:rPr>
          <w:rFonts w:asciiTheme="minorHAnsi" w:hAnsiTheme="minorHAnsi"/>
          <w:bCs/>
          <w:sz w:val="18"/>
          <w:szCs w:val="18"/>
          <w:shd w:val="clear" w:color="auto" w:fill="FFFFFF"/>
        </w:rPr>
        <w:t>administrative</w:t>
      </w:r>
      <w:r w:rsidRPr="005105B4">
        <w:rPr>
          <w:rStyle w:val="apple-converted-space"/>
          <w:rFonts w:asciiTheme="minorHAnsi" w:hAnsiTheme="minorHAnsi"/>
          <w:sz w:val="18"/>
          <w:szCs w:val="18"/>
          <w:shd w:val="clear" w:color="auto" w:fill="FFFFFF"/>
        </w:rPr>
        <w:t> </w:t>
      </w:r>
      <w:r w:rsidRPr="005105B4">
        <w:rPr>
          <w:rFonts w:asciiTheme="minorHAnsi" w:hAnsiTheme="minorHAnsi"/>
          <w:sz w:val="18"/>
          <w:szCs w:val="18"/>
          <w:shd w:val="clear" w:color="auto" w:fill="FFFFFF"/>
        </w:rPr>
        <w:t>(not research) purposes.</w:t>
      </w:r>
    </w:p>
  </w:footnote>
  <w:footnote w:id="11">
    <w:p w:rsidR="00617750" w:rsidRPr="0053198D" w:rsidRDefault="00617750" w:rsidP="00617750">
      <w:pPr>
        <w:autoSpaceDE w:val="0"/>
        <w:autoSpaceDN w:val="0"/>
        <w:adjustRightInd w:val="0"/>
      </w:pPr>
      <w:r w:rsidRPr="005F44D7">
        <w:rPr>
          <w:rStyle w:val="FootnoteReference"/>
        </w:rPr>
        <w:footnoteRef/>
      </w:r>
      <w:r w:rsidRPr="0053198D">
        <w:rPr>
          <w:sz w:val="18"/>
          <w:szCs w:val="18"/>
        </w:rPr>
        <w:t xml:space="preserve"> </w:t>
      </w:r>
      <w:r w:rsidRPr="0053198D">
        <w:rPr>
          <w:rFonts w:cs="AdvOTe1080306.I"/>
          <w:sz w:val="18"/>
          <w:szCs w:val="18"/>
        </w:rPr>
        <w:t xml:space="preserve">Schiff, DM, </w:t>
      </w:r>
      <w:proofErr w:type="gramStart"/>
      <w:r w:rsidRPr="0053198D">
        <w:rPr>
          <w:rFonts w:cs="AdvOTe1080306.I"/>
          <w:sz w:val="18"/>
          <w:szCs w:val="18"/>
        </w:rPr>
        <w:t>et</w:t>
      </w:r>
      <w:proofErr w:type="gramEnd"/>
      <w:r w:rsidRPr="0053198D">
        <w:rPr>
          <w:rFonts w:cs="AdvOTe1080306.I"/>
          <w:sz w:val="18"/>
          <w:szCs w:val="18"/>
        </w:rPr>
        <w:t xml:space="preserve"> all. </w:t>
      </w:r>
      <w:r w:rsidRPr="0053198D">
        <w:rPr>
          <w:rFonts w:cs="AdvPSA538"/>
          <w:sz w:val="18"/>
          <w:szCs w:val="18"/>
        </w:rPr>
        <w:t xml:space="preserve">Fatal and Nonfatal Overdose </w:t>
      </w:r>
      <w:proofErr w:type="gramStart"/>
      <w:r w:rsidRPr="0053198D">
        <w:rPr>
          <w:rFonts w:cs="AdvPSA538"/>
          <w:sz w:val="18"/>
          <w:szCs w:val="18"/>
        </w:rPr>
        <w:t>Among</w:t>
      </w:r>
      <w:proofErr w:type="gramEnd"/>
      <w:r w:rsidRPr="0053198D">
        <w:rPr>
          <w:rFonts w:cs="AdvPSA538"/>
          <w:sz w:val="18"/>
          <w:szCs w:val="18"/>
        </w:rPr>
        <w:t xml:space="preserve"> Pregnant and Postpartum</w:t>
      </w:r>
      <w:r>
        <w:rPr>
          <w:rFonts w:cs="AdvPSA538"/>
          <w:sz w:val="18"/>
          <w:szCs w:val="18"/>
        </w:rPr>
        <w:t xml:space="preserve"> </w:t>
      </w:r>
      <w:r w:rsidRPr="0053198D">
        <w:rPr>
          <w:rFonts w:cs="AdvPSA538"/>
          <w:sz w:val="18"/>
          <w:szCs w:val="18"/>
        </w:rPr>
        <w:t xml:space="preserve">Women in Massachusetts. </w:t>
      </w:r>
      <w:r>
        <w:rPr>
          <w:rFonts w:cs="AdvPSA538"/>
          <w:sz w:val="18"/>
          <w:szCs w:val="18"/>
        </w:rPr>
        <w:t xml:space="preserve">Obstetrics &amp; Gynecology. </w:t>
      </w:r>
      <w:r w:rsidRPr="0053198D">
        <w:rPr>
          <w:rFonts w:cs="AdvPSA538"/>
          <w:sz w:val="18"/>
          <w:szCs w:val="18"/>
        </w:rPr>
        <w:t xml:space="preserve"> </w:t>
      </w:r>
      <w:r w:rsidRPr="0053198D">
        <w:rPr>
          <w:rFonts w:cs="AdvPS8C2A"/>
          <w:sz w:val="18"/>
          <w:szCs w:val="18"/>
        </w:rPr>
        <w:t>VOL. 132, NO. 2, AUGUST 2018</w:t>
      </w:r>
      <w:r>
        <w:rPr>
          <w:rFonts w:cs="AdvPS8C2A"/>
          <w:sz w:val="18"/>
          <w:szCs w:val="18"/>
        </w:rPr>
        <w:t>.</w:t>
      </w:r>
    </w:p>
  </w:footnote>
  <w:footnote w:id="12">
    <w:p w:rsidR="00A5727E" w:rsidRPr="0009585A" w:rsidRDefault="00A5727E" w:rsidP="001C5D84">
      <w:pPr>
        <w:pStyle w:val="FootnoteText"/>
        <w:rPr>
          <w:rFonts w:asciiTheme="minorHAnsi" w:hAnsiTheme="minorHAnsi"/>
          <w:sz w:val="18"/>
          <w:szCs w:val="18"/>
        </w:rPr>
      </w:pPr>
      <w:r w:rsidRPr="005F44D7">
        <w:rPr>
          <w:rStyle w:val="FootnoteReference"/>
        </w:rPr>
        <w:footnoteRef/>
      </w:r>
      <w:r w:rsidRPr="0009585A">
        <w:rPr>
          <w:rFonts w:asciiTheme="minorHAnsi" w:hAnsiTheme="minorHAnsi"/>
          <w:sz w:val="18"/>
          <w:szCs w:val="18"/>
        </w:rPr>
        <w:t xml:space="preserve"> </w:t>
      </w:r>
      <w:hyperlink r:id="rId4" w:history="1">
        <w:r w:rsidRPr="0009585A">
          <w:rPr>
            <w:rStyle w:val="Hyperlink"/>
            <w:rFonts w:asciiTheme="minorHAnsi" w:hAnsiTheme="minorHAnsi"/>
            <w:sz w:val="18"/>
            <w:szCs w:val="18"/>
          </w:rPr>
          <w:t>https://www.mass.gov/files/documents/2019/05/15/Opioid-related-Overdose-Deaths-among-MA-Residents-May-2019.pdf</w:t>
        </w:r>
      </w:hyperlink>
      <w:r>
        <w:rPr>
          <w:rFonts w:asciiTheme="minorHAnsi" w:hAnsiTheme="minorHAnsi"/>
          <w:sz w:val="18"/>
          <w:szCs w:val="18"/>
        </w:rPr>
        <w:t>.</w:t>
      </w:r>
    </w:p>
  </w:footnote>
  <w:footnote w:id="13">
    <w:p w:rsidR="00A5727E" w:rsidRDefault="00A5727E" w:rsidP="007E70F2">
      <w:pPr>
        <w:autoSpaceDE w:val="0"/>
        <w:autoSpaceDN w:val="0"/>
        <w:adjustRightInd w:val="0"/>
      </w:pPr>
      <w:r w:rsidRPr="005F44D7">
        <w:rPr>
          <w:rStyle w:val="FootnoteReference"/>
        </w:rPr>
        <w:footnoteRef/>
      </w:r>
      <w:r w:rsidRPr="007D1230">
        <w:rPr>
          <w:sz w:val="18"/>
          <w:szCs w:val="18"/>
        </w:rPr>
        <w:t xml:space="preserve"> Data Brief: </w:t>
      </w:r>
      <w:r w:rsidRPr="007D1230">
        <w:rPr>
          <w:rFonts w:cs="Calibri-Bold"/>
          <w:bCs/>
          <w:sz w:val="18"/>
          <w:szCs w:val="18"/>
        </w:rPr>
        <w:t>Stimulants, health disparities, and the impact of the opioid epidemic on maternal health and high risk populations. March 2019.</w:t>
      </w:r>
    </w:p>
  </w:footnote>
  <w:footnote w:id="14">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O</w:t>
      </w:r>
      <w:r w:rsidRPr="002415DF">
        <w:rPr>
          <w:rFonts w:cs="AdvOTa54b5d5d+20"/>
          <w:sz w:val="18"/>
          <w:szCs w:val="18"/>
        </w:rPr>
        <w:t>’</w:t>
      </w:r>
      <w:r w:rsidRPr="002415DF">
        <w:rPr>
          <w:rFonts w:cs="AdvOTa54b5d5d"/>
          <w:sz w:val="18"/>
          <w:szCs w:val="18"/>
        </w:rPr>
        <w:t>Donnell JK, Gladden RM, Seth P. Trends in deaths involving heroin and synthetic opioids excluding methadone, and law enforcement drug product reports, by census region</w:t>
      </w:r>
      <w:r w:rsidRPr="002415DF">
        <w:rPr>
          <w:rFonts w:cs="AdvOTa54b5d5d+20"/>
          <w:sz w:val="18"/>
          <w:szCs w:val="18"/>
        </w:rPr>
        <w:t>—</w:t>
      </w:r>
      <w:r w:rsidRPr="002415DF">
        <w:rPr>
          <w:rFonts w:cs="AdvOTa54b5d5d"/>
          <w:sz w:val="18"/>
          <w:szCs w:val="18"/>
        </w:rPr>
        <w:t>United States, 2006</w:t>
      </w:r>
      <w:r w:rsidRPr="002415DF">
        <w:rPr>
          <w:rFonts w:cs="AdvOTa54b5d5d+20"/>
          <w:sz w:val="18"/>
          <w:szCs w:val="18"/>
        </w:rPr>
        <w:t>–</w:t>
      </w:r>
      <w:r w:rsidRPr="002415DF">
        <w:rPr>
          <w:rFonts w:cs="AdvOTa54b5d5d"/>
          <w:sz w:val="18"/>
          <w:szCs w:val="18"/>
        </w:rPr>
        <w:t>2015. MMWR Morb Mortal Wkly Rep 2017;66: 897</w:t>
      </w:r>
      <w:r w:rsidRPr="002415DF">
        <w:rPr>
          <w:rFonts w:cs="AdvOTa54b5d5d+20"/>
          <w:sz w:val="18"/>
          <w:szCs w:val="18"/>
        </w:rPr>
        <w:t>–</w:t>
      </w:r>
      <w:r w:rsidRPr="002415DF">
        <w:rPr>
          <w:rFonts w:cs="AdvOTa54b5d5d"/>
          <w:sz w:val="18"/>
          <w:szCs w:val="18"/>
        </w:rPr>
        <w:t>903.</w:t>
      </w:r>
    </w:p>
  </w:footnote>
  <w:footnote w:id="15">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Rudd RA, Seth P, David F, Scholl L. Increases in Drug and opioid-involved overdose deaths</w:t>
      </w:r>
      <w:r w:rsidRPr="002415DF">
        <w:rPr>
          <w:rFonts w:cs="AdvOTa54b5d5d+20"/>
          <w:sz w:val="18"/>
          <w:szCs w:val="18"/>
        </w:rPr>
        <w:t>—</w:t>
      </w:r>
      <w:r w:rsidRPr="002415DF">
        <w:rPr>
          <w:rFonts w:cs="AdvOTa54b5d5d"/>
          <w:sz w:val="18"/>
          <w:szCs w:val="18"/>
        </w:rPr>
        <w:t>United States, 2010</w:t>
      </w:r>
      <w:r w:rsidRPr="002415DF">
        <w:rPr>
          <w:rFonts w:cs="AdvOTa54b5d5d+20"/>
          <w:sz w:val="18"/>
          <w:szCs w:val="18"/>
        </w:rPr>
        <w:t>–</w:t>
      </w:r>
      <w:r w:rsidRPr="002415DF">
        <w:rPr>
          <w:rFonts w:cs="AdvOTa54b5d5d"/>
          <w:sz w:val="18"/>
          <w:szCs w:val="18"/>
        </w:rPr>
        <w:t>2015. MMWR Morb Mortal Wkly Rep 2016;65:1445</w:t>
      </w:r>
      <w:r w:rsidRPr="002415DF">
        <w:rPr>
          <w:rFonts w:cs="AdvOTa54b5d5d+20"/>
          <w:sz w:val="18"/>
          <w:szCs w:val="18"/>
        </w:rPr>
        <w:t>–</w:t>
      </w:r>
      <w:r w:rsidRPr="002415DF">
        <w:rPr>
          <w:rFonts w:cs="AdvOTa54b5d5d"/>
          <w:sz w:val="18"/>
          <w:szCs w:val="18"/>
        </w:rPr>
        <w:t>52.</w:t>
      </w:r>
    </w:p>
  </w:footnote>
  <w:footnote w:id="16">
    <w:p w:rsidR="00A5727E" w:rsidRPr="004A4821" w:rsidRDefault="00A5727E" w:rsidP="001C5D84">
      <w:pPr>
        <w:autoSpaceDE w:val="0"/>
        <w:autoSpaceDN w:val="0"/>
        <w:adjustRightInd w:val="0"/>
        <w:rPr>
          <w:sz w:val="18"/>
          <w:szCs w:val="18"/>
        </w:rPr>
      </w:pPr>
      <w:r w:rsidRPr="005F44D7">
        <w:rPr>
          <w:rStyle w:val="FootnoteReference"/>
        </w:rPr>
        <w:footnoteRef/>
      </w:r>
      <w:r w:rsidRPr="004A4821">
        <w:rPr>
          <w:sz w:val="18"/>
          <w:szCs w:val="18"/>
        </w:rPr>
        <w:t xml:space="preserve"> </w:t>
      </w:r>
      <w:r w:rsidRPr="004A4821">
        <w:rPr>
          <w:rFonts w:cs="AdvOTa54b5d5d"/>
          <w:sz w:val="18"/>
          <w:szCs w:val="18"/>
        </w:rPr>
        <w:t>Mack KA; Centers for Disease Control and Prevention (CDC).Drug-induced deaths</w:t>
      </w:r>
      <w:r w:rsidRPr="004A4821">
        <w:rPr>
          <w:rFonts w:cs="AdvOTa54b5d5d+20"/>
          <w:sz w:val="18"/>
          <w:szCs w:val="18"/>
        </w:rPr>
        <w:t>—</w:t>
      </w:r>
      <w:r w:rsidRPr="004A4821">
        <w:rPr>
          <w:rFonts w:cs="AdvOTa54b5d5d"/>
          <w:sz w:val="18"/>
          <w:szCs w:val="18"/>
        </w:rPr>
        <w:t>United States, 1999</w:t>
      </w:r>
      <w:r w:rsidRPr="004A4821">
        <w:rPr>
          <w:rFonts w:cs="AdvOTa54b5d5d+20"/>
          <w:sz w:val="18"/>
          <w:szCs w:val="18"/>
        </w:rPr>
        <w:t>–</w:t>
      </w:r>
      <w:r w:rsidRPr="004A4821">
        <w:rPr>
          <w:rFonts w:cs="AdvOTa54b5d5d"/>
          <w:sz w:val="18"/>
          <w:szCs w:val="18"/>
        </w:rPr>
        <w:t>2010. MMWR Suppl 2013;62:161</w:t>
      </w:r>
      <w:r w:rsidRPr="004A4821">
        <w:rPr>
          <w:rFonts w:cs="AdvOTa54b5d5d+20"/>
          <w:sz w:val="18"/>
          <w:szCs w:val="18"/>
        </w:rPr>
        <w:t>–</w:t>
      </w:r>
      <w:r w:rsidRPr="004A4821">
        <w:rPr>
          <w:rFonts w:cs="AdvOTa54b5d5d"/>
          <w:sz w:val="18"/>
          <w:szCs w:val="18"/>
        </w:rPr>
        <w:t>3.</w:t>
      </w:r>
    </w:p>
  </w:footnote>
  <w:footnote w:id="17">
    <w:p w:rsidR="00A5727E" w:rsidRPr="00342AD4" w:rsidRDefault="00A5727E" w:rsidP="001C5D84">
      <w:pPr>
        <w:autoSpaceDE w:val="0"/>
        <w:autoSpaceDN w:val="0"/>
        <w:adjustRightInd w:val="0"/>
        <w:rPr>
          <w:sz w:val="18"/>
          <w:szCs w:val="18"/>
        </w:rPr>
      </w:pPr>
      <w:r w:rsidRPr="005F44D7">
        <w:rPr>
          <w:rStyle w:val="FootnoteReference"/>
        </w:rPr>
        <w:footnoteRef/>
      </w:r>
      <w:r w:rsidRPr="00342AD4">
        <w:rPr>
          <w:sz w:val="18"/>
          <w:szCs w:val="18"/>
        </w:rPr>
        <w:t xml:space="preserve"> </w:t>
      </w:r>
      <w:r w:rsidRPr="00342AD4">
        <w:rPr>
          <w:rFonts w:cs="AdvOTa54b5d5d"/>
          <w:sz w:val="18"/>
          <w:szCs w:val="18"/>
        </w:rPr>
        <w:t>Jones CM, Logan J, Gladden RM, Bohm MK. Vital signs: demographic, use substance. trends among heroin users</w:t>
      </w:r>
      <w:r w:rsidRPr="00342AD4">
        <w:rPr>
          <w:rFonts w:cs="AdvOTa54b5d5d+20"/>
          <w:sz w:val="18"/>
          <w:szCs w:val="18"/>
        </w:rPr>
        <w:t xml:space="preserve">— </w:t>
      </w:r>
      <w:r w:rsidRPr="00342AD4">
        <w:rPr>
          <w:rFonts w:cs="AdvOTa54b5d5d"/>
          <w:sz w:val="18"/>
          <w:szCs w:val="18"/>
        </w:rPr>
        <w:t>United States, 2002-2013. MMWR Morb Mortal Wkly Rep 2015;64:719</w:t>
      </w:r>
      <w:r w:rsidRPr="00342AD4">
        <w:rPr>
          <w:rFonts w:cs="AdvOTa54b5d5d+20"/>
          <w:sz w:val="18"/>
          <w:szCs w:val="18"/>
        </w:rPr>
        <w:t>–</w:t>
      </w:r>
      <w:r w:rsidRPr="00342AD4">
        <w:rPr>
          <w:rFonts w:cs="AdvOTa54b5d5d"/>
          <w:sz w:val="18"/>
          <w:szCs w:val="18"/>
        </w:rPr>
        <w:t>25.</w:t>
      </w:r>
    </w:p>
  </w:footnote>
  <w:footnote w:id="18">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Cicero TJ, Ellis MS, Surratt HL, Kurtz SP. The changing face of heroin use in the United States: a retrospective analysis of the past 50 years. JAMA Psychiatry 2014;71:821</w:t>
      </w:r>
      <w:r w:rsidRPr="002415DF">
        <w:rPr>
          <w:rFonts w:cs="AdvOTa54b5d5d+20"/>
          <w:sz w:val="18"/>
          <w:szCs w:val="18"/>
        </w:rPr>
        <w:t>–</w:t>
      </w:r>
      <w:r w:rsidRPr="002415DF">
        <w:rPr>
          <w:rFonts w:cs="AdvOTa54b5d5d"/>
          <w:sz w:val="18"/>
          <w:szCs w:val="18"/>
        </w:rPr>
        <w:t>6.</w:t>
      </w:r>
    </w:p>
  </w:footnote>
  <w:footnote w:id="19">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Maryland Department of Health and Mental Hygiene, Prevention and Health Promotion Administration. Maryland maternal mortality review: 2016 annual report. Annapolis (MD): Department of Health and Mental Hygiene; 2016.</w:t>
      </w:r>
    </w:p>
  </w:footnote>
  <w:footnote w:id="20">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Virginia Department of Health, Office of the Chief Medical Examiner. Pregnancy-associated deaths from drug overdose in Virginia, 1999-2007: a report from the Virginia maternal mortality review team. Richmond (VA): Department of Health; 2015.</w:t>
      </w:r>
    </w:p>
  </w:footnote>
  <w:footnote w:id="21">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Metz TD, Rovner P, Hoffman MC, Allshouse AA, Beckwith KM, Binswanger IA. Maternal deaths from suicide and overdose in Colorado, 2004-2012. Obstet Gynecol 2016;128: 1233</w:t>
      </w:r>
      <w:r w:rsidRPr="002415DF">
        <w:rPr>
          <w:rFonts w:cs="AdvOTa54b5d5d+20"/>
          <w:sz w:val="18"/>
          <w:szCs w:val="18"/>
        </w:rPr>
        <w:t>–</w:t>
      </w:r>
      <w:r w:rsidRPr="002415DF">
        <w:rPr>
          <w:rFonts w:cs="AdvOTa54b5d5d"/>
          <w:sz w:val="18"/>
          <w:szCs w:val="18"/>
        </w:rPr>
        <w:t>40.</w:t>
      </w:r>
    </w:p>
  </w:footnote>
  <w:footnote w:id="22">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Kozhimannil KB, Graves AJ, Jarlenski M, Kennedy-Hendricks A, Gollust S, Barry CL. Non-medical opioid use and sources of opioids among pregnant and non-pregnant reproductive-aged women. Drug Alcohol Depend 2017;174:201</w:t>
      </w:r>
      <w:r w:rsidRPr="002415DF">
        <w:rPr>
          <w:rFonts w:cs="AdvOTa54b5d5d+20"/>
          <w:sz w:val="18"/>
          <w:szCs w:val="18"/>
        </w:rPr>
        <w:t>–</w:t>
      </w:r>
      <w:r w:rsidRPr="002415DF">
        <w:rPr>
          <w:rFonts w:cs="AdvOTa54b5d5d"/>
          <w:sz w:val="18"/>
          <w:szCs w:val="18"/>
        </w:rPr>
        <w:t>8.</w:t>
      </w:r>
    </w:p>
  </w:footnote>
  <w:footnote w:id="23">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Forray A, Foster D. Substance use in the perinatal period. Curr Psychiatry Rep 2015;17:91.</w:t>
      </w:r>
    </w:p>
  </w:footnote>
  <w:footnote w:id="24">
    <w:p w:rsidR="00A5727E" w:rsidRPr="002415DF" w:rsidRDefault="00A5727E" w:rsidP="001C5D84">
      <w:pPr>
        <w:autoSpaceDE w:val="0"/>
        <w:autoSpaceDN w:val="0"/>
        <w:adjustRightInd w:val="0"/>
        <w:rPr>
          <w:sz w:val="18"/>
          <w:szCs w:val="18"/>
        </w:rPr>
      </w:pPr>
      <w:r w:rsidRPr="005F44D7">
        <w:rPr>
          <w:rStyle w:val="FootnoteReference"/>
        </w:rPr>
        <w:footnoteRef/>
      </w:r>
      <w:r w:rsidRPr="002415DF">
        <w:rPr>
          <w:sz w:val="18"/>
          <w:szCs w:val="18"/>
        </w:rPr>
        <w:t xml:space="preserve"> </w:t>
      </w:r>
      <w:r w:rsidRPr="002415DF">
        <w:rPr>
          <w:rFonts w:cs="AdvOTa54b5d5d"/>
          <w:sz w:val="18"/>
          <w:szCs w:val="18"/>
        </w:rPr>
        <w:t>Forray A, Merry B, Lin H, Ruger JP, Yonkers KA. Perinatal substance use: a prospective evaluation of abstinence and relapse. Drug Alcohol Depend 2015;150:147</w:t>
      </w:r>
      <w:r w:rsidRPr="002415DF">
        <w:rPr>
          <w:rFonts w:cs="AdvOTa54b5d5d+20"/>
          <w:sz w:val="18"/>
          <w:szCs w:val="18"/>
        </w:rPr>
        <w:t>–</w:t>
      </w:r>
      <w:r w:rsidRPr="002415DF">
        <w:rPr>
          <w:rFonts w:cs="AdvOTa54b5d5d"/>
          <w:sz w:val="18"/>
          <w:szCs w:val="18"/>
        </w:rPr>
        <w:t>55.</w:t>
      </w:r>
    </w:p>
  </w:footnote>
  <w:footnote w:id="25">
    <w:p w:rsidR="00A5727E" w:rsidRPr="0058265E" w:rsidRDefault="00A5727E" w:rsidP="007E70F2">
      <w:pPr>
        <w:pStyle w:val="FootnoteText"/>
        <w:rPr>
          <w:rFonts w:asciiTheme="minorHAnsi" w:hAnsiTheme="minorHAnsi"/>
          <w:sz w:val="18"/>
          <w:szCs w:val="18"/>
          <w:vertAlign w:val="subscript"/>
        </w:rPr>
      </w:pPr>
      <w:r w:rsidRPr="005F44D7">
        <w:rPr>
          <w:rStyle w:val="FootnoteReference"/>
        </w:rPr>
        <w:footnoteRef/>
      </w:r>
      <w:r w:rsidRPr="0097072A">
        <w:rPr>
          <w:rFonts w:asciiTheme="minorHAnsi" w:hAnsiTheme="minorHAnsi"/>
          <w:sz w:val="18"/>
          <w:szCs w:val="18"/>
          <w:vertAlign w:val="superscript"/>
        </w:rPr>
        <w:t xml:space="preserve"> </w:t>
      </w:r>
      <w:r w:rsidRPr="0097072A">
        <w:rPr>
          <w:rFonts w:asciiTheme="minorHAnsi" w:hAnsiTheme="minorHAnsi" w:cs="AdvOTe1080306.I"/>
          <w:sz w:val="18"/>
          <w:szCs w:val="18"/>
        </w:rPr>
        <w:t xml:space="preserve">Schiff, DM, et all. </w:t>
      </w:r>
      <w:r w:rsidRPr="0097072A">
        <w:rPr>
          <w:rFonts w:asciiTheme="minorHAnsi" w:hAnsiTheme="minorHAnsi" w:cs="AdvPSA538"/>
          <w:sz w:val="18"/>
          <w:szCs w:val="18"/>
        </w:rPr>
        <w:t xml:space="preserve">Fatal and Nonfatal Overdose Among Pregnant and Postpartum Women in Massachusetts. Obstetrics &amp; Gynecology.  </w:t>
      </w:r>
      <w:r w:rsidRPr="0097072A">
        <w:rPr>
          <w:rFonts w:asciiTheme="minorHAnsi" w:hAnsiTheme="minorHAnsi" w:cs="AdvPS8C2A"/>
          <w:sz w:val="18"/>
          <w:szCs w:val="18"/>
        </w:rPr>
        <w:t>VOL. 132, NO. 2, AUGUST 2018.</w:t>
      </w:r>
    </w:p>
  </w:footnote>
  <w:footnote w:id="26">
    <w:p w:rsidR="00A5727E" w:rsidRPr="0097072A" w:rsidRDefault="00A5727E" w:rsidP="001C5D84">
      <w:pPr>
        <w:autoSpaceDE w:val="0"/>
        <w:autoSpaceDN w:val="0"/>
        <w:adjustRightInd w:val="0"/>
        <w:rPr>
          <w:rFonts w:eastAsia="Times New Roman" w:cs="Times New Roman"/>
          <w:color w:val="000000"/>
          <w:sz w:val="18"/>
          <w:szCs w:val="18"/>
        </w:rPr>
      </w:pPr>
      <w:r w:rsidRPr="005F44D7">
        <w:rPr>
          <w:rStyle w:val="FootnoteReference"/>
        </w:rPr>
        <w:footnoteRef/>
      </w:r>
      <w:r w:rsidRPr="002415DF">
        <w:rPr>
          <w:sz w:val="18"/>
          <w:szCs w:val="18"/>
        </w:rPr>
        <w:t xml:space="preserve"> </w:t>
      </w:r>
      <w:r>
        <w:rPr>
          <w:rFonts w:eastAsia="Times New Roman" w:cs="Times New Roman"/>
          <w:color w:val="000000"/>
          <w:sz w:val="18"/>
          <w:szCs w:val="18"/>
        </w:rPr>
        <w:t xml:space="preserve">Chatterjee, A, </w:t>
      </w:r>
      <w:r w:rsidRPr="0097072A">
        <w:rPr>
          <w:rFonts w:eastAsia="Times New Roman" w:cs="Times New Roman"/>
          <w:color w:val="000000"/>
          <w:sz w:val="18"/>
          <w:szCs w:val="18"/>
        </w:rPr>
        <w:t>Larochelle,</w:t>
      </w:r>
      <w:r>
        <w:rPr>
          <w:rFonts w:eastAsia="Times New Roman" w:cs="Times New Roman"/>
          <w:color w:val="000000"/>
          <w:sz w:val="18"/>
          <w:szCs w:val="18"/>
        </w:rPr>
        <w:t xml:space="preserve"> </w:t>
      </w:r>
      <w:r w:rsidRPr="0097072A">
        <w:rPr>
          <w:rFonts w:eastAsia="Times New Roman" w:cs="Times New Roman"/>
          <w:color w:val="000000"/>
          <w:sz w:val="18"/>
          <w:szCs w:val="18"/>
        </w:rPr>
        <w:t>MR, et al.</w:t>
      </w:r>
      <w:r w:rsidRPr="0097072A">
        <w:rPr>
          <w:rFonts w:cs="AdvOT596495f2"/>
          <w:sz w:val="18"/>
          <w:szCs w:val="18"/>
        </w:rPr>
        <w:t xml:space="preserve"> </w:t>
      </w:r>
      <w:r w:rsidRPr="0097072A">
        <w:rPr>
          <w:rFonts w:eastAsia="Times New Roman" w:cs="Times New Roman"/>
          <w:color w:val="000000"/>
          <w:sz w:val="18"/>
          <w:szCs w:val="18"/>
        </w:rPr>
        <w:t xml:space="preserve">Non-fatal opioid-related overdoses among adolescents in Massachusetts </w:t>
      </w:r>
      <w:r w:rsidRPr="0097072A">
        <w:rPr>
          <w:rFonts w:cs="Times New Roman"/>
          <w:color w:val="000000"/>
          <w:sz w:val="18"/>
          <w:szCs w:val="18"/>
        </w:rPr>
        <w:t>2012–2014.</w:t>
      </w:r>
      <w:r w:rsidRPr="0097072A">
        <w:rPr>
          <w:rFonts w:cs="CharisSIL"/>
          <w:color w:val="0080AC"/>
          <w:sz w:val="18"/>
          <w:szCs w:val="18"/>
        </w:rPr>
        <w:t xml:space="preserve"> </w:t>
      </w:r>
      <w:r w:rsidRPr="0097072A">
        <w:rPr>
          <w:rFonts w:eastAsia="Times New Roman" w:cs="Times New Roman"/>
          <w:color w:val="000000"/>
          <w:sz w:val="18"/>
          <w:szCs w:val="18"/>
        </w:rPr>
        <w:t>Drug and Alcohol Dependence 194 (2019) 28–31.</w:t>
      </w:r>
    </w:p>
  </w:footnote>
  <w:footnote w:id="27">
    <w:p w:rsidR="00A5727E" w:rsidRDefault="00A5727E" w:rsidP="001C5D84">
      <w:pPr>
        <w:autoSpaceDE w:val="0"/>
        <w:autoSpaceDN w:val="0"/>
        <w:adjustRightInd w:val="0"/>
      </w:pPr>
      <w:r w:rsidRPr="005F44D7">
        <w:rPr>
          <w:rStyle w:val="FootnoteReference"/>
        </w:rPr>
        <w:footnoteRef/>
      </w:r>
      <w:r w:rsidRPr="0097072A">
        <w:t xml:space="preserve"> </w:t>
      </w:r>
      <w:r w:rsidRPr="0097072A">
        <w:rPr>
          <w:rFonts w:eastAsia="Times New Roman" w:cs="Times New Roman"/>
          <w:color w:val="000000"/>
          <w:sz w:val="18"/>
          <w:szCs w:val="18"/>
        </w:rPr>
        <w:t>Rose, AJ, et al. Potentially Inappropriate Opioid Prescribing, Overdose, and Mortality in Massachusetts, 2011–2015. J Gen Intern Med. June 2018.</w:t>
      </w:r>
    </w:p>
  </w:footnote>
  <w:footnote w:id="28">
    <w:p w:rsidR="00A5727E" w:rsidRPr="00897CE2" w:rsidRDefault="00A5727E" w:rsidP="001C5D84">
      <w:pPr>
        <w:pStyle w:val="FootnoteText"/>
        <w:rPr>
          <w:rFonts w:asciiTheme="minorHAnsi" w:hAnsiTheme="minorHAnsi"/>
          <w:sz w:val="18"/>
          <w:szCs w:val="18"/>
        </w:rPr>
      </w:pPr>
      <w:r w:rsidRPr="005F44D7">
        <w:rPr>
          <w:rStyle w:val="FootnoteReference"/>
        </w:rPr>
        <w:footnoteRef/>
      </w:r>
      <w:r w:rsidRPr="00897CE2">
        <w:rPr>
          <w:rFonts w:asciiTheme="minorHAnsi" w:hAnsiTheme="minorHAnsi"/>
          <w:sz w:val="18"/>
          <w:szCs w:val="18"/>
        </w:rPr>
        <w:t xml:space="preserve"> </w:t>
      </w:r>
      <w:r w:rsidRPr="00897CE2">
        <w:rPr>
          <w:rFonts w:asciiTheme="minorHAnsi" w:hAnsiTheme="minorHAnsi" w:cs="AdvOTe1080306.I"/>
          <w:sz w:val="18"/>
          <w:szCs w:val="18"/>
        </w:rPr>
        <w:t xml:space="preserve">Schiff, DM, et all. </w:t>
      </w:r>
      <w:r w:rsidRPr="00897CE2">
        <w:rPr>
          <w:rFonts w:asciiTheme="minorHAnsi" w:hAnsiTheme="minorHAnsi" w:cs="AdvPSA538"/>
          <w:sz w:val="18"/>
          <w:szCs w:val="18"/>
        </w:rPr>
        <w:t xml:space="preserve">Fatal and Nonfatal Overdose Among Pregnant and Postpartum Women in Massachusetts. Obstetrics &amp; Gynecology.  </w:t>
      </w:r>
      <w:r w:rsidRPr="00897CE2">
        <w:rPr>
          <w:rFonts w:asciiTheme="minorHAnsi" w:hAnsiTheme="minorHAnsi" w:cs="AdvPS8C2A"/>
          <w:sz w:val="18"/>
          <w:szCs w:val="18"/>
        </w:rPr>
        <w:t>VOL. 132, NO. 2, AUGUST 2018</w:t>
      </w:r>
      <w:r>
        <w:rPr>
          <w:rFonts w:asciiTheme="minorHAnsi" w:hAnsiTheme="minorHAnsi" w:cs="AdvPS8C2A"/>
          <w:sz w:val="18"/>
          <w:szCs w:val="18"/>
        </w:rPr>
        <w:t>.</w:t>
      </w:r>
    </w:p>
  </w:footnote>
  <w:footnote w:id="29">
    <w:p w:rsidR="00A5727E" w:rsidRPr="00761602" w:rsidRDefault="00A5727E" w:rsidP="001C5D84">
      <w:pPr>
        <w:autoSpaceDE w:val="0"/>
        <w:autoSpaceDN w:val="0"/>
        <w:adjustRightInd w:val="0"/>
        <w:rPr>
          <w:sz w:val="18"/>
          <w:szCs w:val="18"/>
        </w:rPr>
      </w:pPr>
      <w:r w:rsidRPr="005F44D7">
        <w:rPr>
          <w:rStyle w:val="FootnoteReference"/>
        </w:rPr>
        <w:footnoteRef/>
      </w:r>
      <w:r w:rsidRPr="00761602">
        <w:rPr>
          <w:sz w:val="18"/>
          <w:szCs w:val="18"/>
        </w:rPr>
        <w:t xml:space="preserve"> </w:t>
      </w:r>
      <w:r w:rsidRPr="00761602">
        <w:rPr>
          <w:rFonts w:cs="AdvOTa54b5d5d"/>
          <w:sz w:val="18"/>
          <w:szCs w:val="18"/>
        </w:rPr>
        <w:t xml:space="preserve">Monthly receipt of pharmacotherapy was determined based on evidence of 1) a claim for methadone maintenance (as described previously), 2) enrollment in a state-funded opioid treatment program receiving methadone, or 3) a filled </w:t>
      </w:r>
      <w:r>
        <w:rPr>
          <w:rFonts w:cs="AdvOTa54b5d5d"/>
          <w:sz w:val="18"/>
          <w:szCs w:val="18"/>
        </w:rPr>
        <w:t>prescription</w:t>
      </w:r>
      <w:r w:rsidRPr="00761602">
        <w:rPr>
          <w:rFonts w:cs="AdvOTa54b5d5d"/>
          <w:sz w:val="18"/>
          <w:szCs w:val="18"/>
        </w:rPr>
        <w:t xml:space="preserve"> containing buprenorphine.</w:t>
      </w:r>
    </w:p>
  </w:footnote>
  <w:footnote w:id="30">
    <w:p w:rsidR="00A5727E" w:rsidRPr="00F448B1" w:rsidRDefault="00A5727E" w:rsidP="005E70E9">
      <w:pPr>
        <w:pStyle w:val="FootnoteText"/>
        <w:rPr>
          <w:rFonts w:asciiTheme="minorHAnsi" w:hAnsiTheme="minorHAnsi"/>
          <w:sz w:val="18"/>
          <w:szCs w:val="18"/>
        </w:rPr>
      </w:pPr>
      <w:r w:rsidRPr="005F44D7">
        <w:rPr>
          <w:rStyle w:val="FootnoteReference"/>
        </w:rPr>
        <w:footnoteRef/>
      </w:r>
      <w:r w:rsidRPr="00F448B1">
        <w:rPr>
          <w:rFonts w:asciiTheme="minorHAnsi" w:hAnsiTheme="minorHAnsi"/>
          <w:sz w:val="18"/>
          <w:szCs w:val="18"/>
        </w:rPr>
        <w:t xml:space="preserve"> </w:t>
      </w:r>
      <w:r>
        <w:rPr>
          <w:rFonts w:asciiTheme="minorHAnsi" w:hAnsiTheme="minorHAnsi"/>
          <w:color w:val="222222"/>
          <w:sz w:val="18"/>
          <w:szCs w:val="18"/>
          <w:shd w:val="clear" w:color="auto" w:fill="FFFFFF"/>
        </w:rPr>
        <w:t>Chandler RK, et. Al.</w:t>
      </w:r>
      <w:r w:rsidRPr="00F448B1">
        <w:rPr>
          <w:rFonts w:asciiTheme="minorHAnsi" w:hAnsiTheme="minorHAnsi"/>
          <w:color w:val="222222"/>
          <w:sz w:val="18"/>
          <w:szCs w:val="18"/>
          <w:shd w:val="clear" w:color="auto" w:fill="FFFFFF"/>
        </w:rPr>
        <w:t xml:space="preserve"> "Treating drug abuse and addiction in the criminal justice system: improving public health and safety." </w:t>
      </w:r>
      <w:r w:rsidRPr="00F448B1">
        <w:rPr>
          <w:rFonts w:asciiTheme="minorHAnsi" w:hAnsiTheme="minorHAnsi"/>
          <w:i/>
          <w:iCs/>
          <w:color w:val="222222"/>
          <w:sz w:val="18"/>
          <w:szCs w:val="18"/>
          <w:shd w:val="clear" w:color="auto" w:fill="FFFFFF"/>
        </w:rPr>
        <w:t>Jama</w:t>
      </w:r>
      <w:r w:rsidRPr="00F448B1">
        <w:rPr>
          <w:rFonts w:asciiTheme="minorHAnsi" w:hAnsiTheme="minorHAnsi"/>
          <w:color w:val="222222"/>
          <w:sz w:val="18"/>
          <w:szCs w:val="18"/>
          <w:shd w:val="clear" w:color="auto" w:fill="FFFFFF"/>
        </w:rPr>
        <w:t> 301.2 (2009): 183-190.</w:t>
      </w:r>
    </w:p>
  </w:footnote>
  <w:footnote w:id="31">
    <w:p w:rsidR="00A5727E" w:rsidRPr="00F448B1" w:rsidRDefault="00A5727E" w:rsidP="005E70E9">
      <w:pPr>
        <w:pStyle w:val="FootnoteText"/>
        <w:rPr>
          <w:rFonts w:asciiTheme="minorHAnsi" w:hAnsiTheme="minorHAnsi"/>
          <w:sz w:val="18"/>
          <w:szCs w:val="18"/>
        </w:rPr>
      </w:pPr>
      <w:r w:rsidRPr="005F44D7">
        <w:rPr>
          <w:rStyle w:val="FootnoteReference"/>
        </w:rPr>
        <w:footnoteRef/>
      </w:r>
      <w:r w:rsidRPr="00F448B1">
        <w:rPr>
          <w:rFonts w:asciiTheme="minorHAnsi" w:hAnsiTheme="minorHAnsi"/>
          <w:sz w:val="18"/>
          <w:szCs w:val="18"/>
        </w:rPr>
        <w:t xml:space="preserve"> </w:t>
      </w:r>
      <w:r w:rsidRPr="00F448B1">
        <w:rPr>
          <w:rFonts w:asciiTheme="minorHAnsi" w:hAnsiTheme="minorHAnsi"/>
          <w:color w:val="222222"/>
          <w:sz w:val="18"/>
          <w:szCs w:val="18"/>
          <w:shd w:val="clear" w:color="auto" w:fill="FFFFFF"/>
        </w:rPr>
        <w:t>Mumola CJ, et. Al.. "Bureau of Justice Statistics special report." </w:t>
      </w:r>
      <w:r w:rsidRPr="00F448B1">
        <w:rPr>
          <w:rFonts w:asciiTheme="minorHAnsi" w:hAnsiTheme="minorHAnsi"/>
          <w:i/>
          <w:iCs/>
          <w:color w:val="222222"/>
          <w:sz w:val="18"/>
          <w:szCs w:val="18"/>
          <w:shd w:val="clear" w:color="auto" w:fill="FFFFFF"/>
        </w:rPr>
        <w:t>Washington, DC: Department of Justice</w:t>
      </w:r>
      <w:r w:rsidRPr="00F448B1">
        <w:rPr>
          <w:rFonts w:asciiTheme="minorHAnsi" w:hAnsiTheme="minorHAnsi"/>
          <w:color w:val="222222"/>
          <w:sz w:val="18"/>
          <w:szCs w:val="18"/>
          <w:shd w:val="clear" w:color="auto" w:fill="FFFFFF"/>
        </w:rPr>
        <w:t> (2006).</w:t>
      </w:r>
    </w:p>
  </w:footnote>
  <w:footnote w:id="32">
    <w:p w:rsidR="00A5727E" w:rsidRPr="00F448B1" w:rsidRDefault="00A5727E" w:rsidP="005E70E9">
      <w:pPr>
        <w:pStyle w:val="FootnoteText"/>
        <w:rPr>
          <w:rFonts w:asciiTheme="minorHAnsi" w:hAnsiTheme="minorHAnsi"/>
          <w:sz w:val="18"/>
          <w:szCs w:val="18"/>
        </w:rPr>
      </w:pPr>
      <w:r w:rsidRPr="005F44D7">
        <w:rPr>
          <w:rStyle w:val="FootnoteReference"/>
        </w:rPr>
        <w:footnoteRef/>
      </w:r>
      <w:r w:rsidRPr="00F448B1">
        <w:rPr>
          <w:rFonts w:asciiTheme="minorHAnsi" w:hAnsiTheme="minorHAnsi"/>
          <w:sz w:val="18"/>
          <w:szCs w:val="18"/>
        </w:rPr>
        <w:t xml:space="preserve"> Ibid.</w:t>
      </w:r>
    </w:p>
  </w:footnote>
  <w:footnote w:id="33">
    <w:p w:rsidR="00A5727E" w:rsidRPr="00F448B1" w:rsidRDefault="00A5727E" w:rsidP="005E70E9">
      <w:pPr>
        <w:autoSpaceDE w:val="0"/>
        <w:autoSpaceDN w:val="0"/>
        <w:adjustRightInd w:val="0"/>
        <w:rPr>
          <w:sz w:val="18"/>
          <w:szCs w:val="18"/>
        </w:rPr>
      </w:pPr>
      <w:r w:rsidRPr="005F44D7">
        <w:rPr>
          <w:rStyle w:val="FootnoteReference"/>
        </w:rPr>
        <w:footnoteRef/>
      </w:r>
      <w:r w:rsidRPr="00F448B1">
        <w:rPr>
          <w:sz w:val="18"/>
          <w:szCs w:val="18"/>
        </w:rPr>
        <w:t xml:space="preserve"> </w:t>
      </w:r>
      <w:r w:rsidRPr="00F448B1">
        <w:rPr>
          <w:rFonts w:cs="AdvTTc7ad1622"/>
          <w:sz w:val="18"/>
          <w:szCs w:val="18"/>
        </w:rPr>
        <w:t>Glaze L. E., Keuble D.  C</w:t>
      </w:r>
      <w:r w:rsidRPr="00F448B1">
        <w:rPr>
          <w:rFonts w:cs="AdvTT17891b3d.I"/>
          <w:sz w:val="18"/>
          <w:szCs w:val="18"/>
        </w:rPr>
        <w:t xml:space="preserve">orrectional Populations in the United States, </w:t>
      </w:r>
      <w:r w:rsidRPr="00F448B1">
        <w:rPr>
          <w:rFonts w:cs="AdvTTc7ad1622"/>
          <w:sz w:val="18"/>
          <w:szCs w:val="18"/>
        </w:rPr>
        <w:t>2013.  Washington, DC: Bureau of Justice Statistics; 2014.</w:t>
      </w:r>
    </w:p>
  </w:footnote>
  <w:footnote w:id="34">
    <w:p w:rsidR="00A5727E" w:rsidRDefault="00A5727E" w:rsidP="005E70E9">
      <w:pPr>
        <w:pStyle w:val="authors"/>
        <w:shd w:val="clear" w:color="auto" w:fill="FFFFFF"/>
        <w:spacing w:before="0" w:beforeAutospacing="0" w:after="0" w:afterAutospacing="0"/>
        <w:textAlignment w:val="baseline"/>
      </w:pPr>
      <w:r w:rsidRPr="005F44D7">
        <w:rPr>
          <w:rStyle w:val="FootnoteReference"/>
        </w:rPr>
        <w:footnoteRef/>
      </w:r>
      <w:r w:rsidRPr="00F448B1">
        <w:rPr>
          <w:rFonts w:asciiTheme="minorHAnsi" w:hAnsiTheme="minorHAnsi"/>
          <w:color w:val="000000"/>
          <w:sz w:val="18"/>
          <w:szCs w:val="18"/>
        </w:rPr>
        <w:t xml:space="preserve"> </w:t>
      </w:r>
      <w:r w:rsidRPr="00F448B1">
        <w:rPr>
          <w:rFonts w:asciiTheme="minorHAnsi" w:hAnsiTheme="minorHAnsi" w:cs="Arial"/>
          <w:color w:val="000000"/>
          <w:sz w:val="18"/>
          <w:szCs w:val="18"/>
        </w:rPr>
        <w:t>Ingrid A. Binswanger, M.D., Marc F. Stern, M.D., Richard A. Deyo, M.D., Patrick J. Heagerty, Ph.D., Allen Cheadle, Ph.D., Joann G. Elmore, M.D., and Thomas D. Koepsell, M.D.  Release from Prison – A High Risk of Death for Former Inmates.</w:t>
      </w:r>
      <w:r w:rsidRPr="00F448B1">
        <w:rPr>
          <w:rStyle w:val="citation"/>
          <w:rFonts w:asciiTheme="minorHAnsi" w:hAnsiTheme="minorHAnsi" w:cs="Arial"/>
          <w:color w:val="000000"/>
          <w:sz w:val="18"/>
          <w:szCs w:val="18"/>
          <w:bdr w:val="none" w:sz="0" w:space="0" w:color="auto" w:frame="1"/>
        </w:rPr>
        <w:t>N Engl J Med 2007; 356:157-165</w:t>
      </w:r>
      <w:r>
        <w:rPr>
          <w:rStyle w:val="citation"/>
          <w:rFonts w:asciiTheme="minorHAnsi" w:hAnsiTheme="minorHAnsi" w:cs="Arial"/>
          <w:color w:val="000000"/>
          <w:sz w:val="18"/>
          <w:szCs w:val="18"/>
          <w:bdr w:val="none" w:sz="0" w:space="0" w:color="auto" w:frame="1"/>
        </w:rPr>
        <w:t xml:space="preserve"> </w:t>
      </w:r>
      <w:hyperlink r:id="rId5" w:history="1">
        <w:r w:rsidRPr="00F448B1">
          <w:rPr>
            <w:rStyle w:val="Hyperlink"/>
            <w:rFonts w:asciiTheme="minorHAnsi" w:hAnsiTheme="minorHAnsi" w:cs="Arial"/>
            <w:color w:val="000000"/>
            <w:sz w:val="18"/>
            <w:szCs w:val="18"/>
            <w:bdr w:val="none" w:sz="0" w:space="0" w:color="auto" w:frame="1"/>
          </w:rPr>
          <w:t>January 11, 2007</w:t>
        </w:r>
      </w:hyperlink>
      <w:r w:rsidRPr="00F448B1">
        <w:rPr>
          <w:rFonts w:asciiTheme="minorHAnsi" w:hAnsiTheme="minorHAnsi" w:cs="Arial"/>
          <w:color w:val="000000"/>
          <w:sz w:val="18"/>
          <w:szCs w:val="18"/>
        </w:rPr>
        <w:t xml:space="preserve">. </w:t>
      </w:r>
      <w:hyperlink r:id="rId6" w:anchor="t=articleTop" w:history="1">
        <w:r w:rsidRPr="00F448B1">
          <w:rPr>
            <w:rStyle w:val="Hyperlink"/>
            <w:rFonts w:asciiTheme="minorHAnsi" w:hAnsiTheme="minorHAnsi"/>
            <w:color w:val="000000"/>
            <w:sz w:val="18"/>
            <w:szCs w:val="18"/>
          </w:rPr>
          <w:t>http://www.nejm.org/doi/full/10.1056/nejmsa064115#t=articleTop</w:t>
        </w:r>
      </w:hyperlink>
      <w:r w:rsidRPr="00F448B1">
        <w:rPr>
          <w:rFonts w:asciiTheme="minorHAnsi" w:hAnsiTheme="minorHAnsi"/>
          <w:sz w:val="18"/>
          <w:szCs w:val="18"/>
        </w:rPr>
        <w:t xml:space="preserve">  </w:t>
      </w:r>
    </w:p>
  </w:footnote>
  <w:footnote w:id="35">
    <w:p w:rsidR="00A5727E" w:rsidRPr="00F448B1" w:rsidRDefault="00A5727E" w:rsidP="005E70E9">
      <w:pPr>
        <w:pStyle w:val="FootnoteText"/>
        <w:rPr>
          <w:rFonts w:asciiTheme="minorHAnsi" w:eastAsiaTheme="minorHAnsi" w:hAnsiTheme="minorHAnsi" w:cs="Times New Roman"/>
          <w:noProof/>
          <w:sz w:val="18"/>
          <w:szCs w:val="18"/>
        </w:rPr>
      </w:pPr>
      <w:r w:rsidRPr="005F44D7">
        <w:rPr>
          <w:rStyle w:val="FootnoteReference"/>
        </w:rPr>
        <w:footnoteRef/>
      </w:r>
      <w:r w:rsidRPr="00F448B1">
        <w:rPr>
          <w:rStyle w:val="FootnoteReference"/>
          <w:rFonts w:asciiTheme="minorHAnsi" w:hAnsiTheme="minorHAnsi"/>
          <w:sz w:val="18"/>
          <w:szCs w:val="18"/>
        </w:rPr>
        <w:t xml:space="preserve"> </w:t>
      </w:r>
      <w:r w:rsidRPr="00F448B1">
        <w:rPr>
          <w:rFonts w:asciiTheme="minorHAnsi" w:eastAsiaTheme="minorHAnsi" w:hAnsiTheme="minorHAnsi" w:cs="Times New Roman"/>
          <w:noProof/>
          <w:sz w:val="18"/>
          <w:szCs w:val="18"/>
        </w:rPr>
        <w:t>Hwang S. Homelessness and health. Can Med Assoc J. 2001;164(2):229-233.</w:t>
      </w:r>
    </w:p>
  </w:footnote>
  <w:footnote w:id="36">
    <w:p w:rsidR="00A5727E" w:rsidRPr="00F448B1" w:rsidRDefault="00A5727E" w:rsidP="005E70E9">
      <w:pPr>
        <w:widowControl w:val="0"/>
        <w:autoSpaceDE w:val="0"/>
        <w:autoSpaceDN w:val="0"/>
        <w:adjustRightInd w:val="0"/>
        <w:rPr>
          <w:sz w:val="18"/>
          <w:szCs w:val="18"/>
        </w:rPr>
      </w:pPr>
      <w:r w:rsidRPr="005F44D7">
        <w:rPr>
          <w:rStyle w:val="FootnoteReference"/>
        </w:rPr>
        <w:footnoteRef/>
      </w:r>
      <w:r w:rsidRPr="00F448B1">
        <w:rPr>
          <w:rStyle w:val="FootnoteReference"/>
          <w:rFonts w:eastAsia="Times New Roman"/>
          <w:sz w:val="18"/>
          <w:szCs w:val="18"/>
        </w:rPr>
        <w:t xml:space="preserve"> </w:t>
      </w:r>
      <w:r w:rsidRPr="00F448B1">
        <w:rPr>
          <w:rFonts w:cs="Times New Roman"/>
          <w:noProof/>
          <w:sz w:val="18"/>
          <w:szCs w:val="18"/>
        </w:rPr>
        <w:t>Fazel S, Geddes JR, Kushel M. The health of homeless people in high-income countries: descriptive epidemiology, health consequences, and clinical and policy recommendations. Lancet. 2014;384(9953):1529-1540. doi:10.1016/S0140-6736(14)61132-6.</w:t>
      </w:r>
    </w:p>
  </w:footnote>
  <w:footnote w:id="37">
    <w:p w:rsidR="00A5727E" w:rsidRPr="00F448B1" w:rsidRDefault="00A5727E" w:rsidP="008666E4">
      <w:pPr>
        <w:widowControl w:val="0"/>
        <w:autoSpaceDE w:val="0"/>
        <w:autoSpaceDN w:val="0"/>
        <w:adjustRightInd w:val="0"/>
        <w:rPr>
          <w:rFonts w:cs="Times New Roman"/>
          <w:noProof/>
          <w:sz w:val="18"/>
          <w:szCs w:val="18"/>
        </w:rPr>
      </w:pPr>
      <w:r w:rsidRPr="005F44D7">
        <w:rPr>
          <w:rStyle w:val="FootnoteReference"/>
        </w:rPr>
        <w:footnoteRef/>
      </w:r>
      <w:r w:rsidRPr="00F448B1">
        <w:rPr>
          <w:rFonts w:cs="Times New Roman"/>
          <w:sz w:val="18"/>
          <w:szCs w:val="18"/>
        </w:rPr>
        <w:t xml:space="preserve"> </w:t>
      </w:r>
      <w:r w:rsidRPr="00F448B1">
        <w:rPr>
          <w:rFonts w:cs="Times New Roman"/>
          <w:noProof/>
          <w:sz w:val="18"/>
          <w:szCs w:val="18"/>
        </w:rPr>
        <w:t xml:space="preserve">Hopper K, Jost J, Hay T, Welber S, Haugland G. Homelessness, severe mental illness, and the institutional circuit. </w:t>
      </w:r>
      <w:r>
        <w:rPr>
          <w:rFonts w:cs="Times New Roman"/>
          <w:i/>
          <w:iCs/>
          <w:noProof/>
          <w:sz w:val="18"/>
          <w:szCs w:val="18"/>
        </w:rPr>
        <w:t xml:space="preserve">Psychiatr </w:t>
      </w:r>
      <w:r w:rsidRPr="00F448B1">
        <w:rPr>
          <w:rFonts w:cs="Times New Roman"/>
          <w:i/>
          <w:iCs/>
          <w:noProof/>
          <w:sz w:val="18"/>
          <w:szCs w:val="18"/>
        </w:rPr>
        <w:t>Serv</w:t>
      </w:r>
      <w:r w:rsidRPr="00F448B1">
        <w:rPr>
          <w:rFonts w:cs="Times New Roman"/>
          <w:noProof/>
          <w:sz w:val="18"/>
          <w:szCs w:val="18"/>
        </w:rPr>
        <w:t>. 1997;48(5):659-665. doi:10.1176/ps.48.5.659.</w:t>
      </w:r>
    </w:p>
  </w:footnote>
  <w:footnote w:id="38">
    <w:p w:rsidR="00A5727E" w:rsidRPr="00F448B1" w:rsidRDefault="00A5727E" w:rsidP="005E70E9">
      <w:pPr>
        <w:widowControl w:val="0"/>
        <w:autoSpaceDE w:val="0"/>
        <w:autoSpaceDN w:val="0"/>
        <w:adjustRightInd w:val="0"/>
        <w:rPr>
          <w:rFonts w:cs="Times New Roman"/>
          <w:noProof/>
          <w:sz w:val="18"/>
          <w:szCs w:val="18"/>
        </w:rPr>
      </w:pPr>
      <w:r w:rsidRPr="005F44D7">
        <w:rPr>
          <w:rStyle w:val="FootnoteReference"/>
        </w:rPr>
        <w:footnoteRef/>
      </w:r>
      <w:r w:rsidRPr="00F448B1">
        <w:rPr>
          <w:rFonts w:cs="Times New Roman"/>
          <w:sz w:val="18"/>
          <w:szCs w:val="18"/>
        </w:rPr>
        <w:t xml:space="preserve"> </w:t>
      </w:r>
      <w:r w:rsidRPr="00F448B1">
        <w:rPr>
          <w:rFonts w:cs="Times New Roman"/>
          <w:noProof/>
          <w:sz w:val="18"/>
          <w:szCs w:val="18"/>
        </w:rPr>
        <w:t xml:space="preserve">Fuehrlein BS, Cowell AJ, Pollio D, Cupps L, Balfour ME, North CS. A prospective study of the associations among housing status and costs of services in a homeless population. </w:t>
      </w:r>
      <w:r w:rsidRPr="00F448B1">
        <w:rPr>
          <w:rFonts w:cs="Times New Roman"/>
          <w:i/>
          <w:iCs/>
          <w:noProof/>
          <w:sz w:val="18"/>
          <w:szCs w:val="18"/>
        </w:rPr>
        <w:t>Psychiatr Serv</w:t>
      </w:r>
      <w:r w:rsidRPr="00F448B1">
        <w:rPr>
          <w:rFonts w:cs="Times New Roman"/>
          <w:noProof/>
          <w:sz w:val="18"/>
          <w:szCs w:val="18"/>
        </w:rPr>
        <w:t>. 2015;66(1):27-32. doi:10.1176/appi.ps.201400010.</w:t>
      </w:r>
    </w:p>
  </w:footnote>
  <w:footnote w:id="39">
    <w:p w:rsidR="00A5727E" w:rsidRPr="00F448B1" w:rsidRDefault="00A5727E" w:rsidP="005E70E9">
      <w:pPr>
        <w:widowControl w:val="0"/>
        <w:autoSpaceDE w:val="0"/>
        <w:autoSpaceDN w:val="0"/>
        <w:adjustRightInd w:val="0"/>
        <w:rPr>
          <w:rFonts w:cs="Times New Roman"/>
          <w:noProof/>
          <w:sz w:val="18"/>
          <w:szCs w:val="18"/>
        </w:rPr>
      </w:pPr>
      <w:r w:rsidRPr="005F44D7">
        <w:rPr>
          <w:rStyle w:val="FootnoteReference"/>
        </w:rPr>
        <w:footnoteRef/>
      </w:r>
      <w:r w:rsidRPr="00F448B1">
        <w:rPr>
          <w:rFonts w:cs="Times New Roman"/>
          <w:sz w:val="18"/>
          <w:szCs w:val="18"/>
        </w:rPr>
        <w:t xml:space="preserve"> </w:t>
      </w:r>
      <w:r w:rsidRPr="00F448B1">
        <w:rPr>
          <w:rFonts w:cs="Times New Roman"/>
          <w:noProof/>
          <w:sz w:val="18"/>
          <w:szCs w:val="18"/>
        </w:rPr>
        <w:t xml:space="preserve">Culhane DP, Metraux S, Hadley T. Public Service Reductions Associated with Placement of Homeless Persons with Severe Mental Illness in Supportive Housing. </w:t>
      </w:r>
      <w:r w:rsidRPr="00F448B1">
        <w:rPr>
          <w:rFonts w:cs="Times New Roman"/>
          <w:i/>
          <w:iCs/>
          <w:noProof/>
          <w:sz w:val="18"/>
          <w:szCs w:val="18"/>
        </w:rPr>
        <w:t>Hous Policy Debate</w:t>
      </w:r>
      <w:r w:rsidRPr="00F448B1">
        <w:rPr>
          <w:rFonts w:cs="Times New Roman"/>
          <w:noProof/>
          <w:sz w:val="18"/>
          <w:szCs w:val="18"/>
        </w:rPr>
        <w:t>. 2002;13(1):107-163.</w:t>
      </w:r>
    </w:p>
  </w:footnote>
  <w:footnote w:id="40">
    <w:p w:rsidR="00A5727E" w:rsidRPr="00F448B1" w:rsidRDefault="00A5727E" w:rsidP="005E70E9">
      <w:pPr>
        <w:widowControl w:val="0"/>
        <w:autoSpaceDE w:val="0"/>
        <w:autoSpaceDN w:val="0"/>
        <w:adjustRightInd w:val="0"/>
        <w:rPr>
          <w:sz w:val="18"/>
          <w:szCs w:val="18"/>
        </w:rPr>
      </w:pPr>
      <w:r w:rsidRPr="005F44D7">
        <w:rPr>
          <w:rStyle w:val="FootnoteReference"/>
        </w:rPr>
        <w:footnoteRef/>
      </w:r>
      <w:r w:rsidRPr="00F448B1">
        <w:rPr>
          <w:rFonts w:cs="Times New Roman"/>
          <w:sz w:val="18"/>
          <w:szCs w:val="18"/>
        </w:rPr>
        <w:t xml:space="preserve"> </w:t>
      </w:r>
      <w:r w:rsidRPr="00F448B1">
        <w:rPr>
          <w:rFonts w:cs="Times New Roman"/>
          <w:noProof/>
          <w:sz w:val="18"/>
          <w:szCs w:val="18"/>
        </w:rPr>
        <w:t xml:space="preserve">Flaming D, Burns P, Matsunaga M. </w:t>
      </w:r>
      <w:r w:rsidRPr="00F448B1">
        <w:rPr>
          <w:rFonts w:cs="Times New Roman"/>
          <w:i/>
          <w:iCs/>
          <w:noProof/>
          <w:sz w:val="18"/>
          <w:szCs w:val="18"/>
        </w:rPr>
        <w:t>Where We Sleep: Costs When Homeless and Housed in Los Angeles</w:t>
      </w:r>
      <w:r w:rsidRPr="00F448B1">
        <w:rPr>
          <w:rFonts w:cs="Times New Roman"/>
          <w:noProof/>
          <w:sz w:val="18"/>
          <w:szCs w:val="18"/>
        </w:rPr>
        <w:t>. Los Angeles, CA: Economic Roundtable; 2009.</w:t>
      </w:r>
    </w:p>
  </w:footnote>
  <w:footnote w:id="41">
    <w:p w:rsidR="00A5727E" w:rsidRDefault="00A5727E" w:rsidP="005E70E9">
      <w:pPr>
        <w:widowControl w:val="0"/>
        <w:autoSpaceDE w:val="0"/>
        <w:autoSpaceDN w:val="0"/>
        <w:adjustRightInd w:val="0"/>
      </w:pPr>
      <w:r w:rsidRPr="005F44D7">
        <w:rPr>
          <w:rStyle w:val="FootnoteReference"/>
        </w:rPr>
        <w:footnoteRef/>
      </w:r>
      <w:r w:rsidRPr="00E45246">
        <w:rPr>
          <w:rStyle w:val="FootnoteReference"/>
          <w:sz w:val="18"/>
          <w:szCs w:val="18"/>
        </w:rPr>
        <w:t xml:space="preserve"> </w:t>
      </w:r>
      <w:r w:rsidRPr="00E45246">
        <w:rPr>
          <w:rFonts w:cs="Times New Roman"/>
          <w:noProof/>
          <w:sz w:val="18"/>
          <w:szCs w:val="18"/>
        </w:rPr>
        <w:t>P</w:t>
      </w:r>
      <w:r w:rsidRPr="00E45246">
        <w:rPr>
          <w:noProof/>
          <w:sz w:val="18"/>
          <w:szCs w:val="18"/>
        </w:rPr>
        <w:t>er member-per month (PMPM) costs.</w:t>
      </w:r>
    </w:p>
  </w:footnote>
  <w:footnote w:id="42">
    <w:p w:rsidR="00A5727E" w:rsidRPr="00F448B1" w:rsidRDefault="00A5727E" w:rsidP="005E70E9">
      <w:pPr>
        <w:autoSpaceDE w:val="0"/>
        <w:autoSpaceDN w:val="0"/>
        <w:adjustRightInd w:val="0"/>
        <w:rPr>
          <w:sz w:val="18"/>
          <w:szCs w:val="18"/>
        </w:rPr>
      </w:pPr>
      <w:r w:rsidRPr="005F44D7">
        <w:rPr>
          <w:rStyle w:val="FootnoteReference"/>
        </w:rPr>
        <w:footnoteRef/>
      </w:r>
      <w:r w:rsidRPr="00F448B1">
        <w:rPr>
          <w:sz w:val="18"/>
          <w:szCs w:val="18"/>
        </w:rPr>
        <w:t xml:space="preserve"> </w:t>
      </w:r>
      <w:r w:rsidRPr="00F448B1">
        <w:rPr>
          <w:rFonts w:cs="AdvOT596495f2"/>
          <w:sz w:val="18"/>
          <w:szCs w:val="18"/>
        </w:rPr>
        <w:t>Hasegawa, K., Espinola, J.A., Brown, D.F.M., Camargo, C.A., 2014. Trends in U.S. Emergency department visits for opioid overdose, 1993</w:t>
      </w:r>
      <w:r w:rsidRPr="00F448B1">
        <w:rPr>
          <w:rFonts w:cs="AdvOT596495f2+20"/>
          <w:sz w:val="18"/>
          <w:szCs w:val="18"/>
        </w:rPr>
        <w:t>–</w:t>
      </w:r>
      <w:r w:rsidRPr="00F448B1">
        <w:rPr>
          <w:rFonts w:cs="AdvOT596495f2"/>
          <w:sz w:val="18"/>
          <w:szCs w:val="18"/>
        </w:rPr>
        <w:t>2010. Pain Med. 15, 1765</w:t>
      </w:r>
      <w:r w:rsidRPr="00F448B1">
        <w:rPr>
          <w:rFonts w:cs="AdvOT596495f2+20"/>
          <w:sz w:val="18"/>
          <w:szCs w:val="18"/>
        </w:rPr>
        <w:t>–</w:t>
      </w:r>
      <w:r w:rsidRPr="00F448B1">
        <w:rPr>
          <w:rFonts w:cs="AdvOT596495f2"/>
          <w:sz w:val="18"/>
          <w:szCs w:val="18"/>
        </w:rPr>
        <w:t>1770. https://doi.org/10.1111/pme.12461.</w:t>
      </w:r>
    </w:p>
  </w:footnote>
  <w:footnote w:id="43">
    <w:p w:rsidR="00A5727E" w:rsidRPr="00F448B1" w:rsidRDefault="00A5727E" w:rsidP="005E70E9">
      <w:pPr>
        <w:autoSpaceDE w:val="0"/>
        <w:autoSpaceDN w:val="0"/>
        <w:adjustRightInd w:val="0"/>
        <w:rPr>
          <w:sz w:val="18"/>
          <w:szCs w:val="18"/>
        </w:rPr>
      </w:pPr>
      <w:r w:rsidRPr="005F44D7">
        <w:rPr>
          <w:rStyle w:val="FootnoteReference"/>
        </w:rPr>
        <w:footnoteRef/>
      </w:r>
      <w:r w:rsidRPr="00F448B1">
        <w:rPr>
          <w:sz w:val="18"/>
          <w:szCs w:val="18"/>
        </w:rPr>
        <w:t xml:space="preserve"> </w:t>
      </w:r>
      <w:r w:rsidRPr="00F448B1">
        <w:rPr>
          <w:rFonts w:cs="AdvOT596495f2"/>
          <w:sz w:val="18"/>
          <w:szCs w:val="18"/>
        </w:rPr>
        <w:t>Curtin, S., Tejada-Vera, B., Warner, M., 2017. Drug overdose deaths among adolescents aged 15</w:t>
      </w:r>
      <w:r w:rsidRPr="00F448B1">
        <w:rPr>
          <w:rFonts w:cs="AdvOT596495f2+20"/>
          <w:sz w:val="18"/>
          <w:szCs w:val="18"/>
        </w:rPr>
        <w:t>–</w:t>
      </w:r>
      <w:r w:rsidRPr="00F448B1">
        <w:rPr>
          <w:rFonts w:cs="AdvOT596495f2"/>
          <w:sz w:val="18"/>
          <w:szCs w:val="18"/>
        </w:rPr>
        <w:t>19 in the United States: 1999</w:t>
      </w:r>
      <w:r w:rsidRPr="00F448B1">
        <w:rPr>
          <w:rFonts w:cs="AdvOT596495f2+20"/>
          <w:sz w:val="18"/>
          <w:szCs w:val="18"/>
        </w:rPr>
        <w:t>–</w:t>
      </w:r>
      <w:r w:rsidRPr="00F448B1">
        <w:rPr>
          <w:rFonts w:cs="AdvOT596495f2"/>
          <w:sz w:val="18"/>
          <w:szCs w:val="18"/>
        </w:rPr>
        <w:t>2015. NCHS Data Brief 282, 1</w:t>
      </w:r>
      <w:r w:rsidRPr="00F448B1">
        <w:rPr>
          <w:rFonts w:cs="AdvOT596495f2+20"/>
          <w:sz w:val="18"/>
          <w:szCs w:val="18"/>
        </w:rPr>
        <w:t>–</w:t>
      </w:r>
      <w:r w:rsidRPr="00F448B1">
        <w:rPr>
          <w:rFonts w:cs="AdvOT596495f2"/>
          <w:sz w:val="18"/>
          <w:szCs w:val="18"/>
        </w:rPr>
        <w:t>8.</w:t>
      </w:r>
    </w:p>
  </w:footnote>
  <w:footnote w:id="44">
    <w:p w:rsidR="00A5727E" w:rsidRPr="00601F0B" w:rsidRDefault="00A5727E">
      <w:pPr>
        <w:pStyle w:val="FootnoteText"/>
        <w:rPr>
          <w:rFonts w:asciiTheme="minorHAnsi" w:hAnsiTheme="minorHAnsi"/>
          <w:sz w:val="18"/>
          <w:szCs w:val="18"/>
        </w:rPr>
      </w:pPr>
      <w:r w:rsidRPr="005F44D7">
        <w:rPr>
          <w:rStyle w:val="FootnoteReference"/>
        </w:rPr>
        <w:footnoteRef/>
      </w:r>
      <w:r w:rsidRPr="00601F0B">
        <w:rPr>
          <w:rFonts w:asciiTheme="minorHAnsi" w:hAnsiTheme="minorHAnsi"/>
          <w:sz w:val="18"/>
          <w:szCs w:val="18"/>
        </w:rPr>
        <w:t xml:space="preserve"> </w:t>
      </w:r>
      <w:r w:rsidRPr="0097072A">
        <w:rPr>
          <w:rFonts w:asciiTheme="minorHAnsi" w:hAnsiTheme="minorHAnsi" w:cs="Times New Roman"/>
          <w:color w:val="000000"/>
          <w:sz w:val="18"/>
          <w:szCs w:val="18"/>
        </w:rPr>
        <w:t>Chatterjee, A. Larochelle,MR, et al.</w:t>
      </w:r>
      <w:r w:rsidRPr="0097072A">
        <w:rPr>
          <w:rFonts w:asciiTheme="minorHAnsi" w:hAnsiTheme="minorHAnsi" w:cs="AdvOT596495f2"/>
          <w:sz w:val="18"/>
          <w:szCs w:val="18"/>
        </w:rPr>
        <w:t xml:space="preserve"> </w:t>
      </w:r>
      <w:r w:rsidRPr="0097072A">
        <w:rPr>
          <w:rFonts w:asciiTheme="minorHAnsi" w:hAnsiTheme="minorHAnsi" w:cs="Times New Roman"/>
          <w:color w:val="000000"/>
          <w:sz w:val="18"/>
          <w:szCs w:val="18"/>
        </w:rPr>
        <w:t>Non-fatal opioid-related overdoses among adolescents in Massachusetts 2012–2014.</w:t>
      </w:r>
      <w:r w:rsidRPr="0097072A">
        <w:rPr>
          <w:rFonts w:asciiTheme="minorHAnsi" w:hAnsiTheme="minorHAnsi" w:cs="CharisSIL"/>
          <w:color w:val="0080AC"/>
          <w:sz w:val="18"/>
          <w:szCs w:val="18"/>
        </w:rPr>
        <w:t xml:space="preserve"> </w:t>
      </w:r>
      <w:r w:rsidRPr="0097072A">
        <w:rPr>
          <w:rFonts w:asciiTheme="minorHAnsi" w:hAnsiTheme="minorHAnsi" w:cs="Times New Roman"/>
          <w:color w:val="000000"/>
          <w:sz w:val="18"/>
          <w:szCs w:val="18"/>
        </w:rPr>
        <w:t>Drug and Alcohol Dependence 194 (2019) 28–31</w:t>
      </w:r>
    </w:p>
  </w:footnote>
  <w:footnote w:id="45">
    <w:p w:rsidR="00A5727E" w:rsidRPr="00DB2284" w:rsidRDefault="00A5727E">
      <w:pPr>
        <w:pStyle w:val="FootnoteText"/>
        <w:rPr>
          <w:rFonts w:asciiTheme="minorHAnsi" w:hAnsiTheme="minorHAnsi"/>
          <w:sz w:val="18"/>
          <w:szCs w:val="18"/>
        </w:rPr>
      </w:pPr>
      <w:r w:rsidRPr="005F44D7">
        <w:rPr>
          <w:rStyle w:val="FootnoteReference"/>
        </w:rPr>
        <w:footnoteRef/>
      </w:r>
      <w:r w:rsidRPr="00DB2284">
        <w:rPr>
          <w:rFonts w:asciiTheme="minorHAnsi" w:hAnsiTheme="minorHAnsi"/>
          <w:sz w:val="18"/>
          <w:szCs w:val="18"/>
        </w:rPr>
        <w:t xml:space="preserve"> </w:t>
      </w:r>
      <w:r w:rsidRPr="0097072A">
        <w:rPr>
          <w:rFonts w:asciiTheme="minorHAnsi" w:hAnsiTheme="minorHAnsi" w:cs="Times New Roman"/>
          <w:sz w:val="18"/>
          <w:szCs w:val="18"/>
        </w:rPr>
        <w:t>Chatterjee, A, et al.</w:t>
      </w:r>
      <w:r w:rsidRPr="0097072A">
        <w:rPr>
          <w:rFonts w:asciiTheme="minorHAnsi" w:hAnsiTheme="minorHAnsi" w:cs="AdvOT596495f2"/>
          <w:sz w:val="18"/>
          <w:szCs w:val="18"/>
        </w:rPr>
        <w:t xml:space="preserve"> </w:t>
      </w:r>
      <w:r w:rsidRPr="0097072A">
        <w:rPr>
          <w:rFonts w:asciiTheme="minorHAnsi" w:hAnsiTheme="minorHAnsi" w:cs="Times New Roman"/>
          <w:sz w:val="18"/>
          <w:szCs w:val="18"/>
        </w:rPr>
        <w:t>Non-fatal opioid-related overdoses among adolescents in Massachusetts 2012–2014.</w:t>
      </w:r>
      <w:r w:rsidRPr="0097072A">
        <w:rPr>
          <w:rFonts w:asciiTheme="minorHAnsi" w:hAnsiTheme="minorHAnsi" w:cs="AdvOT596495f2"/>
          <w:sz w:val="18"/>
          <w:szCs w:val="18"/>
        </w:rPr>
        <w:t xml:space="preserve"> </w:t>
      </w:r>
      <w:r w:rsidRPr="0097072A">
        <w:rPr>
          <w:rFonts w:asciiTheme="minorHAnsi" w:hAnsiTheme="minorHAnsi" w:cs="Times New Roman"/>
          <w:sz w:val="18"/>
          <w:szCs w:val="18"/>
        </w:rPr>
        <w:t>Drug and Alcohol Dependence 194 (2019) 28–31.</w:t>
      </w:r>
    </w:p>
  </w:footnote>
  <w:footnote w:id="46">
    <w:p w:rsidR="00A5727E" w:rsidRPr="000C592A" w:rsidRDefault="00A5727E" w:rsidP="00A345A8">
      <w:pPr>
        <w:autoSpaceDE w:val="0"/>
        <w:autoSpaceDN w:val="0"/>
        <w:adjustRightInd w:val="0"/>
      </w:pPr>
      <w:r w:rsidRPr="005F44D7">
        <w:rPr>
          <w:rStyle w:val="FootnoteReference"/>
        </w:rPr>
        <w:footnoteRef/>
      </w:r>
      <w:r w:rsidRPr="00036B6E">
        <w:rPr>
          <w:sz w:val="18"/>
          <w:szCs w:val="18"/>
        </w:rPr>
        <w:t xml:space="preserve"> </w:t>
      </w:r>
      <w:r w:rsidRPr="0097072A">
        <w:rPr>
          <w:rFonts w:eastAsia="Times New Roman" w:cs="Times New Roman"/>
          <w:sz w:val="18"/>
          <w:szCs w:val="18"/>
        </w:rPr>
        <w:t>Schiff, DM, et al. Fatal and Nonfatal Overdose Among Pregnant and Postpartum Women in Massachusetts</w:t>
      </w:r>
      <w:r w:rsidRPr="0053198D">
        <w:rPr>
          <w:rFonts w:cs="AdvPSA538"/>
          <w:sz w:val="18"/>
          <w:szCs w:val="18"/>
        </w:rPr>
        <w:t xml:space="preserve">. </w:t>
      </w:r>
      <w:r>
        <w:rPr>
          <w:rFonts w:cs="AdvPSA538"/>
          <w:sz w:val="18"/>
          <w:szCs w:val="18"/>
        </w:rPr>
        <w:t xml:space="preserve">Obstetrics &amp; Gynecology. </w:t>
      </w:r>
      <w:r w:rsidRPr="0053198D">
        <w:rPr>
          <w:rFonts w:cs="AdvPSA538"/>
          <w:sz w:val="18"/>
          <w:szCs w:val="18"/>
        </w:rPr>
        <w:t xml:space="preserve"> </w:t>
      </w:r>
      <w:r w:rsidRPr="0053198D">
        <w:rPr>
          <w:rFonts w:cs="AdvPS8C2A"/>
          <w:sz w:val="18"/>
          <w:szCs w:val="18"/>
        </w:rPr>
        <w:t>VOL. 132, NO. 2, AUGUST 2018</w:t>
      </w:r>
      <w:r>
        <w:rPr>
          <w:rFonts w:cs="AdvPS8C2A"/>
          <w:sz w:val="18"/>
          <w:szCs w:val="18"/>
        </w:rPr>
        <w:t>.</w:t>
      </w:r>
    </w:p>
  </w:footnote>
  <w:footnote w:id="47">
    <w:p w:rsidR="00A5727E" w:rsidRPr="00A345A8" w:rsidRDefault="00A5727E">
      <w:pPr>
        <w:pStyle w:val="FootnoteText"/>
        <w:rPr>
          <w:rFonts w:asciiTheme="minorHAnsi" w:hAnsiTheme="minorHAnsi"/>
          <w:sz w:val="18"/>
          <w:szCs w:val="18"/>
        </w:rPr>
      </w:pPr>
      <w:r w:rsidRPr="005F44D7">
        <w:rPr>
          <w:rStyle w:val="FootnoteReference"/>
        </w:rPr>
        <w:footnoteRef/>
      </w:r>
      <w:r w:rsidRPr="0097072A">
        <w:rPr>
          <w:rFonts w:asciiTheme="minorHAnsi" w:hAnsiTheme="minorHAnsi" w:cs="Times New Roman"/>
          <w:sz w:val="18"/>
          <w:szCs w:val="18"/>
        </w:rPr>
        <w:t xml:space="preserve"> Rose et al. Effect of Age on Opioid Prescribing, Overdose, and Mortality in Massachusetts, 2011 to 2015). Obstetrics &amp; Gynecology. VOL. 132, NO. 2, August 2018.</w:t>
      </w:r>
    </w:p>
  </w:footnote>
  <w:footnote w:id="48">
    <w:p w:rsidR="00A5727E" w:rsidRPr="00064C86" w:rsidRDefault="00A5727E" w:rsidP="005E70E9">
      <w:pPr>
        <w:pStyle w:val="FootnoteText"/>
        <w:rPr>
          <w:rFonts w:asciiTheme="minorHAnsi" w:hAnsiTheme="minorHAnsi"/>
          <w:sz w:val="18"/>
          <w:szCs w:val="18"/>
        </w:rPr>
      </w:pPr>
      <w:r w:rsidRPr="005F44D7">
        <w:rPr>
          <w:rStyle w:val="FootnoteReference"/>
        </w:rPr>
        <w:footnoteRef/>
      </w:r>
      <w:r w:rsidRPr="00064C86">
        <w:rPr>
          <w:rFonts w:asciiTheme="minorHAnsi" w:hAnsiTheme="minorHAnsi"/>
          <w:sz w:val="18"/>
          <w:szCs w:val="18"/>
        </w:rPr>
        <w:t xml:space="preserve"> Headquarters, Department of the U.S. Army. Army 2020: Generating Health &amp; Discipline in the Force Ahead of the Strategic Reset. Report 2012. U.S. Army Website. http://usarmy.vo.llnwd.net/e2/c /downloads/235822.pdf. Published January 2012. Accessed May 11, 2015. </w:t>
      </w:r>
    </w:p>
  </w:footnote>
  <w:footnote w:id="49">
    <w:p w:rsidR="00A5727E" w:rsidRPr="00064C86" w:rsidRDefault="00A5727E" w:rsidP="005E70E9">
      <w:pPr>
        <w:pStyle w:val="FootnoteText"/>
        <w:rPr>
          <w:rFonts w:asciiTheme="minorHAnsi" w:hAnsiTheme="minorHAnsi"/>
          <w:sz w:val="18"/>
          <w:szCs w:val="18"/>
        </w:rPr>
      </w:pPr>
      <w:r w:rsidRPr="005F44D7">
        <w:rPr>
          <w:rStyle w:val="FootnoteReference"/>
        </w:rPr>
        <w:footnoteRef/>
      </w:r>
      <w:r w:rsidRPr="00064C86">
        <w:rPr>
          <w:rFonts w:asciiTheme="minorHAnsi" w:hAnsiTheme="minorHAnsi"/>
          <w:sz w:val="18"/>
          <w:szCs w:val="18"/>
        </w:rPr>
        <w:t xml:space="preserve"> Bennett AS, Elliott L, Golub A. Opioid and other substance misuse, overdose risk, and the potential for prevention among a sample of OEF/OIF veterans in New York City. Subst Use Misuse. 2013;48(10):894-907.</w:t>
      </w:r>
    </w:p>
  </w:footnote>
  <w:footnote w:id="50">
    <w:p w:rsidR="00A5727E" w:rsidRPr="00064C86" w:rsidRDefault="00A5727E" w:rsidP="005E70E9">
      <w:pPr>
        <w:pStyle w:val="FootnoteText"/>
        <w:rPr>
          <w:rFonts w:asciiTheme="minorHAnsi" w:hAnsiTheme="minorHAnsi"/>
          <w:sz w:val="18"/>
          <w:szCs w:val="18"/>
        </w:rPr>
      </w:pPr>
      <w:r w:rsidRPr="005F44D7">
        <w:rPr>
          <w:rStyle w:val="FootnoteReference"/>
        </w:rPr>
        <w:footnoteRef/>
      </w:r>
      <w:r w:rsidRPr="00064C86">
        <w:rPr>
          <w:rFonts w:asciiTheme="minorHAnsi" w:hAnsiTheme="minorHAnsi"/>
          <w:sz w:val="18"/>
          <w:szCs w:val="18"/>
        </w:rPr>
        <w:t xml:space="preserve"> Bohnert AS, Ilgen MA, Galea S, McCarthy JF, Blow FC. Accidental poisoning mortality among patients in the Department of Veterans Affairs Health System. Med Care. 2011;49(4):393-396. </w:t>
      </w:r>
    </w:p>
  </w:footnote>
  <w:footnote w:id="51">
    <w:p w:rsidR="00A5727E" w:rsidRPr="00064C86" w:rsidRDefault="00A5727E" w:rsidP="005E70E9">
      <w:pPr>
        <w:pStyle w:val="FootnoteText"/>
        <w:rPr>
          <w:rFonts w:asciiTheme="minorHAnsi" w:hAnsiTheme="minorHAnsi"/>
          <w:sz w:val="18"/>
          <w:szCs w:val="18"/>
        </w:rPr>
      </w:pPr>
      <w:r w:rsidRPr="005F44D7">
        <w:rPr>
          <w:rStyle w:val="FootnoteReference"/>
        </w:rPr>
        <w:footnoteRef/>
      </w:r>
      <w:r w:rsidRPr="00064C86">
        <w:rPr>
          <w:rFonts w:asciiTheme="minorHAnsi" w:hAnsiTheme="minorHAnsi"/>
          <w:sz w:val="18"/>
          <w:szCs w:val="18"/>
        </w:rPr>
        <w:t xml:space="preserve"> Oliva EM. Opioid overdose education and naloxone distribution (OEND): preventing and responding to an opioid overdose. Department of Veterans Affairs Website. http://www.hsrd.research.va.gov/for _researchers/cyber_seminars/archives/video _archive.cfm?SessionID=868. Published September 2, 2014. </w:t>
      </w:r>
    </w:p>
  </w:footnote>
  <w:footnote w:id="52">
    <w:p w:rsidR="00A5727E" w:rsidRPr="00DD7070" w:rsidRDefault="00A5727E">
      <w:pPr>
        <w:pStyle w:val="FootnoteText"/>
        <w:rPr>
          <w:rFonts w:asciiTheme="minorHAnsi" w:hAnsiTheme="minorHAnsi"/>
          <w:sz w:val="18"/>
          <w:szCs w:val="18"/>
        </w:rPr>
      </w:pPr>
      <w:r w:rsidRPr="005F44D7">
        <w:rPr>
          <w:rStyle w:val="FootnoteReference"/>
        </w:rPr>
        <w:footnoteRef/>
      </w:r>
      <w:r w:rsidRPr="00DD7070">
        <w:rPr>
          <w:rFonts w:asciiTheme="minorHAnsi" w:hAnsiTheme="minorHAnsi"/>
          <w:sz w:val="18"/>
          <w:szCs w:val="18"/>
        </w:rPr>
        <w:t xml:space="preserve"> </w:t>
      </w:r>
      <w:r w:rsidRPr="007D1230">
        <w:rPr>
          <w:rFonts w:asciiTheme="minorHAnsi" w:hAnsiTheme="minorHAnsi"/>
          <w:sz w:val="18"/>
          <w:szCs w:val="18"/>
        </w:rPr>
        <w:t>Jasuja GK, Ameli O, Miller DR, Land T, Bernson D, Rose AJ, Berlowitz DR, Smelson DA. Overdose Risk for Veterans Receiving Opioids From Multiple Sources. Am J Manag Care. 2018;24(11):536-540.</w:t>
      </w:r>
    </w:p>
  </w:footnote>
  <w:footnote w:id="53">
    <w:p w:rsidR="00A5727E" w:rsidRPr="00DB2284" w:rsidRDefault="00A5727E">
      <w:pPr>
        <w:pStyle w:val="FootnoteText"/>
        <w:rPr>
          <w:rFonts w:asciiTheme="minorHAnsi" w:hAnsiTheme="minorHAnsi"/>
          <w:sz w:val="18"/>
          <w:szCs w:val="18"/>
        </w:rPr>
      </w:pPr>
      <w:r w:rsidRPr="005F44D7">
        <w:rPr>
          <w:rStyle w:val="FootnoteReference"/>
        </w:rPr>
        <w:footnoteRef/>
      </w:r>
      <w:r w:rsidRPr="00DB2284">
        <w:rPr>
          <w:rFonts w:asciiTheme="minorHAnsi" w:hAnsiTheme="minorHAnsi"/>
          <w:sz w:val="18"/>
          <w:szCs w:val="18"/>
        </w:rPr>
        <w:t xml:space="preserve"> </w:t>
      </w:r>
      <w:r w:rsidRPr="00151B0F">
        <w:rPr>
          <w:rFonts w:asciiTheme="minorHAnsi" w:hAnsiTheme="minorHAnsi" w:cs="Times New Roman"/>
          <w:sz w:val="18"/>
          <w:szCs w:val="18"/>
        </w:rPr>
        <w:t>Chatterjee, A, et al.</w:t>
      </w:r>
      <w:r w:rsidRPr="00151B0F">
        <w:rPr>
          <w:rFonts w:asciiTheme="minorHAnsi" w:hAnsiTheme="minorHAnsi" w:cs="AdvOT596495f2"/>
          <w:sz w:val="18"/>
          <w:szCs w:val="18"/>
        </w:rPr>
        <w:t xml:space="preserve"> </w:t>
      </w:r>
      <w:r w:rsidRPr="00151B0F">
        <w:rPr>
          <w:rFonts w:asciiTheme="minorHAnsi" w:hAnsiTheme="minorHAnsi" w:cs="Times New Roman"/>
          <w:sz w:val="18"/>
          <w:szCs w:val="18"/>
        </w:rPr>
        <w:t>Non-fatal opioid-related overdoses among adolescents in Massachusetts 2012–2014.</w:t>
      </w:r>
      <w:r w:rsidRPr="00151B0F">
        <w:rPr>
          <w:rFonts w:asciiTheme="minorHAnsi" w:hAnsiTheme="minorHAnsi" w:cs="AdvOT596495f2"/>
          <w:sz w:val="18"/>
          <w:szCs w:val="18"/>
        </w:rPr>
        <w:t xml:space="preserve"> </w:t>
      </w:r>
      <w:r w:rsidRPr="00151B0F">
        <w:rPr>
          <w:rFonts w:asciiTheme="minorHAnsi" w:hAnsiTheme="minorHAnsi" w:cs="Times New Roman"/>
          <w:sz w:val="18"/>
          <w:szCs w:val="18"/>
        </w:rPr>
        <w:t>Drug and Alcohol Dependence 194 (2019) 28–31.</w:t>
      </w:r>
    </w:p>
  </w:footnote>
  <w:footnote w:id="54">
    <w:p w:rsidR="00A5727E" w:rsidRPr="00F13064" w:rsidRDefault="00A5727E" w:rsidP="00F13064">
      <w:pPr>
        <w:autoSpaceDE w:val="0"/>
        <w:autoSpaceDN w:val="0"/>
        <w:adjustRightInd w:val="0"/>
        <w:rPr>
          <w:rFonts w:cs="VckvwpAdvTT73efd071"/>
          <w:color w:val="131413"/>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 xml:space="preserve">Jones CM, Paulozzi LJ, Mack KA. </w:t>
      </w:r>
      <w:r w:rsidRPr="00F13064">
        <w:rPr>
          <w:rFonts w:cs="VckvwpAdvTT73efd071"/>
          <w:color w:val="131413"/>
          <w:sz w:val="18"/>
          <w:szCs w:val="18"/>
        </w:rPr>
        <w:t>Sources of prescription opioid pain relievers by frequency of past-year nonmedical use United States, 2008- 2011. JAMA Intern Med. 2014;174:802</w:t>
      </w:r>
      <w:r w:rsidRPr="00F13064">
        <w:rPr>
          <w:rFonts w:cs="ChtklcAdvTT73efd071+20"/>
          <w:color w:val="131413"/>
          <w:sz w:val="18"/>
          <w:szCs w:val="18"/>
        </w:rPr>
        <w:t>–</w:t>
      </w:r>
      <w:r w:rsidRPr="00F13064">
        <w:rPr>
          <w:rFonts w:cs="VckvwpAdvTT73efd071"/>
          <w:color w:val="131413"/>
          <w:sz w:val="18"/>
          <w:szCs w:val="18"/>
        </w:rPr>
        <w:t xml:space="preserve">3. </w:t>
      </w:r>
    </w:p>
  </w:footnote>
  <w:footnote w:id="55">
    <w:p w:rsidR="00A5727E" w:rsidRPr="00F13064" w:rsidRDefault="00A5727E" w:rsidP="00F13064">
      <w:pPr>
        <w:autoSpaceDE w:val="0"/>
        <w:autoSpaceDN w:val="0"/>
        <w:adjustRightInd w:val="0"/>
        <w:rPr>
          <w:rFonts w:cs="VckvwpAdvTT73efd071"/>
          <w:color w:val="131413"/>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 xml:space="preserve">Schuchat A, Houry D, Guy GP. </w:t>
      </w:r>
      <w:r w:rsidRPr="00F13064">
        <w:rPr>
          <w:rFonts w:cs="VckvwpAdvTT73efd071"/>
          <w:color w:val="131413"/>
          <w:sz w:val="18"/>
          <w:szCs w:val="18"/>
        </w:rPr>
        <w:t>New data on opioid use and prescribing in the United States. JAMA. 2017;318:425</w:t>
      </w:r>
      <w:r w:rsidRPr="00F13064">
        <w:rPr>
          <w:rFonts w:cs="ChtklcAdvTT73efd071+20"/>
          <w:color w:val="131413"/>
          <w:sz w:val="18"/>
          <w:szCs w:val="18"/>
        </w:rPr>
        <w:t>–</w:t>
      </w:r>
      <w:r w:rsidRPr="00F13064">
        <w:rPr>
          <w:rFonts w:cs="VckvwpAdvTT73efd071"/>
          <w:color w:val="131413"/>
          <w:sz w:val="18"/>
          <w:szCs w:val="18"/>
        </w:rPr>
        <w:t>426.</w:t>
      </w:r>
    </w:p>
  </w:footnote>
  <w:footnote w:id="56">
    <w:p w:rsidR="00A5727E" w:rsidRPr="00126C50" w:rsidRDefault="00A5727E">
      <w:pPr>
        <w:pStyle w:val="FootnoteText"/>
        <w:rPr>
          <w:rFonts w:asciiTheme="minorHAnsi" w:hAnsiTheme="minorHAnsi"/>
          <w:sz w:val="18"/>
          <w:szCs w:val="18"/>
        </w:rPr>
      </w:pPr>
      <w:r w:rsidRPr="005F44D7">
        <w:rPr>
          <w:rStyle w:val="FootnoteReference"/>
        </w:rPr>
        <w:footnoteRef/>
      </w:r>
      <w:r w:rsidRPr="00126C50">
        <w:rPr>
          <w:rFonts w:asciiTheme="minorHAnsi" w:hAnsiTheme="minorHAnsi"/>
          <w:sz w:val="18"/>
          <w:szCs w:val="18"/>
        </w:rPr>
        <w:t xml:space="preserve"> </w:t>
      </w:r>
      <w:hyperlink r:id="rId7" w:anchor="updated-data---q1-2019---as-of-may-2019-" w:history="1">
        <w:r w:rsidRPr="00126C50">
          <w:rPr>
            <w:rStyle w:val="Hyperlink"/>
            <w:rFonts w:asciiTheme="minorHAnsi" w:hAnsiTheme="minorHAnsi"/>
            <w:sz w:val="18"/>
            <w:szCs w:val="18"/>
          </w:rPr>
          <w:t>https://www.mass.gov/lists/current-opioid-statistics#updated-data---q1-2019---as-of-may-2019-</w:t>
        </w:r>
      </w:hyperlink>
    </w:p>
  </w:footnote>
  <w:footnote w:id="57">
    <w:p w:rsidR="00A5727E" w:rsidRPr="00F13064" w:rsidRDefault="00A5727E" w:rsidP="00F13064">
      <w:pPr>
        <w:autoSpaceDE w:val="0"/>
        <w:autoSpaceDN w:val="0"/>
        <w:adjustRightInd w:val="0"/>
        <w:rPr>
          <w:rStyle w:val="FootnoteReference"/>
          <w:sz w:val="18"/>
          <w:szCs w:val="18"/>
        </w:rPr>
      </w:pPr>
      <w:r w:rsidRPr="005F44D7">
        <w:rPr>
          <w:rStyle w:val="FootnoteReference"/>
        </w:rPr>
        <w:footnoteRef/>
      </w:r>
      <w:r w:rsidRPr="00F13064">
        <w:rPr>
          <w:rFonts w:cs="VckvwpAdvTT73efd071"/>
          <w:color w:val="131413"/>
          <w:sz w:val="18"/>
          <w:szCs w:val="18"/>
        </w:rPr>
        <w:t xml:space="preserve"> Liu Y, Logan JE, Paulozzi LJ, Zhang K, Jones CM. Potential misuse and inappropriate prescription practices involving opioid analgesics. Am J Manag Care. 2013;19:648–665.</w:t>
      </w:r>
    </w:p>
  </w:footnote>
  <w:footnote w:id="58">
    <w:p w:rsidR="00A5727E" w:rsidRPr="00F13064" w:rsidRDefault="00A5727E" w:rsidP="00F13064">
      <w:pPr>
        <w:autoSpaceDE w:val="0"/>
        <w:autoSpaceDN w:val="0"/>
        <w:adjustRightInd w:val="0"/>
        <w:rPr>
          <w:sz w:val="18"/>
          <w:szCs w:val="18"/>
        </w:rPr>
      </w:pPr>
      <w:r w:rsidRPr="005F44D7">
        <w:rPr>
          <w:rStyle w:val="FootnoteReference"/>
        </w:rPr>
        <w:footnoteRef/>
      </w:r>
      <w:r w:rsidRPr="00F13064">
        <w:rPr>
          <w:rFonts w:cs="VckvwpAdvTT73efd071"/>
          <w:color w:val="131413"/>
          <w:sz w:val="18"/>
          <w:szCs w:val="18"/>
          <w:vertAlign w:val="superscript"/>
        </w:rPr>
        <w:t xml:space="preserve"> </w:t>
      </w:r>
      <w:r w:rsidRPr="00F13064">
        <w:rPr>
          <w:rFonts w:cs="VckvwpAdvTT73efd071"/>
          <w:color w:val="131413"/>
          <w:sz w:val="18"/>
          <w:szCs w:val="18"/>
        </w:rPr>
        <w:t>Gellad WF, Zhao X, Thorpe CT, et al. Overlapping buprenorphine, opioid, and benzodiazepine prescriptions among veterans dually enrolled in Department of Veterans Affairs and Medicare Part D. Subst Abus. 2017;38:22–5.</w:t>
      </w:r>
    </w:p>
  </w:footnote>
  <w:footnote w:id="59">
    <w:p w:rsidR="00A5727E" w:rsidRPr="00F13064" w:rsidRDefault="00A5727E" w:rsidP="00F13064">
      <w:pPr>
        <w:autoSpaceDE w:val="0"/>
        <w:autoSpaceDN w:val="0"/>
        <w:adjustRightInd w:val="0"/>
        <w:rPr>
          <w:sz w:val="18"/>
          <w:szCs w:val="18"/>
        </w:rPr>
      </w:pPr>
      <w:r w:rsidRPr="005F44D7">
        <w:rPr>
          <w:rStyle w:val="FootnoteReference"/>
        </w:rPr>
        <w:footnoteRef/>
      </w:r>
      <w:r w:rsidRPr="00F13064">
        <w:rPr>
          <w:rFonts w:cs="VckvwpAdvTT73efd071"/>
          <w:color w:val="131413"/>
          <w:sz w:val="18"/>
          <w:szCs w:val="18"/>
          <w:vertAlign w:val="superscript"/>
        </w:rPr>
        <w:t xml:space="preserve"> </w:t>
      </w:r>
      <w:r w:rsidRPr="00F13064">
        <w:rPr>
          <w:sz w:val="18"/>
          <w:szCs w:val="18"/>
        </w:rPr>
        <w:t>Gwira Baumblatt JA, Wiedeman C, et al. High-risk use by patients prescribed opioids for pain and its role in overdose deaths. JAMA Intern Med. 2014;174:796–801.</w:t>
      </w:r>
    </w:p>
  </w:footnote>
  <w:footnote w:id="60">
    <w:p w:rsidR="00A5727E" w:rsidRPr="00F13064" w:rsidRDefault="00A5727E" w:rsidP="00F13064">
      <w:pPr>
        <w:autoSpaceDE w:val="0"/>
        <w:autoSpaceDN w:val="0"/>
        <w:adjustRightInd w:val="0"/>
        <w:rPr>
          <w:sz w:val="18"/>
          <w:szCs w:val="18"/>
        </w:rPr>
      </w:pPr>
      <w:r w:rsidRPr="005F44D7">
        <w:rPr>
          <w:rStyle w:val="FootnoteReference"/>
        </w:rPr>
        <w:footnoteRef/>
      </w:r>
      <w:r w:rsidRPr="00F13064">
        <w:rPr>
          <w:sz w:val="18"/>
          <w:szCs w:val="18"/>
        </w:rPr>
        <w:t xml:space="preserve"> Cochran G, Gordon AJ, Lo-Ciganic WH, et al. An examination of claims-based predictors of overdose from a large medicaid program. Med Care. 2017;55:291–8.</w:t>
      </w:r>
    </w:p>
  </w:footnote>
  <w:footnote w:id="61">
    <w:p w:rsidR="00A5727E" w:rsidRPr="00F13064" w:rsidRDefault="00A5727E" w:rsidP="00F13064">
      <w:pPr>
        <w:autoSpaceDE w:val="0"/>
        <w:autoSpaceDN w:val="0"/>
        <w:adjustRightInd w:val="0"/>
        <w:rPr>
          <w:sz w:val="18"/>
          <w:szCs w:val="18"/>
        </w:rPr>
      </w:pPr>
      <w:r w:rsidRPr="005F44D7">
        <w:rPr>
          <w:rStyle w:val="FootnoteReference"/>
        </w:rPr>
        <w:footnoteRef/>
      </w:r>
      <w:r w:rsidRPr="00F13064">
        <w:rPr>
          <w:rFonts w:cs="VckvwpAdvTT73efd071"/>
          <w:color w:val="131413"/>
          <w:sz w:val="18"/>
          <w:szCs w:val="18"/>
          <w:vertAlign w:val="superscript"/>
        </w:rPr>
        <w:t xml:space="preserve"> </w:t>
      </w:r>
      <w:r w:rsidRPr="00F13064">
        <w:rPr>
          <w:sz w:val="18"/>
          <w:szCs w:val="18"/>
        </w:rPr>
        <w:t>Yang Z, Wilsey B, Bohm M, et al. Defining risk of prescription opioid overdose: pharmacy shopping and overlapping prescriptions among longterm opioid users in medicaid. J Pain. 2015;16:445–53.</w:t>
      </w:r>
    </w:p>
  </w:footnote>
  <w:footnote w:id="62">
    <w:p w:rsidR="00A5727E" w:rsidRPr="00F13064" w:rsidRDefault="00A5727E" w:rsidP="00F13064">
      <w:pPr>
        <w:autoSpaceDE w:val="0"/>
        <w:autoSpaceDN w:val="0"/>
        <w:adjustRightInd w:val="0"/>
        <w:rPr>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 xml:space="preserve">Bohnert AS, Valenstein M, Bair MJ, et al. </w:t>
      </w:r>
      <w:r w:rsidRPr="00F13064">
        <w:rPr>
          <w:rFonts w:cs="VckvwpAdvTT73efd071"/>
          <w:color w:val="131413"/>
          <w:sz w:val="18"/>
          <w:szCs w:val="18"/>
        </w:rPr>
        <w:t>Association between opioid prescribing patterns and opioid overdose-related deaths. JAMA.2011;305:1315</w:t>
      </w:r>
      <w:r w:rsidRPr="00F13064">
        <w:rPr>
          <w:rFonts w:cs="ChtklcAdvTT73efd071+20"/>
          <w:color w:val="131413"/>
          <w:sz w:val="18"/>
          <w:szCs w:val="18"/>
        </w:rPr>
        <w:t>–</w:t>
      </w:r>
      <w:r w:rsidRPr="00F13064">
        <w:rPr>
          <w:rFonts w:cs="VckvwpAdvTT73efd071"/>
          <w:color w:val="131413"/>
          <w:sz w:val="18"/>
          <w:szCs w:val="18"/>
        </w:rPr>
        <w:t>21.</w:t>
      </w:r>
    </w:p>
  </w:footnote>
  <w:footnote w:id="63">
    <w:p w:rsidR="00A5727E" w:rsidRPr="00F13064" w:rsidRDefault="00A5727E" w:rsidP="00F13064">
      <w:pPr>
        <w:autoSpaceDE w:val="0"/>
        <w:autoSpaceDN w:val="0"/>
        <w:adjustRightInd w:val="0"/>
        <w:rPr>
          <w:rFonts w:cs="GdjdcdAdvTT92610610.B"/>
          <w:color w:val="131413"/>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Zedler B, Xie L, Wang L, et al. Risk factors for serious prescription opioid-related toxicity or overdose among Veterans Health Administration patients. Pain Med. 014;15:1911–29.</w:t>
      </w:r>
    </w:p>
  </w:footnote>
  <w:footnote w:id="64">
    <w:p w:rsidR="00A5727E" w:rsidRPr="00F13064" w:rsidRDefault="00A5727E" w:rsidP="00F13064">
      <w:pPr>
        <w:autoSpaceDE w:val="0"/>
        <w:autoSpaceDN w:val="0"/>
        <w:adjustRightInd w:val="0"/>
        <w:rPr>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Garg RK, Fulton-Kehoe D, Franklin GM. Patterns of opioid use and risk of opioid overdose death among medicaid patients. Med Care. 2017;55:661–8.</w:t>
      </w:r>
    </w:p>
  </w:footnote>
  <w:footnote w:id="65">
    <w:p w:rsidR="00A5727E" w:rsidRPr="00F13064" w:rsidRDefault="00A5727E" w:rsidP="00F13064">
      <w:pPr>
        <w:autoSpaceDE w:val="0"/>
        <w:autoSpaceDN w:val="0"/>
        <w:adjustRightInd w:val="0"/>
        <w:rPr>
          <w:rFonts w:cs="GdjdcdAdvTT92610610.B"/>
          <w:color w:val="131413"/>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Cochran G, Gordon AJ, Lo-Ciganic WH, et al. An examination of claims-based predictors of overdose from a large medicaid program. Med Care. 2017;55:291–8.</w:t>
      </w:r>
    </w:p>
  </w:footnote>
  <w:footnote w:id="66">
    <w:p w:rsidR="00A5727E" w:rsidRPr="00B01CA2" w:rsidRDefault="00A5727E" w:rsidP="00F13064">
      <w:pPr>
        <w:autoSpaceDE w:val="0"/>
        <w:autoSpaceDN w:val="0"/>
        <w:adjustRightInd w:val="0"/>
        <w:rPr>
          <w:rFonts w:cs="GdjdcdAdvTT92610610.B"/>
          <w:color w:val="131413"/>
          <w:sz w:val="18"/>
          <w:szCs w:val="18"/>
        </w:rPr>
      </w:pPr>
      <w:r w:rsidRPr="005F44D7">
        <w:rPr>
          <w:rStyle w:val="FootnoteReference"/>
        </w:rPr>
        <w:footnoteRef/>
      </w:r>
      <w:r w:rsidRPr="00F13064">
        <w:rPr>
          <w:sz w:val="18"/>
          <w:szCs w:val="18"/>
        </w:rPr>
        <w:t xml:space="preserve"> </w:t>
      </w:r>
      <w:r w:rsidRPr="00F13064">
        <w:rPr>
          <w:rFonts w:cs="GdjdcdAdvTT92610610.B"/>
          <w:color w:val="131413"/>
          <w:sz w:val="18"/>
          <w:szCs w:val="18"/>
        </w:rPr>
        <w:t>Park TW, Saitz R, Ganoczy D, Ilgen MA, Bohnert AS. Benzodiazepine prescribing patterns and deaths from drug overdose among US veterans receiving opioid analgesics:  Case-cohort study. BMJ. 2015;350:h2698.</w:t>
      </w:r>
    </w:p>
  </w:footnote>
  <w:footnote w:id="67">
    <w:p w:rsidR="00A5727E" w:rsidRDefault="00A5727E" w:rsidP="00F13064">
      <w:pPr>
        <w:autoSpaceDE w:val="0"/>
        <w:autoSpaceDN w:val="0"/>
        <w:adjustRightInd w:val="0"/>
      </w:pPr>
      <w:r w:rsidRPr="005F44D7">
        <w:rPr>
          <w:rStyle w:val="FootnoteReference"/>
        </w:rPr>
        <w:footnoteRef/>
      </w:r>
      <w:r w:rsidRPr="00F13064">
        <w:rPr>
          <w:sz w:val="18"/>
          <w:szCs w:val="18"/>
        </w:rPr>
        <w:t xml:space="preserve"> </w:t>
      </w:r>
      <w:r w:rsidRPr="00F13064">
        <w:rPr>
          <w:rFonts w:cs="LvdrbbAdvTTb8864ccf.B"/>
          <w:color w:val="131413"/>
          <w:sz w:val="18"/>
          <w:szCs w:val="18"/>
        </w:rPr>
        <w:t>Association of Potentially Inappropriate Opioid Prescribing (PIP) and the Outcomes of All-Cause Mortality, Fatal Opioid Overdose,</w:t>
      </w:r>
      <w:r>
        <w:rPr>
          <w:rFonts w:cs="LvdrbbAdvTTb8864ccf.B"/>
          <w:color w:val="131413"/>
          <w:sz w:val="18"/>
          <w:szCs w:val="18"/>
        </w:rPr>
        <w:t xml:space="preserve"> </w:t>
      </w:r>
      <w:r w:rsidRPr="00F13064">
        <w:rPr>
          <w:rFonts w:cs="LvdrbbAdvTTb8864ccf.B"/>
          <w:color w:val="131413"/>
          <w:sz w:val="18"/>
          <w:szCs w:val="18"/>
        </w:rPr>
        <w:t>and Non-fatal Opioid Overdose in Massachusetts from 2011 to 2015.</w:t>
      </w:r>
    </w:p>
  </w:footnote>
  <w:footnote w:id="68">
    <w:p w:rsidR="00A5727E" w:rsidRPr="000C592A" w:rsidRDefault="00A5727E">
      <w:pPr>
        <w:pStyle w:val="FootnoteText"/>
        <w:rPr>
          <w:rFonts w:asciiTheme="minorHAnsi" w:hAnsiTheme="minorHAnsi"/>
          <w:sz w:val="18"/>
          <w:szCs w:val="18"/>
        </w:rPr>
      </w:pPr>
      <w:r w:rsidRPr="005F44D7">
        <w:rPr>
          <w:rStyle w:val="FootnoteReference"/>
        </w:rPr>
        <w:footnoteRef/>
      </w:r>
      <w:r w:rsidRPr="000C592A">
        <w:rPr>
          <w:rFonts w:asciiTheme="minorHAnsi" w:hAnsiTheme="minorHAnsi"/>
          <w:sz w:val="18"/>
          <w:szCs w:val="18"/>
        </w:rPr>
        <w:t xml:space="preserve"> Ibid</w:t>
      </w:r>
    </w:p>
  </w:footnote>
  <w:footnote w:id="69">
    <w:p w:rsidR="00A5727E" w:rsidRPr="00F13064" w:rsidRDefault="00A5727E">
      <w:pPr>
        <w:pStyle w:val="FootnoteText"/>
        <w:rPr>
          <w:rFonts w:asciiTheme="minorHAnsi" w:hAnsiTheme="minorHAnsi"/>
          <w:sz w:val="18"/>
          <w:szCs w:val="18"/>
        </w:rPr>
      </w:pPr>
      <w:r w:rsidRPr="005F44D7">
        <w:rPr>
          <w:rStyle w:val="FootnoteReference"/>
        </w:rPr>
        <w:footnoteRef/>
      </w:r>
      <w:r w:rsidRPr="00F13064">
        <w:rPr>
          <w:rFonts w:asciiTheme="minorHAnsi" w:hAnsiTheme="minorHAnsi"/>
          <w:sz w:val="18"/>
          <w:szCs w:val="18"/>
        </w:rPr>
        <w:t xml:space="preserve"> Medical residents are qualified physicians who have passed their medical boards and who practice medicine under the direct or indirect supervision of a senior clinician.</w:t>
      </w:r>
    </w:p>
  </w:footnote>
  <w:footnote w:id="70">
    <w:p w:rsidR="00A5727E" w:rsidRDefault="00A5727E">
      <w:pPr>
        <w:pStyle w:val="FootnoteText"/>
      </w:pPr>
      <w:r w:rsidRPr="005F44D7">
        <w:rPr>
          <w:rStyle w:val="FootnoteReference"/>
        </w:rPr>
        <w:footnoteRef/>
      </w:r>
      <w:r>
        <w:t xml:space="preserve"> </w:t>
      </w:r>
      <w:r w:rsidRPr="0097072A">
        <w:rPr>
          <w:rFonts w:asciiTheme="minorHAnsi" w:hAnsiTheme="minorHAnsi" w:cs="Times New Roman"/>
          <w:sz w:val="18"/>
          <w:szCs w:val="18"/>
        </w:rPr>
        <w:t>Larochelle, M. et al. Medication for Opioid Use Disorder After Nonfatal Opioid Overdose and Association With Mortality. Ann Intern Med. doi:10.7326/M17-3107.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7E" w:rsidRDefault="00A5727E">
    <w:pPr>
      <w:pStyle w:val="Header"/>
    </w:pPr>
  </w:p>
  <w:p w:rsidR="00A5727E" w:rsidRDefault="00A57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A1AD2"/>
    <w:multiLevelType w:val="hybridMultilevel"/>
    <w:tmpl w:val="7D275B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762279"/>
    <w:multiLevelType w:val="hybridMultilevel"/>
    <w:tmpl w:val="75BC2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E40A9"/>
    <w:multiLevelType w:val="hybridMultilevel"/>
    <w:tmpl w:val="D0FE60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573878"/>
    <w:multiLevelType w:val="hybridMultilevel"/>
    <w:tmpl w:val="4754B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C124D3"/>
    <w:multiLevelType w:val="hybridMultilevel"/>
    <w:tmpl w:val="DF24F59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BBF31DA"/>
    <w:multiLevelType w:val="hybridMultilevel"/>
    <w:tmpl w:val="897C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7"/>
    <w:multiLevelType w:val="hybridMultilevel"/>
    <w:tmpl w:val="C99AB28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1904CF"/>
    <w:multiLevelType w:val="hybridMultilevel"/>
    <w:tmpl w:val="53FE9C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01411B"/>
    <w:multiLevelType w:val="hybridMultilevel"/>
    <w:tmpl w:val="01F0AE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EA10D9"/>
    <w:multiLevelType w:val="hybridMultilevel"/>
    <w:tmpl w:val="6E9CE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0F4BC8"/>
    <w:multiLevelType w:val="hybridMultilevel"/>
    <w:tmpl w:val="4C281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4A153F"/>
    <w:multiLevelType w:val="hybridMultilevel"/>
    <w:tmpl w:val="AB2C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31445"/>
    <w:multiLevelType w:val="hybridMultilevel"/>
    <w:tmpl w:val="A75C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710B4"/>
    <w:multiLevelType w:val="hybridMultilevel"/>
    <w:tmpl w:val="EA22B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813422"/>
    <w:multiLevelType w:val="hybridMultilevel"/>
    <w:tmpl w:val="8C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C3D3E"/>
    <w:multiLevelType w:val="hybridMultilevel"/>
    <w:tmpl w:val="86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2638F"/>
    <w:multiLevelType w:val="multilevel"/>
    <w:tmpl w:val="4B30D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61F64ED"/>
    <w:multiLevelType w:val="hybridMultilevel"/>
    <w:tmpl w:val="33082940"/>
    <w:lvl w:ilvl="0" w:tplc="C38A36A0">
      <w:start w:val="1"/>
      <w:numFmt w:val="bullet"/>
      <w:lvlText w:val="•"/>
      <w:lvlJc w:val="left"/>
      <w:pPr>
        <w:tabs>
          <w:tab w:val="num" w:pos="720"/>
        </w:tabs>
        <w:ind w:left="720" w:hanging="360"/>
      </w:pPr>
      <w:rPr>
        <w:rFonts w:ascii="Arial" w:hAnsi="Arial" w:hint="default"/>
      </w:rPr>
    </w:lvl>
    <w:lvl w:ilvl="1" w:tplc="1CA8DA30" w:tentative="1">
      <w:start w:val="1"/>
      <w:numFmt w:val="bullet"/>
      <w:lvlText w:val="•"/>
      <w:lvlJc w:val="left"/>
      <w:pPr>
        <w:tabs>
          <w:tab w:val="num" w:pos="1440"/>
        </w:tabs>
        <w:ind w:left="1440" w:hanging="360"/>
      </w:pPr>
      <w:rPr>
        <w:rFonts w:ascii="Arial" w:hAnsi="Arial" w:hint="default"/>
      </w:rPr>
    </w:lvl>
    <w:lvl w:ilvl="2" w:tplc="224865BE" w:tentative="1">
      <w:start w:val="1"/>
      <w:numFmt w:val="bullet"/>
      <w:lvlText w:val="•"/>
      <w:lvlJc w:val="left"/>
      <w:pPr>
        <w:tabs>
          <w:tab w:val="num" w:pos="2160"/>
        </w:tabs>
        <w:ind w:left="2160" w:hanging="360"/>
      </w:pPr>
      <w:rPr>
        <w:rFonts w:ascii="Arial" w:hAnsi="Arial" w:hint="default"/>
      </w:rPr>
    </w:lvl>
    <w:lvl w:ilvl="3" w:tplc="B712D266" w:tentative="1">
      <w:start w:val="1"/>
      <w:numFmt w:val="bullet"/>
      <w:lvlText w:val="•"/>
      <w:lvlJc w:val="left"/>
      <w:pPr>
        <w:tabs>
          <w:tab w:val="num" w:pos="2880"/>
        </w:tabs>
        <w:ind w:left="2880" w:hanging="360"/>
      </w:pPr>
      <w:rPr>
        <w:rFonts w:ascii="Arial" w:hAnsi="Arial" w:hint="default"/>
      </w:rPr>
    </w:lvl>
    <w:lvl w:ilvl="4" w:tplc="20F26312" w:tentative="1">
      <w:start w:val="1"/>
      <w:numFmt w:val="bullet"/>
      <w:lvlText w:val="•"/>
      <w:lvlJc w:val="left"/>
      <w:pPr>
        <w:tabs>
          <w:tab w:val="num" w:pos="3600"/>
        </w:tabs>
        <w:ind w:left="3600" w:hanging="360"/>
      </w:pPr>
      <w:rPr>
        <w:rFonts w:ascii="Arial" w:hAnsi="Arial" w:hint="default"/>
      </w:rPr>
    </w:lvl>
    <w:lvl w:ilvl="5" w:tplc="460E0BF4" w:tentative="1">
      <w:start w:val="1"/>
      <w:numFmt w:val="bullet"/>
      <w:lvlText w:val="•"/>
      <w:lvlJc w:val="left"/>
      <w:pPr>
        <w:tabs>
          <w:tab w:val="num" w:pos="4320"/>
        </w:tabs>
        <w:ind w:left="4320" w:hanging="360"/>
      </w:pPr>
      <w:rPr>
        <w:rFonts w:ascii="Arial" w:hAnsi="Arial" w:hint="default"/>
      </w:rPr>
    </w:lvl>
    <w:lvl w:ilvl="6" w:tplc="0A4695B2" w:tentative="1">
      <w:start w:val="1"/>
      <w:numFmt w:val="bullet"/>
      <w:lvlText w:val="•"/>
      <w:lvlJc w:val="left"/>
      <w:pPr>
        <w:tabs>
          <w:tab w:val="num" w:pos="5040"/>
        </w:tabs>
        <w:ind w:left="5040" w:hanging="360"/>
      </w:pPr>
      <w:rPr>
        <w:rFonts w:ascii="Arial" w:hAnsi="Arial" w:hint="default"/>
      </w:rPr>
    </w:lvl>
    <w:lvl w:ilvl="7" w:tplc="32D46E58" w:tentative="1">
      <w:start w:val="1"/>
      <w:numFmt w:val="bullet"/>
      <w:lvlText w:val="•"/>
      <w:lvlJc w:val="left"/>
      <w:pPr>
        <w:tabs>
          <w:tab w:val="num" w:pos="5760"/>
        </w:tabs>
        <w:ind w:left="5760" w:hanging="360"/>
      </w:pPr>
      <w:rPr>
        <w:rFonts w:ascii="Arial" w:hAnsi="Arial" w:hint="default"/>
      </w:rPr>
    </w:lvl>
    <w:lvl w:ilvl="8" w:tplc="B7B8BA9E" w:tentative="1">
      <w:start w:val="1"/>
      <w:numFmt w:val="bullet"/>
      <w:lvlText w:val="•"/>
      <w:lvlJc w:val="left"/>
      <w:pPr>
        <w:tabs>
          <w:tab w:val="num" w:pos="6480"/>
        </w:tabs>
        <w:ind w:left="6480" w:hanging="360"/>
      </w:pPr>
      <w:rPr>
        <w:rFonts w:ascii="Arial" w:hAnsi="Arial" w:hint="default"/>
      </w:rPr>
    </w:lvl>
  </w:abstractNum>
  <w:abstractNum w:abstractNumId="18">
    <w:nsid w:val="464045DA"/>
    <w:multiLevelType w:val="hybridMultilevel"/>
    <w:tmpl w:val="04102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C21739"/>
    <w:multiLevelType w:val="hybridMultilevel"/>
    <w:tmpl w:val="2FF2DE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C72592"/>
    <w:multiLevelType w:val="hybridMultilevel"/>
    <w:tmpl w:val="01F0AE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1F2C2D"/>
    <w:multiLevelType w:val="hybridMultilevel"/>
    <w:tmpl w:val="F1469F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641493"/>
    <w:multiLevelType w:val="hybridMultilevel"/>
    <w:tmpl w:val="C72A0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5540281"/>
    <w:multiLevelType w:val="hybridMultilevel"/>
    <w:tmpl w:val="764C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11598"/>
    <w:multiLevelType w:val="hybridMultilevel"/>
    <w:tmpl w:val="4476D64C"/>
    <w:lvl w:ilvl="0" w:tplc="A4AE3A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4536A4"/>
    <w:multiLevelType w:val="hybridMultilevel"/>
    <w:tmpl w:val="ED8843C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3AA0AC9"/>
    <w:multiLevelType w:val="hybridMultilevel"/>
    <w:tmpl w:val="EC0C3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60265F"/>
    <w:multiLevelType w:val="hybridMultilevel"/>
    <w:tmpl w:val="B73E61A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1A605B"/>
    <w:multiLevelType w:val="hybridMultilevel"/>
    <w:tmpl w:val="C7F8F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BA962B9"/>
    <w:multiLevelType w:val="multilevel"/>
    <w:tmpl w:val="3C1A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2"/>
  </w:num>
  <w:num w:numId="4">
    <w:abstractNumId w:val="24"/>
  </w:num>
  <w:num w:numId="5">
    <w:abstractNumId w:val="27"/>
  </w:num>
  <w:num w:numId="6">
    <w:abstractNumId w:val="22"/>
  </w:num>
  <w:num w:numId="7">
    <w:abstractNumId w:val="18"/>
  </w:num>
  <w:num w:numId="8">
    <w:abstractNumId w:val="10"/>
  </w:num>
  <w:num w:numId="9">
    <w:abstractNumId w:val="21"/>
  </w:num>
  <w:num w:numId="10">
    <w:abstractNumId w:val="26"/>
  </w:num>
  <w:num w:numId="11">
    <w:abstractNumId w:val="9"/>
  </w:num>
  <w:num w:numId="12">
    <w:abstractNumId w:val="1"/>
  </w:num>
  <w:num w:numId="13">
    <w:abstractNumId w:val="4"/>
  </w:num>
  <w:num w:numId="14">
    <w:abstractNumId w:val="1"/>
  </w:num>
  <w:num w:numId="15">
    <w:abstractNumId w:val="16"/>
  </w:num>
  <w:num w:numId="16">
    <w:abstractNumId w:val="20"/>
  </w:num>
  <w:num w:numId="17">
    <w:abstractNumId w:val="2"/>
  </w:num>
  <w:num w:numId="18">
    <w:abstractNumId w:val="13"/>
  </w:num>
  <w:num w:numId="19">
    <w:abstractNumId w:val="6"/>
  </w:num>
  <w:num w:numId="20">
    <w:abstractNumId w:val="7"/>
  </w:num>
  <w:num w:numId="21">
    <w:abstractNumId w:val="28"/>
  </w:num>
  <w:num w:numId="22">
    <w:abstractNumId w:val="11"/>
  </w:num>
  <w:num w:numId="23">
    <w:abstractNumId w:val="3"/>
  </w:num>
  <w:num w:numId="24">
    <w:abstractNumId w:val="25"/>
  </w:num>
  <w:num w:numId="25">
    <w:abstractNumId w:val="15"/>
  </w:num>
  <w:num w:numId="26">
    <w:abstractNumId w:val="19"/>
  </w:num>
  <w:num w:numId="27">
    <w:abstractNumId w:val="29"/>
  </w:num>
  <w:num w:numId="28">
    <w:abstractNumId w:val="17"/>
  </w:num>
  <w:num w:numId="29">
    <w:abstractNumId w:val="8"/>
  </w:num>
  <w:num w:numId="30">
    <w:abstractNumId w:val="5"/>
  </w:num>
  <w:num w:numId="3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4c59d5e-676a-420e-aa40-56c1019503f3"/>
  </w:docVars>
  <w:rsids>
    <w:rsidRoot w:val="002F7890"/>
    <w:rsid w:val="00000D6A"/>
    <w:rsid w:val="00002739"/>
    <w:rsid w:val="00005551"/>
    <w:rsid w:val="000065E6"/>
    <w:rsid w:val="0001037D"/>
    <w:rsid w:val="0001339D"/>
    <w:rsid w:val="00013CAA"/>
    <w:rsid w:val="00016623"/>
    <w:rsid w:val="00017CCA"/>
    <w:rsid w:val="000202B4"/>
    <w:rsid w:val="00023798"/>
    <w:rsid w:val="00023AD6"/>
    <w:rsid w:val="0003150B"/>
    <w:rsid w:val="00036B6E"/>
    <w:rsid w:val="00041229"/>
    <w:rsid w:val="00042910"/>
    <w:rsid w:val="00045627"/>
    <w:rsid w:val="00046AA7"/>
    <w:rsid w:val="0005042B"/>
    <w:rsid w:val="000515C7"/>
    <w:rsid w:val="000516BC"/>
    <w:rsid w:val="00051B8F"/>
    <w:rsid w:val="00064C86"/>
    <w:rsid w:val="000663F9"/>
    <w:rsid w:val="00071060"/>
    <w:rsid w:val="000714FD"/>
    <w:rsid w:val="00071D71"/>
    <w:rsid w:val="00073A25"/>
    <w:rsid w:val="00075599"/>
    <w:rsid w:val="00076396"/>
    <w:rsid w:val="000810A8"/>
    <w:rsid w:val="00082019"/>
    <w:rsid w:val="00083A84"/>
    <w:rsid w:val="00084F10"/>
    <w:rsid w:val="000865C8"/>
    <w:rsid w:val="0009585A"/>
    <w:rsid w:val="0009613F"/>
    <w:rsid w:val="000962DC"/>
    <w:rsid w:val="000972FC"/>
    <w:rsid w:val="000A2181"/>
    <w:rsid w:val="000B3BFE"/>
    <w:rsid w:val="000B626B"/>
    <w:rsid w:val="000B7F0E"/>
    <w:rsid w:val="000C3410"/>
    <w:rsid w:val="000C4F51"/>
    <w:rsid w:val="000C592A"/>
    <w:rsid w:val="000C615A"/>
    <w:rsid w:val="000D1972"/>
    <w:rsid w:val="000D2856"/>
    <w:rsid w:val="000D38A4"/>
    <w:rsid w:val="000D398F"/>
    <w:rsid w:val="000E2CCC"/>
    <w:rsid w:val="000E3FA5"/>
    <w:rsid w:val="000E4D4B"/>
    <w:rsid w:val="000F0B4A"/>
    <w:rsid w:val="000F7F8B"/>
    <w:rsid w:val="001002CE"/>
    <w:rsid w:val="0010398B"/>
    <w:rsid w:val="00105B68"/>
    <w:rsid w:val="00111496"/>
    <w:rsid w:val="00112D5F"/>
    <w:rsid w:val="001167DA"/>
    <w:rsid w:val="0011696E"/>
    <w:rsid w:val="00116BFF"/>
    <w:rsid w:val="00122142"/>
    <w:rsid w:val="001224D3"/>
    <w:rsid w:val="0012294E"/>
    <w:rsid w:val="001237C0"/>
    <w:rsid w:val="0012568A"/>
    <w:rsid w:val="00126C50"/>
    <w:rsid w:val="00127992"/>
    <w:rsid w:val="00127EBE"/>
    <w:rsid w:val="001349DD"/>
    <w:rsid w:val="001359E9"/>
    <w:rsid w:val="001364A0"/>
    <w:rsid w:val="00143B19"/>
    <w:rsid w:val="00145E79"/>
    <w:rsid w:val="00146F17"/>
    <w:rsid w:val="00151B0F"/>
    <w:rsid w:val="00154F3A"/>
    <w:rsid w:val="00155F5C"/>
    <w:rsid w:val="001650BA"/>
    <w:rsid w:val="001660B3"/>
    <w:rsid w:val="0016652D"/>
    <w:rsid w:val="0016780C"/>
    <w:rsid w:val="00173B57"/>
    <w:rsid w:val="00173D8C"/>
    <w:rsid w:val="0017732F"/>
    <w:rsid w:val="001816BC"/>
    <w:rsid w:val="0018551D"/>
    <w:rsid w:val="00186746"/>
    <w:rsid w:val="00194910"/>
    <w:rsid w:val="00197409"/>
    <w:rsid w:val="001A018D"/>
    <w:rsid w:val="001A138A"/>
    <w:rsid w:val="001A5948"/>
    <w:rsid w:val="001A5A1D"/>
    <w:rsid w:val="001A696D"/>
    <w:rsid w:val="001B01EC"/>
    <w:rsid w:val="001B0532"/>
    <w:rsid w:val="001B06A9"/>
    <w:rsid w:val="001B15E9"/>
    <w:rsid w:val="001B1B8C"/>
    <w:rsid w:val="001B2062"/>
    <w:rsid w:val="001B37C6"/>
    <w:rsid w:val="001B474B"/>
    <w:rsid w:val="001C50D4"/>
    <w:rsid w:val="001C5D84"/>
    <w:rsid w:val="001D2F87"/>
    <w:rsid w:val="001D6148"/>
    <w:rsid w:val="001E3774"/>
    <w:rsid w:val="001E3EA2"/>
    <w:rsid w:val="001E5354"/>
    <w:rsid w:val="001F2FD0"/>
    <w:rsid w:val="001F5AA4"/>
    <w:rsid w:val="00201FD1"/>
    <w:rsid w:val="0020472F"/>
    <w:rsid w:val="002053DE"/>
    <w:rsid w:val="002064AA"/>
    <w:rsid w:val="002077A0"/>
    <w:rsid w:val="00207F8E"/>
    <w:rsid w:val="002114FA"/>
    <w:rsid w:val="002123FC"/>
    <w:rsid w:val="0021533C"/>
    <w:rsid w:val="00215F82"/>
    <w:rsid w:val="00217830"/>
    <w:rsid w:val="00217D60"/>
    <w:rsid w:val="002214BC"/>
    <w:rsid w:val="00223E67"/>
    <w:rsid w:val="002277A4"/>
    <w:rsid w:val="0023175C"/>
    <w:rsid w:val="00231F06"/>
    <w:rsid w:val="002343B1"/>
    <w:rsid w:val="00236618"/>
    <w:rsid w:val="002415DF"/>
    <w:rsid w:val="00242861"/>
    <w:rsid w:val="00243B93"/>
    <w:rsid w:val="00244C85"/>
    <w:rsid w:val="00254BFC"/>
    <w:rsid w:val="00257390"/>
    <w:rsid w:val="002602ED"/>
    <w:rsid w:val="00260ECA"/>
    <w:rsid w:val="00262287"/>
    <w:rsid w:val="00262B90"/>
    <w:rsid w:val="002630EE"/>
    <w:rsid w:val="00264EF1"/>
    <w:rsid w:val="00264F2D"/>
    <w:rsid w:val="00270A3E"/>
    <w:rsid w:val="0027201C"/>
    <w:rsid w:val="00272421"/>
    <w:rsid w:val="002728E2"/>
    <w:rsid w:val="002752F1"/>
    <w:rsid w:val="00275C30"/>
    <w:rsid w:val="00280412"/>
    <w:rsid w:val="00282C3A"/>
    <w:rsid w:val="00282E01"/>
    <w:rsid w:val="002830EA"/>
    <w:rsid w:val="00284C44"/>
    <w:rsid w:val="002876BD"/>
    <w:rsid w:val="00290936"/>
    <w:rsid w:val="00292575"/>
    <w:rsid w:val="00295260"/>
    <w:rsid w:val="00297731"/>
    <w:rsid w:val="002A433E"/>
    <w:rsid w:val="002A46C7"/>
    <w:rsid w:val="002A5F39"/>
    <w:rsid w:val="002A7F48"/>
    <w:rsid w:val="002B0129"/>
    <w:rsid w:val="002B339A"/>
    <w:rsid w:val="002B390F"/>
    <w:rsid w:val="002B3BC3"/>
    <w:rsid w:val="002B491A"/>
    <w:rsid w:val="002B640F"/>
    <w:rsid w:val="002B6EBB"/>
    <w:rsid w:val="002B7DE9"/>
    <w:rsid w:val="002C07A0"/>
    <w:rsid w:val="002D0974"/>
    <w:rsid w:val="002D30A8"/>
    <w:rsid w:val="002D6398"/>
    <w:rsid w:val="002E3EDD"/>
    <w:rsid w:val="002E5B83"/>
    <w:rsid w:val="002F1910"/>
    <w:rsid w:val="002F1E74"/>
    <w:rsid w:val="002F7890"/>
    <w:rsid w:val="00300629"/>
    <w:rsid w:val="00301838"/>
    <w:rsid w:val="003032B9"/>
    <w:rsid w:val="00304269"/>
    <w:rsid w:val="003055A5"/>
    <w:rsid w:val="00312899"/>
    <w:rsid w:val="0031299A"/>
    <w:rsid w:val="003152A3"/>
    <w:rsid w:val="00322D78"/>
    <w:rsid w:val="003258B0"/>
    <w:rsid w:val="00330A13"/>
    <w:rsid w:val="00330FD7"/>
    <w:rsid w:val="003339E3"/>
    <w:rsid w:val="003343F0"/>
    <w:rsid w:val="00337E84"/>
    <w:rsid w:val="00340550"/>
    <w:rsid w:val="00342AD4"/>
    <w:rsid w:val="00342B64"/>
    <w:rsid w:val="0034313D"/>
    <w:rsid w:val="003442D1"/>
    <w:rsid w:val="00345405"/>
    <w:rsid w:val="003510C9"/>
    <w:rsid w:val="00354184"/>
    <w:rsid w:val="003560A6"/>
    <w:rsid w:val="00356BAF"/>
    <w:rsid w:val="00356EBE"/>
    <w:rsid w:val="00357574"/>
    <w:rsid w:val="003575CB"/>
    <w:rsid w:val="00357F08"/>
    <w:rsid w:val="003605DE"/>
    <w:rsid w:val="003646E5"/>
    <w:rsid w:val="00367802"/>
    <w:rsid w:val="00367BF3"/>
    <w:rsid w:val="00371A8D"/>
    <w:rsid w:val="00371FE7"/>
    <w:rsid w:val="00372595"/>
    <w:rsid w:val="00373238"/>
    <w:rsid w:val="00374E0C"/>
    <w:rsid w:val="00376A88"/>
    <w:rsid w:val="003824C5"/>
    <w:rsid w:val="00383C70"/>
    <w:rsid w:val="00383E4D"/>
    <w:rsid w:val="003924E8"/>
    <w:rsid w:val="00395534"/>
    <w:rsid w:val="003A0ACD"/>
    <w:rsid w:val="003A1B64"/>
    <w:rsid w:val="003A25DA"/>
    <w:rsid w:val="003A35FA"/>
    <w:rsid w:val="003A48FD"/>
    <w:rsid w:val="003B0551"/>
    <w:rsid w:val="003B08F0"/>
    <w:rsid w:val="003B1BA2"/>
    <w:rsid w:val="003B41F4"/>
    <w:rsid w:val="003B5B26"/>
    <w:rsid w:val="003B5BB8"/>
    <w:rsid w:val="003B5BE1"/>
    <w:rsid w:val="003C0C8B"/>
    <w:rsid w:val="003C0F37"/>
    <w:rsid w:val="003C3427"/>
    <w:rsid w:val="003C57CB"/>
    <w:rsid w:val="003D1AA1"/>
    <w:rsid w:val="003D3ED6"/>
    <w:rsid w:val="003D4AAB"/>
    <w:rsid w:val="003D6292"/>
    <w:rsid w:val="003D73D8"/>
    <w:rsid w:val="003D7F97"/>
    <w:rsid w:val="003E2A1F"/>
    <w:rsid w:val="003E2D0F"/>
    <w:rsid w:val="003E405F"/>
    <w:rsid w:val="003E463D"/>
    <w:rsid w:val="003E4B52"/>
    <w:rsid w:val="003E6E55"/>
    <w:rsid w:val="003E6E63"/>
    <w:rsid w:val="003F462F"/>
    <w:rsid w:val="003F5197"/>
    <w:rsid w:val="003F640F"/>
    <w:rsid w:val="00402BB7"/>
    <w:rsid w:val="004038F2"/>
    <w:rsid w:val="00404174"/>
    <w:rsid w:val="00404D72"/>
    <w:rsid w:val="00405F22"/>
    <w:rsid w:val="004076B0"/>
    <w:rsid w:val="00413ECA"/>
    <w:rsid w:val="004150CA"/>
    <w:rsid w:val="00415E42"/>
    <w:rsid w:val="0041762F"/>
    <w:rsid w:val="004177B2"/>
    <w:rsid w:val="00425BFC"/>
    <w:rsid w:val="00426891"/>
    <w:rsid w:val="00432ABF"/>
    <w:rsid w:val="00440F62"/>
    <w:rsid w:val="00441512"/>
    <w:rsid w:val="0044447D"/>
    <w:rsid w:val="004472F6"/>
    <w:rsid w:val="00450AD2"/>
    <w:rsid w:val="00452A1B"/>
    <w:rsid w:val="00455F94"/>
    <w:rsid w:val="00464A63"/>
    <w:rsid w:val="00467812"/>
    <w:rsid w:val="00471C92"/>
    <w:rsid w:val="00474029"/>
    <w:rsid w:val="004759E4"/>
    <w:rsid w:val="0048024F"/>
    <w:rsid w:val="00480703"/>
    <w:rsid w:val="00480A9B"/>
    <w:rsid w:val="00480CF0"/>
    <w:rsid w:val="0048759E"/>
    <w:rsid w:val="00487856"/>
    <w:rsid w:val="004919F4"/>
    <w:rsid w:val="00493B28"/>
    <w:rsid w:val="00493E96"/>
    <w:rsid w:val="00494578"/>
    <w:rsid w:val="004947AC"/>
    <w:rsid w:val="00494AA5"/>
    <w:rsid w:val="00495CC1"/>
    <w:rsid w:val="004A05E5"/>
    <w:rsid w:val="004A101A"/>
    <w:rsid w:val="004A351F"/>
    <w:rsid w:val="004A41A5"/>
    <w:rsid w:val="004A4821"/>
    <w:rsid w:val="004A58A7"/>
    <w:rsid w:val="004A663B"/>
    <w:rsid w:val="004A7004"/>
    <w:rsid w:val="004B0798"/>
    <w:rsid w:val="004B1F8B"/>
    <w:rsid w:val="004B3444"/>
    <w:rsid w:val="004B4F4D"/>
    <w:rsid w:val="004B6046"/>
    <w:rsid w:val="004B7BB9"/>
    <w:rsid w:val="004C02ED"/>
    <w:rsid w:val="004C0623"/>
    <w:rsid w:val="004C1B2B"/>
    <w:rsid w:val="004C5D8D"/>
    <w:rsid w:val="004D293F"/>
    <w:rsid w:val="004D3175"/>
    <w:rsid w:val="004E0537"/>
    <w:rsid w:val="004E4B2B"/>
    <w:rsid w:val="004E55B7"/>
    <w:rsid w:val="004E5FB7"/>
    <w:rsid w:val="004F19C3"/>
    <w:rsid w:val="004F260C"/>
    <w:rsid w:val="00503D14"/>
    <w:rsid w:val="00504C23"/>
    <w:rsid w:val="00506A4E"/>
    <w:rsid w:val="00507FCC"/>
    <w:rsid w:val="00513D97"/>
    <w:rsid w:val="005203EA"/>
    <w:rsid w:val="00521E75"/>
    <w:rsid w:val="005230E0"/>
    <w:rsid w:val="00524BFA"/>
    <w:rsid w:val="0052659D"/>
    <w:rsid w:val="00530714"/>
    <w:rsid w:val="0053198D"/>
    <w:rsid w:val="00534B3F"/>
    <w:rsid w:val="005401C4"/>
    <w:rsid w:val="00542CD0"/>
    <w:rsid w:val="00544F1E"/>
    <w:rsid w:val="005453F1"/>
    <w:rsid w:val="005479CE"/>
    <w:rsid w:val="00550AD8"/>
    <w:rsid w:val="005513E6"/>
    <w:rsid w:val="005553CB"/>
    <w:rsid w:val="00555B62"/>
    <w:rsid w:val="00560680"/>
    <w:rsid w:val="005607E6"/>
    <w:rsid w:val="00562B59"/>
    <w:rsid w:val="0057008D"/>
    <w:rsid w:val="005710EE"/>
    <w:rsid w:val="00571594"/>
    <w:rsid w:val="005762C8"/>
    <w:rsid w:val="00581B9E"/>
    <w:rsid w:val="0058265E"/>
    <w:rsid w:val="00586AD0"/>
    <w:rsid w:val="005901D9"/>
    <w:rsid w:val="00590298"/>
    <w:rsid w:val="005923D9"/>
    <w:rsid w:val="00592959"/>
    <w:rsid w:val="00593047"/>
    <w:rsid w:val="00594B5F"/>
    <w:rsid w:val="00596927"/>
    <w:rsid w:val="005969E6"/>
    <w:rsid w:val="005A0CCC"/>
    <w:rsid w:val="005A225A"/>
    <w:rsid w:val="005A2389"/>
    <w:rsid w:val="005A786A"/>
    <w:rsid w:val="005B646D"/>
    <w:rsid w:val="005B7F89"/>
    <w:rsid w:val="005C2F1E"/>
    <w:rsid w:val="005C66A1"/>
    <w:rsid w:val="005D0224"/>
    <w:rsid w:val="005D0644"/>
    <w:rsid w:val="005D1BD5"/>
    <w:rsid w:val="005D3B44"/>
    <w:rsid w:val="005D723B"/>
    <w:rsid w:val="005E0F9B"/>
    <w:rsid w:val="005E39E2"/>
    <w:rsid w:val="005E4106"/>
    <w:rsid w:val="005E70E9"/>
    <w:rsid w:val="005E7535"/>
    <w:rsid w:val="005F1B56"/>
    <w:rsid w:val="005F44D7"/>
    <w:rsid w:val="005F4E48"/>
    <w:rsid w:val="005F5072"/>
    <w:rsid w:val="005F607D"/>
    <w:rsid w:val="00600100"/>
    <w:rsid w:val="00601F0B"/>
    <w:rsid w:val="00603A1D"/>
    <w:rsid w:val="00604E29"/>
    <w:rsid w:val="00611ACA"/>
    <w:rsid w:val="00613DA3"/>
    <w:rsid w:val="0061417E"/>
    <w:rsid w:val="00614924"/>
    <w:rsid w:val="00617750"/>
    <w:rsid w:val="00621ED5"/>
    <w:rsid w:val="00624A90"/>
    <w:rsid w:val="00624BB3"/>
    <w:rsid w:val="0063112D"/>
    <w:rsid w:val="00632544"/>
    <w:rsid w:val="00640680"/>
    <w:rsid w:val="00641E85"/>
    <w:rsid w:val="00652681"/>
    <w:rsid w:val="00653A2E"/>
    <w:rsid w:val="006558B9"/>
    <w:rsid w:val="00656EA9"/>
    <w:rsid w:val="00660C40"/>
    <w:rsid w:val="006632F1"/>
    <w:rsid w:val="006648B2"/>
    <w:rsid w:val="00665E39"/>
    <w:rsid w:val="00670259"/>
    <w:rsid w:val="006725BF"/>
    <w:rsid w:val="00674871"/>
    <w:rsid w:val="006770EF"/>
    <w:rsid w:val="0068002A"/>
    <w:rsid w:val="006855BA"/>
    <w:rsid w:val="006858DE"/>
    <w:rsid w:val="00685A38"/>
    <w:rsid w:val="00685FD3"/>
    <w:rsid w:val="00692B54"/>
    <w:rsid w:val="00696F36"/>
    <w:rsid w:val="006A4D9F"/>
    <w:rsid w:val="006B56BD"/>
    <w:rsid w:val="006B6EB5"/>
    <w:rsid w:val="006C3023"/>
    <w:rsid w:val="006D2F4E"/>
    <w:rsid w:val="006D434D"/>
    <w:rsid w:val="006D5B18"/>
    <w:rsid w:val="006D7899"/>
    <w:rsid w:val="006E0450"/>
    <w:rsid w:val="006E3479"/>
    <w:rsid w:val="006E3B3B"/>
    <w:rsid w:val="006E418E"/>
    <w:rsid w:val="006E77E3"/>
    <w:rsid w:val="006F0C1F"/>
    <w:rsid w:val="006F20F3"/>
    <w:rsid w:val="006F2CE4"/>
    <w:rsid w:val="006F575E"/>
    <w:rsid w:val="006F6064"/>
    <w:rsid w:val="0070075F"/>
    <w:rsid w:val="00701E4D"/>
    <w:rsid w:val="00702A30"/>
    <w:rsid w:val="00706225"/>
    <w:rsid w:val="00710057"/>
    <w:rsid w:val="00710F66"/>
    <w:rsid w:val="00712A04"/>
    <w:rsid w:val="007141E8"/>
    <w:rsid w:val="00721EB1"/>
    <w:rsid w:val="00727BB7"/>
    <w:rsid w:val="00730200"/>
    <w:rsid w:val="00730BF2"/>
    <w:rsid w:val="00737B9F"/>
    <w:rsid w:val="007411CC"/>
    <w:rsid w:val="0074158A"/>
    <w:rsid w:val="0074158F"/>
    <w:rsid w:val="00746382"/>
    <w:rsid w:val="00755249"/>
    <w:rsid w:val="0075655A"/>
    <w:rsid w:val="00756DC2"/>
    <w:rsid w:val="007601B2"/>
    <w:rsid w:val="007611D5"/>
    <w:rsid w:val="00761602"/>
    <w:rsid w:val="007636AB"/>
    <w:rsid w:val="0076750F"/>
    <w:rsid w:val="00772116"/>
    <w:rsid w:val="0077342A"/>
    <w:rsid w:val="00773916"/>
    <w:rsid w:val="00776D45"/>
    <w:rsid w:val="00780178"/>
    <w:rsid w:val="00790D79"/>
    <w:rsid w:val="00791FFF"/>
    <w:rsid w:val="00794D7D"/>
    <w:rsid w:val="007A0E28"/>
    <w:rsid w:val="007A0F1B"/>
    <w:rsid w:val="007A1804"/>
    <w:rsid w:val="007A4462"/>
    <w:rsid w:val="007A7237"/>
    <w:rsid w:val="007A7C38"/>
    <w:rsid w:val="007B0FD5"/>
    <w:rsid w:val="007B1D16"/>
    <w:rsid w:val="007B56EF"/>
    <w:rsid w:val="007B77B7"/>
    <w:rsid w:val="007C07B8"/>
    <w:rsid w:val="007C38A4"/>
    <w:rsid w:val="007C695E"/>
    <w:rsid w:val="007D1230"/>
    <w:rsid w:val="007D2C52"/>
    <w:rsid w:val="007E0755"/>
    <w:rsid w:val="007E07D0"/>
    <w:rsid w:val="007E08F7"/>
    <w:rsid w:val="007E70F2"/>
    <w:rsid w:val="008030D6"/>
    <w:rsid w:val="008030EC"/>
    <w:rsid w:val="008047DF"/>
    <w:rsid w:val="00804F88"/>
    <w:rsid w:val="00805651"/>
    <w:rsid w:val="00810ECA"/>
    <w:rsid w:val="008122B3"/>
    <w:rsid w:val="0081650F"/>
    <w:rsid w:val="00817190"/>
    <w:rsid w:val="008171B1"/>
    <w:rsid w:val="0082170F"/>
    <w:rsid w:val="00821F35"/>
    <w:rsid w:val="00824A61"/>
    <w:rsid w:val="00824FA5"/>
    <w:rsid w:val="00826F90"/>
    <w:rsid w:val="00830CB0"/>
    <w:rsid w:val="00833A71"/>
    <w:rsid w:val="008347A1"/>
    <w:rsid w:val="00834A7B"/>
    <w:rsid w:val="00837EA6"/>
    <w:rsid w:val="00841678"/>
    <w:rsid w:val="0084374B"/>
    <w:rsid w:val="00845E7B"/>
    <w:rsid w:val="008504ED"/>
    <w:rsid w:val="00851D4D"/>
    <w:rsid w:val="008524B6"/>
    <w:rsid w:val="00854D9F"/>
    <w:rsid w:val="00855BE3"/>
    <w:rsid w:val="00856ACD"/>
    <w:rsid w:val="00857D2C"/>
    <w:rsid w:val="00862C15"/>
    <w:rsid w:val="008666E4"/>
    <w:rsid w:val="00872722"/>
    <w:rsid w:val="008742C8"/>
    <w:rsid w:val="00876D72"/>
    <w:rsid w:val="00881123"/>
    <w:rsid w:val="00882C72"/>
    <w:rsid w:val="00884BBF"/>
    <w:rsid w:val="00885B77"/>
    <w:rsid w:val="00886BED"/>
    <w:rsid w:val="00887A28"/>
    <w:rsid w:val="00887BA6"/>
    <w:rsid w:val="00893615"/>
    <w:rsid w:val="008943FD"/>
    <w:rsid w:val="00897CE2"/>
    <w:rsid w:val="008A1C40"/>
    <w:rsid w:val="008A4710"/>
    <w:rsid w:val="008B31B3"/>
    <w:rsid w:val="008B5459"/>
    <w:rsid w:val="008C0A01"/>
    <w:rsid w:val="008C4436"/>
    <w:rsid w:val="008C66ED"/>
    <w:rsid w:val="008C7DB1"/>
    <w:rsid w:val="008D0293"/>
    <w:rsid w:val="008D12EA"/>
    <w:rsid w:val="008D19B9"/>
    <w:rsid w:val="008D1BFF"/>
    <w:rsid w:val="008D2807"/>
    <w:rsid w:val="008D2E58"/>
    <w:rsid w:val="008D311B"/>
    <w:rsid w:val="008D3147"/>
    <w:rsid w:val="008D3A06"/>
    <w:rsid w:val="008D446D"/>
    <w:rsid w:val="008D4C49"/>
    <w:rsid w:val="008D4DDF"/>
    <w:rsid w:val="008D6EA8"/>
    <w:rsid w:val="008F1B7D"/>
    <w:rsid w:val="008F3ECD"/>
    <w:rsid w:val="008F4AFE"/>
    <w:rsid w:val="008F72B6"/>
    <w:rsid w:val="00900257"/>
    <w:rsid w:val="0090040E"/>
    <w:rsid w:val="0090319D"/>
    <w:rsid w:val="009052E3"/>
    <w:rsid w:val="00911C51"/>
    <w:rsid w:val="009122BB"/>
    <w:rsid w:val="0091261B"/>
    <w:rsid w:val="00912FB5"/>
    <w:rsid w:val="00913A67"/>
    <w:rsid w:val="009146AF"/>
    <w:rsid w:val="00915AA5"/>
    <w:rsid w:val="00916327"/>
    <w:rsid w:val="00917C52"/>
    <w:rsid w:val="00921817"/>
    <w:rsid w:val="00925E71"/>
    <w:rsid w:val="00927CB7"/>
    <w:rsid w:val="00930567"/>
    <w:rsid w:val="00930639"/>
    <w:rsid w:val="00934A17"/>
    <w:rsid w:val="0093572E"/>
    <w:rsid w:val="0093648F"/>
    <w:rsid w:val="00941BB4"/>
    <w:rsid w:val="00942563"/>
    <w:rsid w:val="009428C8"/>
    <w:rsid w:val="009469EA"/>
    <w:rsid w:val="00947BA6"/>
    <w:rsid w:val="0095073B"/>
    <w:rsid w:val="009523BF"/>
    <w:rsid w:val="00960C85"/>
    <w:rsid w:val="0096731A"/>
    <w:rsid w:val="0097072A"/>
    <w:rsid w:val="0097549A"/>
    <w:rsid w:val="00975799"/>
    <w:rsid w:val="009762D3"/>
    <w:rsid w:val="00976C18"/>
    <w:rsid w:val="0098070F"/>
    <w:rsid w:val="00981B16"/>
    <w:rsid w:val="00990F29"/>
    <w:rsid w:val="00992BDC"/>
    <w:rsid w:val="009A01E7"/>
    <w:rsid w:val="009A1493"/>
    <w:rsid w:val="009A42A8"/>
    <w:rsid w:val="009A6077"/>
    <w:rsid w:val="009B0AEB"/>
    <w:rsid w:val="009B5DC4"/>
    <w:rsid w:val="009B7B82"/>
    <w:rsid w:val="009C06E1"/>
    <w:rsid w:val="009C0D1D"/>
    <w:rsid w:val="009C52EF"/>
    <w:rsid w:val="009C6774"/>
    <w:rsid w:val="009C73CD"/>
    <w:rsid w:val="009D0423"/>
    <w:rsid w:val="009D2B16"/>
    <w:rsid w:val="009D3806"/>
    <w:rsid w:val="009D410D"/>
    <w:rsid w:val="009E1006"/>
    <w:rsid w:val="009E1FD5"/>
    <w:rsid w:val="009E26ED"/>
    <w:rsid w:val="009E42EF"/>
    <w:rsid w:val="009E77F1"/>
    <w:rsid w:val="009F14C2"/>
    <w:rsid w:val="009F25D8"/>
    <w:rsid w:val="009F5FE1"/>
    <w:rsid w:val="009F7B75"/>
    <w:rsid w:val="00A03879"/>
    <w:rsid w:val="00A06D2B"/>
    <w:rsid w:val="00A10E60"/>
    <w:rsid w:val="00A10E80"/>
    <w:rsid w:val="00A1291D"/>
    <w:rsid w:val="00A164E0"/>
    <w:rsid w:val="00A1795E"/>
    <w:rsid w:val="00A2336A"/>
    <w:rsid w:val="00A325AF"/>
    <w:rsid w:val="00A32926"/>
    <w:rsid w:val="00A32952"/>
    <w:rsid w:val="00A341B2"/>
    <w:rsid w:val="00A345A8"/>
    <w:rsid w:val="00A3544D"/>
    <w:rsid w:val="00A3586F"/>
    <w:rsid w:val="00A402C6"/>
    <w:rsid w:val="00A414A1"/>
    <w:rsid w:val="00A41C75"/>
    <w:rsid w:val="00A447F8"/>
    <w:rsid w:val="00A46388"/>
    <w:rsid w:val="00A46FD0"/>
    <w:rsid w:val="00A47932"/>
    <w:rsid w:val="00A500FD"/>
    <w:rsid w:val="00A51C08"/>
    <w:rsid w:val="00A5727E"/>
    <w:rsid w:val="00A57B87"/>
    <w:rsid w:val="00A63FE4"/>
    <w:rsid w:val="00A64EA7"/>
    <w:rsid w:val="00A67563"/>
    <w:rsid w:val="00A76D35"/>
    <w:rsid w:val="00A77D8E"/>
    <w:rsid w:val="00A8204E"/>
    <w:rsid w:val="00A82272"/>
    <w:rsid w:val="00A827B1"/>
    <w:rsid w:val="00A8318D"/>
    <w:rsid w:val="00A840C9"/>
    <w:rsid w:val="00A877D1"/>
    <w:rsid w:val="00A9207E"/>
    <w:rsid w:val="00A93A9B"/>
    <w:rsid w:val="00A94450"/>
    <w:rsid w:val="00A96AA2"/>
    <w:rsid w:val="00A97B72"/>
    <w:rsid w:val="00AA099A"/>
    <w:rsid w:val="00AA1BD9"/>
    <w:rsid w:val="00AA34C0"/>
    <w:rsid w:val="00AA43A7"/>
    <w:rsid w:val="00AA5ED6"/>
    <w:rsid w:val="00AB2754"/>
    <w:rsid w:val="00AB31D2"/>
    <w:rsid w:val="00AB5B0D"/>
    <w:rsid w:val="00AC274A"/>
    <w:rsid w:val="00AC2B93"/>
    <w:rsid w:val="00AC360A"/>
    <w:rsid w:val="00AC4B29"/>
    <w:rsid w:val="00AC56ED"/>
    <w:rsid w:val="00AD2259"/>
    <w:rsid w:val="00AD6A30"/>
    <w:rsid w:val="00AD7230"/>
    <w:rsid w:val="00AD75E5"/>
    <w:rsid w:val="00AE1205"/>
    <w:rsid w:val="00AE1C4D"/>
    <w:rsid w:val="00AE71D5"/>
    <w:rsid w:val="00AE7594"/>
    <w:rsid w:val="00AF5448"/>
    <w:rsid w:val="00AF6CDC"/>
    <w:rsid w:val="00B0004B"/>
    <w:rsid w:val="00B00E4D"/>
    <w:rsid w:val="00B02AE0"/>
    <w:rsid w:val="00B10267"/>
    <w:rsid w:val="00B102F1"/>
    <w:rsid w:val="00B13F3C"/>
    <w:rsid w:val="00B154A5"/>
    <w:rsid w:val="00B15AA0"/>
    <w:rsid w:val="00B16E35"/>
    <w:rsid w:val="00B17372"/>
    <w:rsid w:val="00B22BE7"/>
    <w:rsid w:val="00B230C5"/>
    <w:rsid w:val="00B24DBD"/>
    <w:rsid w:val="00B255B5"/>
    <w:rsid w:val="00B27C07"/>
    <w:rsid w:val="00B32B4B"/>
    <w:rsid w:val="00B336EF"/>
    <w:rsid w:val="00B34D8B"/>
    <w:rsid w:val="00B35C4D"/>
    <w:rsid w:val="00B42C52"/>
    <w:rsid w:val="00B45C72"/>
    <w:rsid w:val="00B517A8"/>
    <w:rsid w:val="00B54B96"/>
    <w:rsid w:val="00B557CB"/>
    <w:rsid w:val="00B55858"/>
    <w:rsid w:val="00B558A5"/>
    <w:rsid w:val="00B56408"/>
    <w:rsid w:val="00B5763D"/>
    <w:rsid w:val="00B71740"/>
    <w:rsid w:val="00B727A8"/>
    <w:rsid w:val="00B75C28"/>
    <w:rsid w:val="00B8410E"/>
    <w:rsid w:val="00B84534"/>
    <w:rsid w:val="00B913DC"/>
    <w:rsid w:val="00B929A5"/>
    <w:rsid w:val="00B9530A"/>
    <w:rsid w:val="00BA3684"/>
    <w:rsid w:val="00BA369E"/>
    <w:rsid w:val="00BA5771"/>
    <w:rsid w:val="00BA69C6"/>
    <w:rsid w:val="00BA7EC5"/>
    <w:rsid w:val="00BB00C2"/>
    <w:rsid w:val="00BB0B41"/>
    <w:rsid w:val="00BB3148"/>
    <w:rsid w:val="00BB5B79"/>
    <w:rsid w:val="00BB7119"/>
    <w:rsid w:val="00BC3A35"/>
    <w:rsid w:val="00BC760A"/>
    <w:rsid w:val="00BD2872"/>
    <w:rsid w:val="00BD4110"/>
    <w:rsid w:val="00BD64D7"/>
    <w:rsid w:val="00BD78CF"/>
    <w:rsid w:val="00BE266C"/>
    <w:rsid w:val="00BE2673"/>
    <w:rsid w:val="00BE3ECD"/>
    <w:rsid w:val="00BE75B1"/>
    <w:rsid w:val="00BF2A8B"/>
    <w:rsid w:val="00BF2ED0"/>
    <w:rsid w:val="00BF575D"/>
    <w:rsid w:val="00C00C6C"/>
    <w:rsid w:val="00C014E3"/>
    <w:rsid w:val="00C053AD"/>
    <w:rsid w:val="00C10D05"/>
    <w:rsid w:val="00C112D1"/>
    <w:rsid w:val="00C120B5"/>
    <w:rsid w:val="00C1324B"/>
    <w:rsid w:val="00C172A2"/>
    <w:rsid w:val="00C34370"/>
    <w:rsid w:val="00C41A49"/>
    <w:rsid w:val="00C438AB"/>
    <w:rsid w:val="00C45C99"/>
    <w:rsid w:val="00C46D4A"/>
    <w:rsid w:val="00C509AD"/>
    <w:rsid w:val="00C52887"/>
    <w:rsid w:val="00C56623"/>
    <w:rsid w:val="00C6362F"/>
    <w:rsid w:val="00C638BC"/>
    <w:rsid w:val="00C7251B"/>
    <w:rsid w:val="00C7363A"/>
    <w:rsid w:val="00C74431"/>
    <w:rsid w:val="00C75ECF"/>
    <w:rsid w:val="00C779CE"/>
    <w:rsid w:val="00C8068D"/>
    <w:rsid w:val="00C8123D"/>
    <w:rsid w:val="00C81F37"/>
    <w:rsid w:val="00C92FB5"/>
    <w:rsid w:val="00C95D25"/>
    <w:rsid w:val="00CA2F78"/>
    <w:rsid w:val="00CA5459"/>
    <w:rsid w:val="00CA78AF"/>
    <w:rsid w:val="00CB2089"/>
    <w:rsid w:val="00CB2D0C"/>
    <w:rsid w:val="00CB5C2A"/>
    <w:rsid w:val="00CB77BE"/>
    <w:rsid w:val="00CB7C4A"/>
    <w:rsid w:val="00CC124E"/>
    <w:rsid w:val="00CC3518"/>
    <w:rsid w:val="00CC670D"/>
    <w:rsid w:val="00CD1DD6"/>
    <w:rsid w:val="00CD6288"/>
    <w:rsid w:val="00CE28E5"/>
    <w:rsid w:val="00CE4C7C"/>
    <w:rsid w:val="00CE6548"/>
    <w:rsid w:val="00CF1DFB"/>
    <w:rsid w:val="00CF2696"/>
    <w:rsid w:val="00CF52EC"/>
    <w:rsid w:val="00CF6602"/>
    <w:rsid w:val="00D0070E"/>
    <w:rsid w:val="00D0093A"/>
    <w:rsid w:val="00D01B8B"/>
    <w:rsid w:val="00D05501"/>
    <w:rsid w:val="00D06504"/>
    <w:rsid w:val="00D16322"/>
    <w:rsid w:val="00D177E2"/>
    <w:rsid w:val="00D21884"/>
    <w:rsid w:val="00D24AE4"/>
    <w:rsid w:val="00D27730"/>
    <w:rsid w:val="00D30C6E"/>
    <w:rsid w:val="00D32482"/>
    <w:rsid w:val="00D33A3E"/>
    <w:rsid w:val="00D33EA2"/>
    <w:rsid w:val="00D3478C"/>
    <w:rsid w:val="00D35F24"/>
    <w:rsid w:val="00D37C83"/>
    <w:rsid w:val="00D40EA8"/>
    <w:rsid w:val="00D41210"/>
    <w:rsid w:val="00D44C9C"/>
    <w:rsid w:val="00D475DA"/>
    <w:rsid w:val="00D47DC3"/>
    <w:rsid w:val="00D5328A"/>
    <w:rsid w:val="00D556F4"/>
    <w:rsid w:val="00D561AC"/>
    <w:rsid w:val="00D57BE7"/>
    <w:rsid w:val="00D63630"/>
    <w:rsid w:val="00D64BC4"/>
    <w:rsid w:val="00D714F7"/>
    <w:rsid w:val="00D73C10"/>
    <w:rsid w:val="00D73DA5"/>
    <w:rsid w:val="00D73F6F"/>
    <w:rsid w:val="00D77FD9"/>
    <w:rsid w:val="00D814BF"/>
    <w:rsid w:val="00D82A1B"/>
    <w:rsid w:val="00D90DAB"/>
    <w:rsid w:val="00D9280E"/>
    <w:rsid w:val="00D92A0B"/>
    <w:rsid w:val="00D9376D"/>
    <w:rsid w:val="00D94FE7"/>
    <w:rsid w:val="00DA1B76"/>
    <w:rsid w:val="00DA66E7"/>
    <w:rsid w:val="00DA7558"/>
    <w:rsid w:val="00DB1C48"/>
    <w:rsid w:val="00DB2284"/>
    <w:rsid w:val="00DB2FE5"/>
    <w:rsid w:val="00DB31A1"/>
    <w:rsid w:val="00DB4A09"/>
    <w:rsid w:val="00DB4ECA"/>
    <w:rsid w:val="00DB5898"/>
    <w:rsid w:val="00DB76B0"/>
    <w:rsid w:val="00DD55C6"/>
    <w:rsid w:val="00DD7070"/>
    <w:rsid w:val="00DD7756"/>
    <w:rsid w:val="00DE26C2"/>
    <w:rsid w:val="00DF1887"/>
    <w:rsid w:val="00DF2C1F"/>
    <w:rsid w:val="00DF2CB8"/>
    <w:rsid w:val="00DF461C"/>
    <w:rsid w:val="00DF539C"/>
    <w:rsid w:val="00E0035C"/>
    <w:rsid w:val="00E0514A"/>
    <w:rsid w:val="00E07C6F"/>
    <w:rsid w:val="00E132E7"/>
    <w:rsid w:val="00E177D5"/>
    <w:rsid w:val="00E2210D"/>
    <w:rsid w:val="00E22A3E"/>
    <w:rsid w:val="00E23116"/>
    <w:rsid w:val="00E248B6"/>
    <w:rsid w:val="00E26131"/>
    <w:rsid w:val="00E275AA"/>
    <w:rsid w:val="00E30E30"/>
    <w:rsid w:val="00E3179A"/>
    <w:rsid w:val="00E33EBC"/>
    <w:rsid w:val="00E3738E"/>
    <w:rsid w:val="00E41C10"/>
    <w:rsid w:val="00E44AD1"/>
    <w:rsid w:val="00E45254"/>
    <w:rsid w:val="00E46875"/>
    <w:rsid w:val="00E46AD0"/>
    <w:rsid w:val="00E50E97"/>
    <w:rsid w:val="00E52310"/>
    <w:rsid w:val="00E56BFA"/>
    <w:rsid w:val="00E57493"/>
    <w:rsid w:val="00E60187"/>
    <w:rsid w:val="00E616EF"/>
    <w:rsid w:val="00E61981"/>
    <w:rsid w:val="00E63F7A"/>
    <w:rsid w:val="00E647FA"/>
    <w:rsid w:val="00E64EF7"/>
    <w:rsid w:val="00E65E65"/>
    <w:rsid w:val="00E71CDE"/>
    <w:rsid w:val="00E741AD"/>
    <w:rsid w:val="00E76BA0"/>
    <w:rsid w:val="00E76F5B"/>
    <w:rsid w:val="00E803C1"/>
    <w:rsid w:val="00E81260"/>
    <w:rsid w:val="00E832F5"/>
    <w:rsid w:val="00E85D16"/>
    <w:rsid w:val="00E8655D"/>
    <w:rsid w:val="00E87B82"/>
    <w:rsid w:val="00E91530"/>
    <w:rsid w:val="00E95DBE"/>
    <w:rsid w:val="00E97FE7"/>
    <w:rsid w:val="00EA0F4B"/>
    <w:rsid w:val="00EA164B"/>
    <w:rsid w:val="00EA1936"/>
    <w:rsid w:val="00EA3874"/>
    <w:rsid w:val="00EA7F50"/>
    <w:rsid w:val="00EB1BD9"/>
    <w:rsid w:val="00EB6712"/>
    <w:rsid w:val="00EB6870"/>
    <w:rsid w:val="00EC1DB7"/>
    <w:rsid w:val="00EC588C"/>
    <w:rsid w:val="00ED1392"/>
    <w:rsid w:val="00ED1895"/>
    <w:rsid w:val="00ED5F3D"/>
    <w:rsid w:val="00ED6F9E"/>
    <w:rsid w:val="00EE09A8"/>
    <w:rsid w:val="00EE483A"/>
    <w:rsid w:val="00EE78FB"/>
    <w:rsid w:val="00EF2562"/>
    <w:rsid w:val="00EF2568"/>
    <w:rsid w:val="00EF4995"/>
    <w:rsid w:val="00F01997"/>
    <w:rsid w:val="00F05C35"/>
    <w:rsid w:val="00F05F61"/>
    <w:rsid w:val="00F11EE0"/>
    <w:rsid w:val="00F12DCB"/>
    <w:rsid w:val="00F13064"/>
    <w:rsid w:val="00F2408C"/>
    <w:rsid w:val="00F25806"/>
    <w:rsid w:val="00F258D9"/>
    <w:rsid w:val="00F26C9E"/>
    <w:rsid w:val="00F2712B"/>
    <w:rsid w:val="00F31D12"/>
    <w:rsid w:val="00F33123"/>
    <w:rsid w:val="00F341D8"/>
    <w:rsid w:val="00F34359"/>
    <w:rsid w:val="00F35049"/>
    <w:rsid w:val="00F362F1"/>
    <w:rsid w:val="00F37C8E"/>
    <w:rsid w:val="00F42712"/>
    <w:rsid w:val="00F436D0"/>
    <w:rsid w:val="00F4385C"/>
    <w:rsid w:val="00F44B92"/>
    <w:rsid w:val="00F47BC5"/>
    <w:rsid w:val="00F502D6"/>
    <w:rsid w:val="00F508E7"/>
    <w:rsid w:val="00F50C6D"/>
    <w:rsid w:val="00F53C89"/>
    <w:rsid w:val="00F54284"/>
    <w:rsid w:val="00F54579"/>
    <w:rsid w:val="00F556AC"/>
    <w:rsid w:val="00F60436"/>
    <w:rsid w:val="00F6114B"/>
    <w:rsid w:val="00F625A6"/>
    <w:rsid w:val="00F6323D"/>
    <w:rsid w:val="00F638A7"/>
    <w:rsid w:val="00F6396F"/>
    <w:rsid w:val="00F6718C"/>
    <w:rsid w:val="00F67B28"/>
    <w:rsid w:val="00F71608"/>
    <w:rsid w:val="00F73E9A"/>
    <w:rsid w:val="00F767FA"/>
    <w:rsid w:val="00F76FD1"/>
    <w:rsid w:val="00F81282"/>
    <w:rsid w:val="00F825E8"/>
    <w:rsid w:val="00F83FD7"/>
    <w:rsid w:val="00F85102"/>
    <w:rsid w:val="00F85F2A"/>
    <w:rsid w:val="00FA4D18"/>
    <w:rsid w:val="00FA5054"/>
    <w:rsid w:val="00FA527A"/>
    <w:rsid w:val="00FA5C39"/>
    <w:rsid w:val="00FA6701"/>
    <w:rsid w:val="00FB5116"/>
    <w:rsid w:val="00FB695D"/>
    <w:rsid w:val="00FC0C33"/>
    <w:rsid w:val="00FC19F8"/>
    <w:rsid w:val="00FC25B3"/>
    <w:rsid w:val="00FC49D4"/>
    <w:rsid w:val="00FC5093"/>
    <w:rsid w:val="00FC5776"/>
    <w:rsid w:val="00FD0147"/>
    <w:rsid w:val="00FD0339"/>
    <w:rsid w:val="00FD0E94"/>
    <w:rsid w:val="00FD75C5"/>
    <w:rsid w:val="00FE32D2"/>
    <w:rsid w:val="00FE3EEA"/>
    <w:rsid w:val="00FE5957"/>
    <w:rsid w:val="00FE7029"/>
    <w:rsid w:val="00FF1324"/>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890"/>
    <w:pPr>
      <w:spacing w:after="0" w:line="240" w:lineRule="auto"/>
    </w:pPr>
  </w:style>
  <w:style w:type="paragraph" w:styleId="Heading1">
    <w:name w:val="heading 1"/>
    <w:basedOn w:val="Normal"/>
    <w:next w:val="Normal"/>
    <w:link w:val="Heading1Char"/>
    <w:uiPriority w:val="99"/>
    <w:qFormat/>
    <w:rsid w:val="002F7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E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B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4A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7890"/>
    <w:rPr>
      <w:rFonts w:cs="Times New Roman"/>
      <w:color w:val="0000FF"/>
      <w:u w:val="single"/>
    </w:rPr>
  </w:style>
  <w:style w:type="character" w:customStyle="1" w:styleId="Heading1Char">
    <w:name w:val="Heading 1 Char"/>
    <w:basedOn w:val="DefaultParagraphFont"/>
    <w:link w:val="Heading1"/>
    <w:uiPriority w:val="99"/>
    <w:rsid w:val="002F7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F7890"/>
    <w:pPr>
      <w:spacing w:line="276" w:lineRule="auto"/>
      <w:outlineLvl w:val="9"/>
    </w:pPr>
    <w:rPr>
      <w:lang w:eastAsia="ja-JP"/>
    </w:rPr>
  </w:style>
  <w:style w:type="paragraph" w:styleId="TOC1">
    <w:name w:val="toc 1"/>
    <w:basedOn w:val="Normal"/>
    <w:next w:val="Normal"/>
    <w:autoRedefine/>
    <w:uiPriority w:val="39"/>
    <w:unhideWhenUsed/>
    <w:qFormat/>
    <w:rsid w:val="00917C52"/>
    <w:pPr>
      <w:tabs>
        <w:tab w:val="right" w:leader="dot" w:pos="9350"/>
      </w:tabs>
      <w:spacing w:after="100"/>
    </w:pPr>
    <w:rPr>
      <w:rFonts w:ascii="Times New Roman" w:hAnsi="Times New Roman"/>
      <w:noProof/>
      <w:color w:val="002060"/>
      <w:shd w:val="clear" w:color="auto" w:fill="FFFFFF"/>
    </w:rPr>
  </w:style>
  <w:style w:type="paragraph" w:styleId="TOC2">
    <w:name w:val="toc 2"/>
    <w:basedOn w:val="Normal"/>
    <w:next w:val="Normal"/>
    <w:autoRedefine/>
    <w:uiPriority w:val="39"/>
    <w:unhideWhenUsed/>
    <w:qFormat/>
    <w:rsid w:val="002F7890"/>
    <w:pPr>
      <w:spacing w:after="100"/>
      <w:ind w:left="220"/>
    </w:pPr>
  </w:style>
  <w:style w:type="paragraph" w:styleId="BalloonText">
    <w:name w:val="Balloon Text"/>
    <w:basedOn w:val="Normal"/>
    <w:link w:val="BalloonTextChar"/>
    <w:uiPriority w:val="99"/>
    <w:semiHidden/>
    <w:unhideWhenUsed/>
    <w:rsid w:val="002F7890"/>
    <w:rPr>
      <w:rFonts w:ascii="Tahoma" w:hAnsi="Tahoma" w:cs="Tahoma"/>
      <w:sz w:val="16"/>
      <w:szCs w:val="16"/>
    </w:rPr>
  </w:style>
  <w:style w:type="character" w:customStyle="1" w:styleId="BalloonTextChar">
    <w:name w:val="Balloon Text Char"/>
    <w:basedOn w:val="DefaultParagraphFont"/>
    <w:link w:val="BalloonText"/>
    <w:uiPriority w:val="99"/>
    <w:semiHidden/>
    <w:rsid w:val="002F7890"/>
    <w:rPr>
      <w:rFonts w:ascii="Tahoma" w:hAnsi="Tahoma" w:cs="Tahoma"/>
      <w:sz w:val="16"/>
      <w:szCs w:val="16"/>
    </w:rPr>
  </w:style>
  <w:style w:type="paragraph" w:styleId="ListParagraph">
    <w:name w:val="List Paragraph"/>
    <w:basedOn w:val="Normal"/>
    <w:uiPriority w:val="34"/>
    <w:qFormat/>
    <w:rsid w:val="00450AD2"/>
    <w:pPr>
      <w:ind w:left="720"/>
      <w:contextualSpacing/>
    </w:pPr>
  </w:style>
  <w:style w:type="paragraph" w:styleId="FootnoteText">
    <w:name w:val="footnote text"/>
    <w:basedOn w:val="Normal"/>
    <w:link w:val="FootnoteTextChar"/>
    <w:uiPriority w:val="99"/>
    <w:rsid w:val="00930639"/>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930639"/>
    <w:rPr>
      <w:rFonts w:ascii="Arial" w:eastAsia="Times New Roman" w:hAnsi="Arial" w:cs="Arial"/>
      <w:sz w:val="20"/>
      <w:szCs w:val="20"/>
    </w:rPr>
  </w:style>
  <w:style w:type="character" w:styleId="FootnoteReference">
    <w:name w:val="footnote reference"/>
    <w:basedOn w:val="DefaultParagraphFont"/>
    <w:uiPriority w:val="99"/>
    <w:rsid w:val="00930639"/>
    <w:rPr>
      <w:rFonts w:cs="Times New Roman"/>
      <w:vertAlign w:val="superscript"/>
    </w:rPr>
  </w:style>
  <w:style w:type="table" w:customStyle="1" w:styleId="TableGrid1">
    <w:name w:val="Table Grid1"/>
    <w:basedOn w:val="TableNormal"/>
    <w:next w:val="TableGrid"/>
    <w:uiPriority w:val="39"/>
    <w:rsid w:val="0093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1E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B8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A64EA7"/>
    <w:pPr>
      <w:spacing w:after="100"/>
      <w:ind w:left="440"/>
    </w:pPr>
  </w:style>
  <w:style w:type="paragraph" w:styleId="Header">
    <w:name w:val="header"/>
    <w:basedOn w:val="Normal"/>
    <w:link w:val="HeaderChar"/>
    <w:uiPriority w:val="99"/>
    <w:unhideWhenUsed/>
    <w:rsid w:val="00917C52"/>
    <w:pPr>
      <w:tabs>
        <w:tab w:val="center" w:pos="4680"/>
        <w:tab w:val="right" w:pos="9360"/>
      </w:tabs>
    </w:pPr>
  </w:style>
  <w:style w:type="character" w:customStyle="1" w:styleId="HeaderChar">
    <w:name w:val="Header Char"/>
    <w:basedOn w:val="DefaultParagraphFont"/>
    <w:link w:val="Header"/>
    <w:uiPriority w:val="99"/>
    <w:rsid w:val="00917C52"/>
  </w:style>
  <w:style w:type="paragraph" w:styleId="Footer">
    <w:name w:val="footer"/>
    <w:basedOn w:val="Normal"/>
    <w:link w:val="FooterChar"/>
    <w:uiPriority w:val="99"/>
    <w:unhideWhenUsed/>
    <w:rsid w:val="00917C52"/>
    <w:pPr>
      <w:tabs>
        <w:tab w:val="center" w:pos="4680"/>
        <w:tab w:val="right" w:pos="9360"/>
      </w:tabs>
    </w:pPr>
  </w:style>
  <w:style w:type="character" w:customStyle="1" w:styleId="FooterChar">
    <w:name w:val="Footer Char"/>
    <w:basedOn w:val="DefaultParagraphFont"/>
    <w:link w:val="Footer"/>
    <w:uiPriority w:val="99"/>
    <w:rsid w:val="00917C52"/>
  </w:style>
  <w:style w:type="character" w:styleId="CommentReference">
    <w:name w:val="annotation reference"/>
    <w:basedOn w:val="DefaultParagraphFont"/>
    <w:uiPriority w:val="99"/>
    <w:rsid w:val="00D01B8B"/>
    <w:rPr>
      <w:rFonts w:cs="Times New Roman"/>
      <w:sz w:val="16"/>
      <w:szCs w:val="16"/>
    </w:rPr>
  </w:style>
  <w:style w:type="character" w:customStyle="1" w:styleId="apple-converted-space">
    <w:name w:val="apple-converted-space"/>
    <w:basedOn w:val="DefaultParagraphFont"/>
    <w:rsid w:val="00D01B8B"/>
    <w:rPr>
      <w:rFonts w:cs="Times New Roman"/>
    </w:rPr>
  </w:style>
  <w:style w:type="paragraph" w:customStyle="1" w:styleId="authors">
    <w:name w:val="authors"/>
    <w:basedOn w:val="Normal"/>
    <w:uiPriority w:val="99"/>
    <w:rsid w:val="00D01B8B"/>
    <w:pPr>
      <w:spacing w:before="100" w:beforeAutospacing="1" w:after="100" w:afterAutospacing="1"/>
    </w:pPr>
    <w:rPr>
      <w:rFonts w:ascii="Times New Roman" w:eastAsia="Times New Roman" w:hAnsi="Times New Roman" w:cs="Times New Roman"/>
      <w:sz w:val="24"/>
      <w:szCs w:val="24"/>
    </w:rPr>
  </w:style>
  <w:style w:type="character" w:customStyle="1" w:styleId="citation">
    <w:name w:val="citation"/>
    <w:basedOn w:val="DefaultParagraphFont"/>
    <w:uiPriority w:val="99"/>
    <w:rsid w:val="00D01B8B"/>
    <w:rPr>
      <w:rFonts w:cs="Times New Roman"/>
    </w:rPr>
  </w:style>
  <w:style w:type="paragraph" w:customStyle="1" w:styleId="PBody">
    <w:name w:val="PBody"/>
    <w:basedOn w:val="Normal"/>
    <w:autoRedefine/>
    <w:qFormat/>
    <w:rsid w:val="006C3023"/>
    <w:pPr>
      <w:spacing w:after="120" w:line="276" w:lineRule="auto"/>
      <w:ind w:firstLine="720"/>
    </w:pPr>
    <w:rPr>
      <w:rFonts w:eastAsia="Times New Roman" w:cs="Times New Roman"/>
      <w:shd w:val="clear" w:color="auto" w:fill="FFFFFF"/>
    </w:rPr>
  </w:style>
  <w:style w:type="paragraph" w:styleId="PlainText">
    <w:name w:val="Plain Text"/>
    <w:basedOn w:val="Normal"/>
    <w:link w:val="PlainTextChar"/>
    <w:uiPriority w:val="99"/>
    <w:rsid w:val="00194910"/>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94910"/>
    <w:rPr>
      <w:rFonts w:ascii="Calibri" w:eastAsia="Times New Roman" w:hAnsi="Calibri" w:cs="Times New Roman"/>
      <w:szCs w:val="21"/>
    </w:rPr>
  </w:style>
  <w:style w:type="character" w:customStyle="1" w:styleId="s4">
    <w:name w:val="s4"/>
    <w:basedOn w:val="DefaultParagraphFont"/>
    <w:rsid w:val="00194910"/>
  </w:style>
  <w:style w:type="paragraph" w:styleId="CommentText">
    <w:name w:val="annotation text"/>
    <w:basedOn w:val="Normal"/>
    <w:link w:val="CommentTextChar"/>
    <w:uiPriority w:val="99"/>
    <w:rsid w:val="003055A5"/>
    <w:rPr>
      <w:rFonts w:ascii="Arial" w:eastAsia="Times New Roman" w:hAnsi="Arial" w:cs="Arial"/>
      <w:sz w:val="24"/>
      <w:szCs w:val="24"/>
    </w:rPr>
  </w:style>
  <w:style w:type="character" w:customStyle="1" w:styleId="CommentTextChar">
    <w:name w:val="Comment Text Char"/>
    <w:basedOn w:val="DefaultParagraphFont"/>
    <w:link w:val="CommentText"/>
    <w:uiPriority w:val="99"/>
    <w:rsid w:val="003055A5"/>
    <w:rPr>
      <w:rFonts w:ascii="Arial" w:eastAsia="Times New Roman" w:hAnsi="Arial" w:cs="Arial"/>
      <w:sz w:val="24"/>
      <w:szCs w:val="24"/>
    </w:rPr>
  </w:style>
  <w:style w:type="paragraph" w:customStyle="1" w:styleId="Weld">
    <w:name w:val="Weld"/>
    <w:uiPriority w:val="99"/>
    <w:rsid w:val="00F35049"/>
    <w:pPr>
      <w:spacing w:after="0" w:line="240" w:lineRule="auto"/>
      <w:jc w:val="center"/>
    </w:pPr>
    <w:rPr>
      <w:rFonts w:ascii="Arial Rounded MT Bold" w:eastAsia="Calibri" w:hAnsi="Arial Rounded MT Bold" w:cs="Times New Roman"/>
      <w:color w:val="000000"/>
      <w:sz w:val="16"/>
      <w:szCs w:val="20"/>
    </w:rPr>
  </w:style>
  <w:style w:type="paragraph" w:customStyle="1" w:styleId="Governor">
    <w:name w:val="Governor"/>
    <w:basedOn w:val="Normal"/>
    <w:rsid w:val="00F35049"/>
    <w:pPr>
      <w:framePr w:hSpace="187" w:wrap="notBeside" w:vAnchor="text" w:hAnchor="page" w:x="546" w:y="141"/>
      <w:spacing w:after="120"/>
      <w:jc w:val="center"/>
    </w:pPr>
    <w:rPr>
      <w:rFonts w:ascii="Arial Rounded MT Bold" w:eastAsia="Times New Roman" w:hAnsi="Arial Rounded MT Bold" w:cs="Times New Roman"/>
      <w:sz w:val="14"/>
      <w:szCs w:val="20"/>
    </w:rPr>
  </w:style>
  <w:style w:type="character" w:styleId="Emphasis">
    <w:name w:val="Emphasis"/>
    <w:uiPriority w:val="99"/>
    <w:qFormat/>
    <w:rsid w:val="007C38A4"/>
  </w:style>
  <w:style w:type="paragraph" w:customStyle="1" w:styleId="Tableheader">
    <w:name w:val="Table header"/>
    <w:basedOn w:val="PlainText"/>
    <w:qFormat/>
    <w:rsid w:val="00083A84"/>
    <w:pPr>
      <w:spacing w:before="120" w:after="120"/>
      <w:jc w:val="center"/>
    </w:pPr>
    <w:rPr>
      <w:rFonts w:eastAsia="Calibri"/>
      <w:b/>
    </w:rPr>
  </w:style>
  <w:style w:type="character" w:customStyle="1" w:styleId="Heading4Char">
    <w:name w:val="Heading 4 Char"/>
    <w:basedOn w:val="DefaultParagraphFont"/>
    <w:link w:val="Heading4"/>
    <w:uiPriority w:val="9"/>
    <w:semiHidden/>
    <w:rsid w:val="008F4AF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54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7549A"/>
    <w:rPr>
      <w:b/>
      <w:bCs/>
    </w:rPr>
  </w:style>
  <w:style w:type="character" w:styleId="FollowedHyperlink">
    <w:name w:val="FollowedHyperlink"/>
    <w:basedOn w:val="DefaultParagraphFont"/>
    <w:uiPriority w:val="99"/>
    <w:semiHidden/>
    <w:unhideWhenUsed/>
    <w:rsid w:val="00544F1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44F1E"/>
    <w:rPr>
      <w:rFonts w:ascii="Times New Roman" w:eastAsiaTheme="minorHAnsi" w:hAnsi="Times New Roman" w:cs="Times New Roman"/>
      <w:b/>
      <w:bCs/>
      <w:sz w:val="20"/>
      <w:szCs w:val="20"/>
    </w:rPr>
  </w:style>
  <w:style w:type="character" w:customStyle="1" w:styleId="CommentSubjectChar">
    <w:name w:val="Comment Subject Char"/>
    <w:basedOn w:val="CommentTextChar"/>
    <w:link w:val="CommentSubject"/>
    <w:uiPriority w:val="99"/>
    <w:semiHidden/>
    <w:rsid w:val="00544F1E"/>
    <w:rPr>
      <w:rFonts w:ascii="Times New Roman" w:eastAsia="Times New Roman" w:hAnsi="Times New Roman" w:cs="Times New Roman"/>
      <w:b/>
      <w:bCs/>
      <w:sz w:val="20"/>
      <w:szCs w:val="20"/>
    </w:rPr>
  </w:style>
  <w:style w:type="paragraph" w:styleId="Revision">
    <w:name w:val="Revision"/>
    <w:uiPriority w:val="99"/>
    <w:semiHidden/>
    <w:rsid w:val="00544F1E"/>
    <w:pPr>
      <w:spacing w:after="0" w:line="240" w:lineRule="auto"/>
    </w:pPr>
    <w:rPr>
      <w:rFonts w:ascii="Times New Roman" w:hAnsi="Times New Roman" w:cs="Times New Roman"/>
      <w:sz w:val="24"/>
      <w:szCs w:val="24"/>
    </w:rPr>
  </w:style>
  <w:style w:type="paragraph" w:customStyle="1" w:styleId="EndNoteBibliographyTitle">
    <w:name w:val="EndNote Bibliography Title"/>
    <w:basedOn w:val="Normal"/>
    <w:uiPriority w:val="99"/>
    <w:semiHidden/>
    <w:rsid w:val="00544F1E"/>
    <w:pPr>
      <w:jc w:val="center"/>
    </w:pPr>
    <w:rPr>
      <w:rFonts w:ascii="Times New Roman" w:hAnsi="Times New Roman" w:cs="Times New Roman"/>
      <w:sz w:val="24"/>
      <w:szCs w:val="24"/>
    </w:rPr>
  </w:style>
  <w:style w:type="paragraph" w:customStyle="1" w:styleId="EndNoteBibliography">
    <w:name w:val="EndNote Bibliography"/>
    <w:basedOn w:val="Normal"/>
    <w:rsid w:val="00544F1E"/>
    <w:pPr>
      <w:spacing w:line="480" w:lineRule="auto"/>
    </w:pPr>
    <w:rPr>
      <w:rFonts w:ascii="Times New Roman" w:hAnsi="Times New Roman" w:cs="Times New Roman"/>
      <w:sz w:val="24"/>
      <w:szCs w:val="24"/>
    </w:rPr>
  </w:style>
  <w:style w:type="paragraph" w:customStyle="1" w:styleId="Body">
    <w:name w:val="Body"/>
    <w:uiPriority w:val="99"/>
    <w:semiHidden/>
    <w:rsid w:val="00544F1E"/>
    <w:pPr>
      <w:spacing w:after="0" w:line="240" w:lineRule="auto"/>
    </w:pPr>
    <w:rPr>
      <w:rFonts w:ascii="Times New Roman" w:eastAsia="Arial Unicode MS" w:hAnsi="Times New Roman" w:cs="Arial Unicode MS"/>
      <w:color w:val="000000"/>
      <w:sz w:val="24"/>
      <w:szCs w:val="24"/>
      <w:u w:color="000000"/>
    </w:rPr>
  </w:style>
  <w:style w:type="paragraph" w:customStyle="1" w:styleId="Default">
    <w:name w:val="Default"/>
    <w:rsid w:val="00D82A1B"/>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5E70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unhideWhenUsed/>
    <w:rsid w:val="005E70E9"/>
    <w:rPr>
      <w:sz w:val="20"/>
      <w:szCs w:val="20"/>
    </w:rPr>
  </w:style>
  <w:style w:type="character" w:customStyle="1" w:styleId="EndnoteTextChar">
    <w:name w:val="Endnote Text Char"/>
    <w:basedOn w:val="DefaultParagraphFont"/>
    <w:link w:val="EndnoteText"/>
    <w:uiPriority w:val="99"/>
    <w:rsid w:val="005E70E9"/>
    <w:rPr>
      <w:sz w:val="20"/>
      <w:szCs w:val="20"/>
    </w:rPr>
  </w:style>
  <w:style w:type="character" w:styleId="EndnoteReference">
    <w:name w:val="endnote reference"/>
    <w:basedOn w:val="DefaultParagraphFont"/>
    <w:uiPriority w:val="99"/>
    <w:semiHidden/>
    <w:unhideWhenUsed/>
    <w:rsid w:val="005E70E9"/>
    <w:rPr>
      <w:vertAlign w:val="superscript"/>
    </w:rPr>
  </w:style>
  <w:style w:type="character" w:customStyle="1" w:styleId="element-citation">
    <w:name w:val="element-citation"/>
    <w:basedOn w:val="DefaultParagraphFont"/>
    <w:uiPriority w:val="99"/>
    <w:rsid w:val="002B339A"/>
    <w:rPr>
      <w:rFonts w:cs="Times New Roman"/>
    </w:rPr>
  </w:style>
  <w:style w:type="character" w:customStyle="1" w:styleId="ref-journal">
    <w:name w:val="ref-journal"/>
    <w:basedOn w:val="DefaultParagraphFont"/>
    <w:uiPriority w:val="99"/>
    <w:rsid w:val="002B339A"/>
    <w:rPr>
      <w:rFonts w:cs="Times New Roman"/>
    </w:rPr>
  </w:style>
  <w:style w:type="character" w:customStyle="1" w:styleId="ref-vol">
    <w:name w:val="ref-vol"/>
    <w:basedOn w:val="DefaultParagraphFont"/>
    <w:uiPriority w:val="99"/>
    <w:rsid w:val="002B339A"/>
    <w:rPr>
      <w:rFonts w:cs="Times New Roman"/>
    </w:rPr>
  </w:style>
  <w:style w:type="paragraph" w:styleId="Caption">
    <w:name w:val="caption"/>
    <w:basedOn w:val="Normal"/>
    <w:next w:val="Normal"/>
    <w:uiPriority w:val="35"/>
    <w:unhideWhenUsed/>
    <w:qFormat/>
    <w:rsid w:val="002B640F"/>
    <w:pPr>
      <w:spacing w:after="200"/>
    </w:pPr>
    <w:rPr>
      <w:b/>
      <w:bCs/>
      <w:color w:val="4F81BD" w:themeColor="accent1"/>
      <w:sz w:val="18"/>
      <w:szCs w:val="18"/>
    </w:rPr>
  </w:style>
  <w:style w:type="paragraph" w:customStyle="1" w:styleId="FreeForm">
    <w:name w:val="Free Form"/>
    <w:uiPriority w:val="99"/>
    <w:rsid w:val="004A4821"/>
    <w:pPr>
      <w:spacing w:after="0" w:line="240" w:lineRule="auto"/>
    </w:pPr>
    <w:rPr>
      <w:rFonts w:ascii="Helvetica" w:eastAsia="Times New Roman" w:hAnsi="Helvetica" w:cs="Times New Roman"/>
      <w:color w:val="000000"/>
      <w:sz w:val="24"/>
      <w:szCs w:val="20"/>
    </w:rPr>
  </w:style>
  <w:style w:type="table" w:styleId="LightShading-Accent1">
    <w:name w:val="Light Shading Accent 1"/>
    <w:basedOn w:val="TableNormal"/>
    <w:uiPriority w:val="60"/>
    <w:rsid w:val="006F0C1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890"/>
    <w:pPr>
      <w:spacing w:after="0" w:line="240" w:lineRule="auto"/>
    </w:pPr>
  </w:style>
  <w:style w:type="paragraph" w:styleId="Heading1">
    <w:name w:val="heading 1"/>
    <w:basedOn w:val="Normal"/>
    <w:next w:val="Normal"/>
    <w:link w:val="Heading1Char"/>
    <w:uiPriority w:val="99"/>
    <w:qFormat/>
    <w:rsid w:val="002F7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E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B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4A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7890"/>
    <w:rPr>
      <w:rFonts w:cs="Times New Roman"/>
      <w:color w:val="0000FF"/>
      <w:u w:val="single"/>
    </w:rPr>
  </w:style>
  <w:style w:type="character" w:customStyle="1" w:styleId="Heading1Char">
    <w:name w:val="Heading 1 Char"/>
    <w:basedOn w:val="DefaultParagraphFont"/>
    <w:link w:val="Heading1"/>
    <w:uiPriority w:val="99"/>
    <w:rsid w:val="002F7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F7890"/>
    <w:pPr>
      <w:spacing w:line="276" w:lineRule="auto"/>
      <w:outlineLvl w:val="9"/>
    </w:pPr>
    <w:rPr>
      <w:lang w:eastAsia="ja-JP"/>
    </w:rPr>
  </w:style>
  <w:style w:type="paragraph" w:styleId="TOC1">
    <w:name w:val="toc 1"/>
    <w:basedOn w:val="Normal"/>
    <w:next w:val="Normal"/>
    <w:autoRedefine/>
    <w:uiPriority w:val="39"/>
    <w:unhideWhenUsed/>
    <w:qFormat/>
    <w:rsid w:val="00917C52"/>
    <w:pPr>
      <w:tabs>
        <w:tab w:val="right" w:leader="dot" w:pos="9350"/>
      </w:tabs>
      <w:spacing w:after="100"/>
    </w:pPr>
    <w:rPr>
      <w:rFonts w:ascii="Times New Roman" w:hAnsi="Times New Roman"/>
      <w:noProof/>
      <w:color w:val="002060"/>
      <w:shd w:val="clear" w:color="auto" w:fill="FFFFFF"/>
    </w:rPr>
  </w:style>
  <w:style w:type="paragraph" w:styleId="TOC2">
    <w:name w:val="toc 2"/>
    <w:basedOn w:val="Normal"/>
    <w:next w:val="Normal"/>
    <w:autoRedefine/>
    <w:uiPriority w:val="39"/>
    <w:unhideWhenUsed/>
    <w:qFormat/>
    <w:rsid w:val="002F7890"/>
    <w:pPr>
      <w:spacing w:after="100"/>
      <w:ind w:left="220"/>
    </w:pPr>
  </w:style>
  <w:style w:type="paragraph" w:styleId="BalloonText">
    <w:name w:val="Balloon Text"/>
    <w:basedOn w:val="Normal"/>
    <w:link w:val="BalloonTextChar"/>
    <w:uiPriority w:val="99"/>
    <w:semiHidden/>
    <w:unhideWhenUsed/>
    <w:rsid w:val="002F7890"/>
    <w:rPr>
      <w:rFonts w:ascii="Tahoma" w:hAnsi="Tahoma" w:cs="Tahoma"/>
      <w:sz w:val="16"/>
      <w:szCs w:val="16"/>
    </w:rPr>
  </w:style>
  <w:style w:type="character" w:customStyle="1" w:styleId="BalloonTextChar">
    <w:name w:val="Balloon Text Char"/>
    <w:basedOn w:val="DefaultParagraphFont"/>
    <w:link w:val="BalloonText"/>
    <w:uiPriority w:val="99"/>
    <w:semiHidden/>
    <w:rsid w:val="002F7890"/>
    <w:rPr>
      <w:rFonts w:ascii="Tahoma" w:hAnsi="Tahoma" w:cs="Tahoma"/>
      <w:sz w:val="16"/>
      <w:szCs w:val="16"/>
    </w:rPr>
  </w:style>
  <w:style w:type="paragraph" w:styleId="ListParagraph">
    <w:name w:val="List Paragraph"/>
    <w:basedOn w:val="Normal"/>
    <w:uiPriority w:val="34"/>
    <w:qFormat/>
    <w:rsid w:val="00450AD2"/>
    <w:pPr>
      <w:ind w:left="720"/>
      <w:contextualSpacing/>
    </w:pPr>
  </w:style>
  <w:style w:type="paragraph" w:styleId="FootnoteText">
    <w:name w:val="footnote text"/>
    <w:basedOn w:val="Normal"/>
    <w:link w:val="FootnoteTextChar"/>
    <w:uiPriority w:val="99"/>
    <w:rsid w:val="00930639"/>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930639"/>
    <w:rPr>
      <w:rFonts w:ascii="Arial" w:eastAsia="Times New Roman" w:hAnsi="Arial" w:cs="Arial"/>
      <w:sz w:val="20"/>
      <w:szCs w:val="20"/>
    </w:rPr>
  </w:style>
  <w:style w:type="character" w:styleId="FootnoteReference">
    <w:name w:val="footnote reference"/>
    <w:basedOn w:val="DefaultParagraphFont"/>
    <w:uiPriority w:val="99"/>
    <w:rsid w:val="00930639"/>
    <w:rPr>
      <w:rFonts w:cs="Times New Roman"/>
      <w:vertAlign w:val="superscript"/>
    </w:rPr>
  </w:style>
  <w:style w:type="table" w:customStyle="1" w:styleId="TableGrid1">
    <w:name w:val="Table Grid1"/>
    <w:basedOn w:val="TableNormal"/>
    <w:next w:val="TableGrid"/>
    <w:uiPriority w:val="39"/>
    <w:rsid w:val="0093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1E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B8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A64EA7"/>
    <w:pPr>
      <w:spacing w:after="100"/>
      <w:ind w:left="440"/>
    </w:pPr>
  </w:style>
  <w:style w:type="paragraph" w:styleId="Header">
    <w:name w:val="header"/>
    <w:basedOn w:val="Normal"/>
    <w:link w:val="HeaderChar"/>
    <w:uiPriority w:val="99"/>
    <w:unhideWhenUsed/>
    <w:rsid w:val="00917C52"/>
    <w:pPr>
      <w:tabs>
        <w:tab w:val="center" w:pos="4680"/>
        <w:tab w:val="right" w:pos="9360"/>
      </w:tabs>
    </w:pPr>
  </w:style>
  <w:style w:type="character" w:customStyle="1" w:styleId="HeaderChar">
    <w:name w:val="Header Char"/>
    <w:basedOn w:val="DefaultParagraphFont"/>
    <w:link w:val="Header"/>
    <w:uiPriority w:val="99"/>
    <w:rsid w:val="00917C52"/>
  </w:style>
  <w:style w:type="paragraph" w:styleId="Footer">
    <w:name w:val="footer"/>
    <w:basedOn w:val="Normal"/>
    <w:link w:val="FooterChar"/>
    <w:uiPriority w:val="99"/>
    <w:unhideWhenUsed/>
    <w:rsid w:val="00917C52"/>
    <w:pPr>
      <w:tabs>
        <w:tab w:val="center" w:pos="4680"/>
        <w:tab w:val="right" w:pos="9360"/>
      </w:tabs>
    </w:pPr>
  </w:style>
  <w:style w:type="character" w:customStyle="1" w:styleId="FooterChar">
    <w:name w:val="Footer Char"/>
    <w:basedOn w:val="DefaultParagraphFont"/>
    <w:link w:val="Footer"/>
    <w:uiPriority w:val="99"/>
    <w:rsid w:val="00917C52"/>
  </w:style>
  <w:style w:type="character" w:styleId="CommentReference">
    <w:name w:val="annotation reference"/>
    <w:basedOn w:val="DefaultParagraphFont"/>
    <w:uiPriority w:val="99"/>
    <w:rsid w:val="00D01B8B"/>
    <w:rPr>
      <w:rFonts w:cs="Times New Roman"/>
      <w:sz w:val="16"/>
      <w:szCs w:val="16"/>
    </w:rPr>
  </w:style>
  <w:style w:type="character" w:customStyle="1" w:styleId="apple-converted-space">
    <w:name w:val="apple-converted-space"/>
    <w:basedOn w:val="DefaultParagraphFont"/>
    <w:rsid w:val="00D01B8B"/>
    <w:rPr>
      <w:rFonts w:cs="Times New Roman"/>
    </w:rPr>
  </w:style>
  <w:style w:type="paragraph" w:customStyle="1" w:styleId="authors">
    <w:name w:val="authors"/>
    <w:basedOn w:val="Normal"/>
    <w:uiPriority w:val="99"/>
    <w:rsid w:val="00D01B8B"/>
    <w:pPr>
      <w:spacing w:before="100" w:beforeAutospacing="1" w:after="100" w:afterAutospacing="1"/>
    </w:pPr>
    <w:rPr>
      <w:rFonts w:ascii="Times New Roman" w:eastAsia="Times New Roman" w:hAnsi="Times New Roman" w:cs="Times New Roman"/>
      <w:sz w:val="24"/>
      <w:szCs w:val="24"/>
    </w:rPr>
  </w:style>
  <w:style w:type="character" w:customStyle="1" w:styleId="citation">
    <w:name w:val="citation"/>
    <w:basedOn w:val="DefaultParagraphFont"/>
    <w:uiPriority w:val="99"/>
    <w:rsid w:val="00D01B8B"/>
    <w:rPr>
      <w:rFonts w:cs="Times New Roman"/>
    </w:rPr>
  </w:style>
  <w:style w:type="paragraph" w:customStyle="1" w:styleId="PBody">
    <w:name w:val="PBody"/>
    <w:basedOn w:val="Normal"/>
    <w:autoRedefine/>
    <w:qFormat/>
    <w:rsid w:val="006C3023"/>
    <w:pPr>
      <w:spacing w:after="120" w:line="276" w:lineRule="auto"/>
      <w:ind w:firstLine="720"/>
    </w:pPr>
    <w:rPr>
      <w:rFonts w:eastAsia="Times New Roman" w:cs="Times New Roman"/>
      <w:shd w:val="clear" w:color="auto" w:fill="FFFFFF"/>
    </w:rPr>
  </w:style>
  <w:style w:type="paragraph" w:styleId="PlainText">
    <w:name w:val="Plain Text"/>
    <w:basedOn w:val="Normal"/>
    <w:link w:val="PlainTextChar"/>
    <w:uiPriority w:val="99"/>
    <w:rsid w:val="00194910"/>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94910"/>
    <w:rPr>
      <w:rFonts w:ascii="Calibri" w:eastAsia="Times New Roman" w:hAnsi="Calibri" w:cs="Times New Roman"/>
      <w:szCs w:val="21"/>
    </w:rPr>
  </w:style>
  <w:style w:type="character" w:customStyle="1" w:styleId="s4">
    <w:name w:val="s4"/>
    <w:basedOn w:val="DefaultParagraphFont"/>
    <w:rsid w:val="00194910"/>
  </w:style>
  <w:style w:type="paragraph" w:styleId="CommentText">
    <w:name w:val="annotation text"/>
    <w:basedOn w:val="Normal"/>
    <w:link w:val="CommentTextChar"/>
    <w:uiPriority w:val="99"/>
    <w:rsid w:val="003055A5"/>
    <w:rPr>
      <w:rFonts w:ascii="Arial" w:eastAsia="Times New Roman" w:hAnsi="Arial" w:cs="Arial"/>
      <w:sz w:val="24"/>
      <w:szCs w:val="24"/>
    </w:rPr>
  </w:style>
  <w:style w:type="character" w:customStyle="1" w:styleId="CommentTextChar">
    <w:name w:val="Comment Text Char"/>
    <w:basedOn w:val="DefaultParagraphFont"/>
    <w:link w:val="CommentText"/>
    <w:uiPriority w:val="99"/>
    <w:rsid w:val="003055A5"/>
    <w:rPr>
      <w:rFonts w:ascii="Arial" w:eastAsia="Times New Roman" w:hAnsi="Arial" w:cs="Arial"/>
      <w:sz w:val="24"/>
      <w:szCs w:val="24"/>
    </w:rPr>
  </w:style>
  <w:style w:type="paragraph" w:customStyle="1" w:styleId="Weld">
    <w:name w:val="Weld"/>
    <w:uiPriority w:val="99"/>
    <w:rsid w:val="00F35049"/>
    <w:pPr>
      <w:spacing w:after="0" w:line="240" w:lineRule="auto"/>
      <w:jc w:val="center"/>
    </w:pPr>
    <w:rPr>
      <w:rFonts w:ascii="Arial Rounded MT Bold" w:eastAsia="Calibri" w:hAnsi="Arial Rounded MT Bold" w:cs="Times New Roman"/>
      <w:color w:val="000000"/>
      <w:sz w:val="16"/>
      <w:szCs w:val="20"/>
    </w:rPr>
  </w:style>
  <w:style w:type="paragraph" w:customStyle="1" w:styleId="Governor">
    <w:name w:val="Governor"/>
    <w:basedOn w:val="Normal"/>
    <w:rsid w:val="00F35049"/>
    <w:pPr>
      <w:framePr w:hSpace="187" w:wrap="notBeside" w:vAnchor="text" w:hAnchor="page" w:x="546" w:y="141"/>
      <w:spacing w:after="120"/>
      <w:jc w:val="center"/>
    </w:pPr>
    <w:rPr>
      <w:rFonts w:ascii="Arial Rounded MT Bold" w:eastAsia="Times New Roman" w:hAnsi="Arial Rounded MT Bold" w:cs="Times New Roman"/>
      <w:sz w:val="14"/>
      <w:szCs w:val="20"/>
    </w:rPr>
  </w:style>
  <w:style w:type="character" w:styleId="Emphasis">
    <w:name w:val="Emphasis"/>
    <w:uiPriority w:val="99"/>
    <w:qFormat/>
    <w:rsid w:val="007C38A4"/>
  </w:style>
  <w:style w:type="paragraph" w:customStyle="1" w:styleId="Tableheader">
    <w:name w:val="Table header"/>
    <w:basedOn w:val="PlainText"/>
    <w:qFormat/>
    <w:rsid w:val="00083A84"/>
    <w:pPr>
      <w:spacing w:before="120" w:after="120"/>
      <w:jc w:val="center"/>
    </w:pPr>
    <w:rPr>
      <w:rFonts w:eastAsia="Calibri"/>
      <w:b/>
    </w:rPr>
  </w:style>
  <w:style w:type="character" w:customStyle="1" w:styleId="Heading4Char">
    <w:name w:val="Heading 4 Char"/>
    <w:basedOn w:val="DefaultParagraphFont"/>
    <w:link w:val="Heading4"/>
    <w:uiPriority w:val="9"/>
    <w:semiHidden/>
    <w:rsid w:val="008F4AF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549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7549A"/>
    <w:rPr>
      <w:b/>
      <w:bCs/>
    </w:rPr>
  </w:style>
  <w:style w:type="character" w:styleId="FollowedHyperlink">
    <w:name w:val="FollowedHyperlink"/>
    <w:basedOn w:val="DefaultParagraphFont"/>
    <w:uiPriority w:val="99"/>
    <w:semiHidden/>
    <w:unhideWhenUsed/>
    <w:rsid w:val="00544F1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44F1E"/>
    <w:rPr>
      <w:rFonts w:ascii="Times New Roman" w:eastAsiaTheme="minorHAnsi" w:hAnsi="Times New Roman" w:cs="Times New Roman"/>
      <w:b/>
      <w:bCs/>
      <w:sz w:val="20"/>
      <w:szCs w:val="20"/>
    </w:rPr>
  </w:style>
  <w:style w:type="character" w:customStyle="1" w:styleId="CommentSubjectChar">
    <w:name w:val="Comment Subject Char"/>
    <w:basedOn w:val="CommentTextChar"/>
    <w:link w:val="CommentSubject"/>
    <w:uiPriority w:val="99"/>
    <w:semiHidden/>
    <w:rsid w:val="00544F1E"/>
    <w:rPr>
      <w:rFonts w:ascii="Times New Roman" w:eastAsia="Times New Roman" w:hAnsi="Times New Roman" w:cs="Times New Roman"/>
      <w:b/>
      <w:bCs/>
      <w:sz w:val="20"/>
      <w:szCs w:val="20"/>
    </w:rPr>
  </w:style>
  <w:style w:type="paragraph" w:styleId="Revision">
    <w:name w:val="Revision"/>
    <w:uiPriority w:val="99"/>
    <w:semiHidden/>
    <w:rsid w:val="00544F1E"/>
    <w:pPr>
      <w:spacing w:after="0" w:line="240" w:lineRule="auto"/>
    </w:pPr>
    <w:rPr>
      <w:rFonts w:ascii="Times New Roman" w:hAnsi="Times New Roman" w:cs="Times New Roman"/>
      <w:sz w:val="24"/>
      <w:szCs w:val="24"/>
    </w:rPr>
  </w:style>
  <w:style w:type="paragraph" w:customStyle="1" w:styleId="EndNoteBibliographyTitle">
    <w:name w:val="EndNote Bibliography Title"/>
    <w:basedOn w:val="Normal"/>
    <w:uiPriority w:val="99"/>
    <w:semiHidden/>
    <w:rsid w:val="00544F1E"/>
    <w:pPr>
      <w:jc w:val="center"/>
    </w:pPr>
    <w:rPr>
      <w:rFonts w:ascii="Times New Roman" w:hAnsi="Times New Roman" w:cs="Times New Roman"/>
      <w:sz w:val="24"/>
      <w:szCs w:val="24"/>
    </w:rPr>
  </w:style>
  <w:style w:type="paragraph" w:customStyle="1" w:styleId="EndNoteBibliography">
    <w:name w:val="EndNote Bibliography"/>
    <w:basedOn w:val="Normal"/>
    <w:rsid w:val="00544F1E"/>
    <w:pPr>
      <w:spacing w:line="480" w:lineRule="auto"/>
    </w:pPr>
    <w:rPr>
      <w:rFonts w:ascii="Times New Roman" w:hAnsi="Times New Roman" w:cs="Times New Roman"/>
      <w:sz w:val="24"/>
      <w:szCs w:val="24"/>
    </w:rPr>
  </w:style>
  <w:style w:type="paragraph" w:customStyle="1" w:styleId="Body">
    <w:name w:val="Body"/>
    <w:uiPriority w:val="99"/>
    <w:semiHidden/>
    <w:rsid w:val="00544F1E"/>
    <w:pPr>
      <w:spacing w:after="0" w:line="240" w:lineRule="auto"/>
    </w:pPr>
    <w:rPr>
      <w:rFonts w:ascii="Times New Roman" w:eastAsia="Arial Unicode MS" w:hAnsi="Times New Roman" w:cs="Arial Unicode MS"/>
      <w:color w:val="000000"/>
      <w:sz w:val="24"/>
      <w:szCs w:val="24"/>
      <w:u w:color="000000"/>
    </w:rPr>
  </w:style>
  <w:style w:type="paragraph" w:customStyle="1" w:styleId="Default">
    <w:name w:val="Default"/>
    <w:rsid w:val="00D82A1B"/>
    <w:pPr>
      <w:autoSpaceDE w:val="0"/>
      <w:autoSpaceDN w:val="0"/>
      <w:adjustRightInd w:val="0"/>
      <w:spacing w:after="0" w:line="240" w:lineRule="auto"/>
    </w:pPr>
    <w:rPr>
      <w:rFonts w:ascii="Arial" w:hAnsi="Arial" w:cs="Arial"/>
      <w:color w:val="000000"/>
      <w:sz w:val="24"/>
      <w:szCs w:val="24"/>
    </w:rPr>
  </w:style>
  <w:style w:type="table" w:styleId="LightShading">
    <w:name w:val="Light Shading"/>
    <w:basedOn w:val="TableNormal"/>
    <w:uiPriority w:val="60"/>
    <w:rsid w:val="005E70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unhideWhenUsed/>
    <w:rsid w:val="005E70E9"/>
    <w:rPr>
      <w:sz w:val="20"/>
      <w:szCs w:val="20"/>
    </w:rPr>
  </w:style>
  <w:style w:type="character" w:customStyle="1" w:styleId="EndnoteTextChar">
    <w:name w:val="Endnote Text Char"/>
    <w:basedOn w:val="DefaultParagraphFont"/>
    <w:link w:val="EndnoteText"/>
    <w:uiPriority w:val="99"/>
    <w:rsid w:val="005E70E9"/>
    <w:rPr>
      <w:sz w:val="20"/>
      <w:szCs w:val="20"/>
    </w:rPr>
  </w:style>
  <w:style w:type="character" w:styleId="EndnoteReference">
    <w:name w:val="endnote reference"/>
    <w:basedOn w:val="DefaultParagraphFont"/>
    <w:uiPriority w:val="99"/>
    <w:semiHidden/>
    <w:unhideWhenUsed/>
    <w:rsid w:val="005E70E9"/>
    <w:rPr>
      <w:vertAlign w:val="superscript"/>
    </w:rPr>
  </w:style>
  <w:style w:type="character" w:customStyle="1" w:styleId="element-citation">
    <w:name w:val="element-citation"/>
    <w:basedOn w:val="DefaultParagraphFont"/>
    <w:uiPriority w:val="99"/>
    <w:rsid w:val="002B339A"/>
    <w:rPr>
      <w:rFonts w:cs="Times New Roman"/>
    </w:rPr>
  </w:style>
  <w:style w:type="character" w:customStyle="1" w:styleId="ref-journal">
    <w:name w:val="ref-journal"/>
    <w:basedOn w:val="DefaultParagraphFont"/>
    <w:uiPriority w:val="99"/>
    <w:rsid w:val="002B339A"/>
    <w:rPr>
      <w:rFonts w:cs="Times New Roman"/>
    </w:rPr>
  </w:style>
  <w:style w:type="character" w:customStyle="1" w:styleId="ref-vol">
    <w:name w:val="ref-vol"/>
    <w:basedOn w:val="DefaultParagraphFont"/>
    <w:uiPriority w:val="99"/>
    <w:rsid w:val="002B339A"/>
    <w:rPr>
      <w:rFonts w:cs="Times New Roman"/>
    </w:rPr>
  </w:style>
  <w:style w:type="paragraph" w:styleId="Caption">
    <w:name w:val="caption"/>
    <w:basedOn w:val="Normal"/>
    <w:next w:val="Normal"/>
    <w:uiPriority w:val="35"/>
    <w:unhideWhenUsed/>
    <w:qFormat/>
    <w:rsid w:val="002B640F"/>
    <w:pPr>
      <w:spacing w:after="200"/>
    </w:pPr>
    <w:rPr>
      <w:b/>
      <w:bCs/>
      <w:color w:val="4F81BD" w:themeColor="accent1"/>
      <w:sz w:val="18"/>
      <w:szCs w:val="18"/>
    </w:rPr>
  </w:style>
  <w:style w:type="paragraph" w:customStyle="1" w:styleId="FreeForm">
    <w:name w:val="Free Form"/>
    <w:uiPriority w:val="99"/>
    <w:rsid w:val="004A4821"/>
    <w:pPr>
      <w:spacing w:after="0" w:line="240" w:lineRule="auto"/>
    </w:pPr>
    <w:rPr>
      <w:rFonts w:ascii="Helvetica" w:eastAsia="Times New Roman" w:hAnsi="Helvetica" w:cs="Times New Roman"/>
      <w:color w:val="000000"/>
      <w:sz w:val="24"/>
      <w:szCs w:val="20"/>
    </w:rPr>
  </w:style>
  <w:style w:type="table" w:styleId="LightShading-Accent1">
    <w:name w:val="Light Shading Accent 1"/>
    <w:basedOn w:val="TableNormal"/>
    <w:uiPriority w:val="60"/>
    <w:rsid w:val="006F0C1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2686">
      <w:bodyDiv w:val="1"/>
      <w:marLeft w:val="0"/>
      <w:marRight w:val="0"/>
      <w:marTop w:val="0"/>
      <w:marBottom w:val="0"/>
      <w:divBdr>
        <w:top w:val="none" w:sz="0" w:space="0" w:color="auto"/>
        <w:left w:val="none" w:sz="0" w:space="0" w:color="auto"/>
        <w:bottom w:val="none" w:sz="0" w:space="0" w:color="auto"/>
        <w:right w:val="none" w:sz="0" w:space="0" w:color="auto"/>
      </w:divBdr>
      <w:divsChild>
        <w:div w:id="1103644904">
          <w:marLeft w:val="346"/>
          <w:marRight w:val="0"/>
          <w:marTop w:val="0"/>
          <w:marBottom w:val="0"/>
          <w:divBdr>
            <w:top w:val="none" w:sz="0" w:space="0" w:color="auto"/>
            <w:left w:val="none" w:sz="0" w:space="0" w:color="auto"/>
            <w:bottom w:val="none" w:sz="0" w:space="0" w:color="auto"/>
            <w:right w:val="none" w:sz="0" w:space="0" w:color="auto"/>
          </w:divBdr>
        </w:div>
        <w:div w:id="2063403362">
          <w:marLeft w:val="346"/>
          <w:marRight w:val="0"/>
          <w:marTop w:val="0"/>
          <w:marBottom w:val="0"/>
          <w:divBdr>
            <w:top w:val="none" w:sz="0" w:space="0" w:color="auto"/>
            <w:left w:val="none" w:sz="0" w:space="0" w:color="auto"/>
            <w:bottom w:val="none" w:sz="0" w:space="0" w:color="auto"/>
            <w:right w:val="none" w:sz="0" w:space="0" w:color="auto"/>
          </w:divBdr>
        </w:div>
        <w:div w:id="1102648028">
          <w:marLeft w:val="346"/>
          <w:marRight w:val="0"/>
          <w:marTop w:val="0"/>
          <w:marBottom w:val="0"/>
          <w:divBdr>
            <w:top w:val="none" w:sz="0" w:space="0" w:color="auto"/>
            <w:left w:val="none" w:sz="0" w:space="0" w:color="auto"/>
            <w:bottom w:val="none" w:sz="0" w:space="0" w:color="auto"/>
            <w:right w:val="none" w:sz="0" w:space="0" w:color="auto"/>
          </w:divBdr>
        </w:div>
        <w:div w:id="1361861852">
          <w:marLeft w:val="346"/>
          <w:marRight w:val="0"/>
          <w:marTop w:val="0"/>
          <w:marBottom w:val="0"/>
          <w:divBdr>
            <w:top w:val="none" w:sz="0" w:space="0" w:color="auto"/>
            <w:left w:val="none" w:sz="0" w:space="0" w:color="auto"/>
            <w:bottom w:val="none" w:sz="0" w:space="0" w:color="auto"/>
            <w:right w:val="none" w:sz="0" w:space="0" w:color="auto"/>
          </w:divBdr>
        </w:div>
      </w:divsChild>
    </w:div>
    <w:div w:id="67506208">
      <w:bodyDiv w:val="1"/>
      <w:marLeft w:val="0"/>
      <w:marRight w:val="0"/>
      <w:marTop w:val="0"/>
      <w:marBottom w:val="0"/>
      <w:divBdr>
        <w:top w:val="none" w:sz="0" w:space="0" w:color="auto"/>
        <w:left w:val="none" w:sz="0" w:space="0" w:color="auto"/>
        <w:bottom w:val="none" w:sz="0" w:space="0" w:color="auto"/>
        <w:right w:val="none" w:sz="0" w:space="0" w:color="auto"/>
      </w:divBdr>
      <w:divsChild>
        <w:div w:id="1790657336">
          <w:marLeft w:val="446"/>
          <w:marRight w:val="0"/>
          <w:marTop w:val="0"/>
          <w:marBottom w:val="120"/>
          <w:divBdr>
            <w:top w:val="none" w:sz="0" w:space="0" w:color="auto"/>
            <w:left w:val="none" w:sz="0" w:space="0" w:color="auto"/>
            <w:bottom w:val="none" w:sz="0" w:space="0" w:color="auto"/>
            <w:right w:val="none" w:sz="0" w:space="0" w:color="auto"/>
          </w:divBdr>
        </w:div>
        <w:div w:id="1695569946">
          <w:marLeft w:val="446"/>
          <w:marRight w:val="0"/>
          <w:marTop w:val="0"/>
          <w:marBottom w:val="120"/>
          <w:divBdr>
            <w:top w:val="none" w:sz="0" w:space="0" w:color="auto"/>
            <w:left w:val="none" w:sz="0" w:space="0" w:color="auto"/>
            <w:bottom w:val="none" w:sz="0" w:space="0" w:color="auto"/>
            <w:right w:val="none" w:sz="0" w:space="0" w:color="auto"/>
          </w:divBdr>
        </w:div>
      </w:divsChild>
    </w:div>
    <w:div w:id="87433566">
      <w:bodyDiv w:val="1"/>
      <w:marLeft w:val="0"/>
      <w:marRight w:val="0"/>
      <w:marTop w:val="0"/>
      <w:marBottom w:val="0"/>
      <w:divBdr>
        <w:top w:val="none" w:sz="0" w:space="0" w:color="auto"/>
        <w:left w:val="none" w:sz="0" w:space="0" w:color="auto"/>
        <w:bottom w:val="none" w:sz="0" w:space="0" w:color="auto"/>
        <w:right w:val="none" w:sz="0" w:space="0" w:color="auto"/>
      </w:divBdr>
    </w:div>
    <w:div w:id="144857679">
      <w:bodyDiv w:val="1"/>
      <w:marLeft w:val="0"/>
      <w:marRight w:val="0"/>
      <w:marTop w:val="0"/>
      <w:marBottom w:val="0"/>
      <w:divBdr>
        <w:top w:val="none" w:sz="0" w:space="0" w:color="auto"/>
        <w:left w:val="none" w:sz="0" w:space="0" w:color="auto"/>
        <w:bottom w:val="none" w:sz="0" w:space="0" w:color="auto"/>
        <w:right w:val="none" w:sz="0" w:space="0" w:color="auto"/>
      </w:divBdr>
    </w:div>
    <w:div w:id="169566282">
      <w:bodyDiv w:val="1"/>
      <w:marLeft w:val="0"/>
      <w:marRight w:val="0"/>
      <w:marTop w:val="0"/>
      <w:marBottom w:val="0"/>
      <w:divBdr>
        <w:top w:val="none" w:sz="0" w:space="0" w:color="auto"/>
        <w:left w:val="none" w:sz="0" w:space="0" w:color="auto"/>
        <w:bottom w:val="none" w:sz="0" w:space="0" w:color="auto"/>
        <w:right w:val="none" w:sz="0" w:space="0" w:color="auto"/>
      </w:divBdr>
    </w:div>
    <w:div w:id="201678808">
      <w:bodyDiv w:val="1"/>
      <w:marLeft w:val="0"/>
      <w:marRight w:val="0"/>
      <w:marTop w:val="0"/>
      <w:marBottom w:val="0"/>
      <w:divBdr>
        <w:top w:val="none" w:sz="0" w:space="0" w:color="auto"/>
        <w:left w:val="none" w:sz="0" w:space="0" w:color="auto"/>
        <w:bottom w:val="none" w:sz="0" w:space="0" w:color="auto"/>
        <w:right w:val="none" w:sz="0" w:space="0" w:color="auto"/>
      </w:divBdr>
      <w:divsChild>
        <w:div w:id="900215989">
          <w:marLeft w:val="432"/>
          <w:marRight w:val="0"/>
          <w:marTop w:val="0"/>
          <w:marBottom w:val="0"/>
          <w:divBdr>
            <w:top w:val="none" w:sz="0" w:space="0" w:color="auto"/>
            <w:left w:val="none" w:sz="0" w:space="0" w:color="auto"/>
            <w:bottom w:val="none" w:sz="0" w:space="0" w:color="auto"/>
            <w:right w:val="none" w:sz="0" w:space="0" w:color="auto"/>
          </w:divBdr>
        </w:div>
        <w:div w:id="835920482">
          <w:marLeft w:val="432"/>
          <w:marRight w:val="0"/>
          <w:marTop w:val="0"/>
          <w:marBottom w:val="0"/>
          <w:divBdr>
            <w:top w:val="none" w:sz="0" w:space="0" w:color="auto"/>
            <w:left w:val="none" w:sz="0" w:space="0" w:color="auto"/>
            <w:bottom w:val="none" w:sz="0" w:space="0" w:color="auto"/>
            <w:right w:val="none" w:sz="0" w:space="0" w:color="auto"/>
          </w:divBdr>
        </w:div>
      </w:divsChild>
    </w:div>
    <w:div w:id="257519490">
      <w:bodyDiv w:val="1"/>
      <w:marLeft w:val="0"/>
      <w:marRight w:val="0"/>
      <w:marTop w:val="0"/>
      <w:marBottom w:val="0"/>
      <w:divBdr>
        <w:top w:val="none" w:sz="0" w:space="0" w:color="auto"/>
        <w:left w:val="none" w:sz="0" w:space="0" w:color="auto"/>
        <w:bottom w:val="none" w:sz="0" w:space="0" w:color="auto"/>
        <w:right w:val="none" w:sz="0" w:space="0" w:color="auto"/>
      </w:divBdr>
    </w:div>
    <w:div w:id="558907991">
      <w:bodyDiv w:val="1"/>
      <w:marLeft w:val="0"/>
      <w:marRight w:val="0"/>
      <w:marTop w:val="0"/>
      <w:marBottom w:val="0"/>
      <w:divBdr>
        <w:top w:val="none" w:sz="0" w:space="0" w:color="auto"/>
        <w:left w:val="none" w:sz="0" w:space="0" w:color="auto"/>
        <w:bottom w:val="none" w:sz="0" w:space="0" w:color="auto"/>
        <w:right w:val="none" w:sz="0" w:space="0" w:color="auto"/>
      </w:divBdr>
      <w:divsChild>
        <w:div w:id="891962861">
          <w:marLeft w:val="893"/>
          <w:marRight w:val="0"/>
          <w:marTop w:val="0"/>
          <w:marBottom w:val="60"/>
          <w:divBdr>
            <w:top w:val="none" w:sz="0" w:space="0" w:color="auto"/>
            <w:left w:val="none" w:sz="0" w:space="0" w:color="auto"/>
            <w:bottom w:val="none" w:sz="0" w:space="0" w:color="auto"/>
            <w:right w:val="none" w:sz="0" w:space="0" w:color="auto"/>
          </w:divBdr>
        </w:div>
      </w:divsChild>
    </w:div>
    <w:div w:id="623274842">
      <w:bodyDiv w:val="1"/>
      <w:marLeft w:val="0"/>
      <w:marRight w:val="0"/>
      <w:marTop w:val="0"/>
      <w:marBottom w:val="0"/>
      <w:divBdr>
        <w:top w:val="none" w:sz="0" w:space="0" w:color="auto"/>
        <w:left w:val="none" w:sz="0" w:space="0" w:color="auto"/>
        <w:bottom w:val="none" w:sz="0" w:space="0" w:color="auto"/>
        <w:right w:val="none" w:sz="0" w:space="0" w:color="auto"/>
      </w:divBdr>
      <w:divsChild>
        <w:div w:id="1232426601">
          <w:marLeft w:val="461"/>
          <w:marRight w:val="0"/>
          <w:marTop w:val="0"/>
          <w:marBottom w:val="60"/>
          <w:divBdr>
            <w:top w:val="none" w:sz="0" w:space="0" w:color="auto"/>
            <w:left w:val="none" w:sz="0" w:space="0" w:color="auto"/>
            <w:bottom w:val="none" w:sz="0" w:space="0" w:color="auto"/>
            <w:right w:val="none" w:sz="0" w:space="0" w:color="auto"/>
          </w:divBdr>
        </w:div>
      </w:divsChild>
    </w:div>
    <w:div w:id="632835110">
      <w:bodyDiv w:val="1"/>
      <w:marLeft w:val="0"/>
      <w:marRight w:val="0"/>
      <w:marTop w:val="0"/>
      <w:marBottom w:val="0"/>
      <w:divBdr>
        <w:top w:val="none" w:sz="0" w:space="0" w:color="auto"/>
        <w:left w:val="none" w:sz="0" w:space="0" w:color="auto"/>
        <w:bottom w:val="none" w:sz="0" w:space="0" w:color="auto"/>
        <w:right w:val="none" w:sz="0" w:space="0" w:color="auto"/>
      </w:divBdr>
    </w:div>
    <w:div w:id="658577410">
      <w:bodyDiv w:val="1"/>
      <w:marLeft w:val="0"/>
      <w:marRight w:val="0"/>
      <w:marTop w:val="0"/>
      <w:marBottom w:val="0"/>
      <w:divBdr>
        <w:top w:val="none" w:sz="0" w:space="0" w:color="auto"/>
        <w:left w:val="none" w:sz="0" w:space="0" w:color="auto"/>
        <w:bottom w:val="none" w:sz="0" w:space="0" w:color="auto"/>
        <w:right w:val="none" w:sz="0" w:space="0" w:color="auto"/>
      </w:divBdr>
    </w:div>
    <w:div w:id="709912500">
      <w:bodyDiv w:val="1"/>
      <w:marLeft w:val="0"/>
      <w:marRight w:val="0"/>
      <w:marTop w:val="0"/>
      <w:marBottom w:val="0"/>
      <w:divBdr>
        <w:top w:val="none" w:sz="0" w:space="0" w:color="auto"/>
        <w:left w:val="none" w:sz="0" w:space="0" w:color="auto"/>
        <w:bottom w:val="none" w:sz="0" w:space="0" w:color="auto"/>
        <w:right w:val="none" w:sz="0" w:space="0" w:color="auto"/>
      </w:divBdr>
      <w:divsChild>
        <w:div w:id="1715152760">
          <w:marLeft w:val="461"/>
          <w:marRight w:val="0"/>
          <w:marTop w:val="0"/>
          <w:marBottom w:val="120"/>
          <w:divBdr>
            <w:top w:val="none" w:sz="0" w:space="0" w:color="auto"/>
            <w:left w:val="none" w:sz="0" w:space="0" w:color="auto"/>
            <w:bottom w:val="none" w:sz="0" w:space="0" w:color="auto"/>
            <w:right w:val="none" w:sz="0" w:space="0" w:color="auto"/>
          </w:divBdr>
        </w:div>
      </w:divsChild>
    </w:div>
    <w:div w:id="788284781">
      <w:bodyDiv w:val="1"/>
      <w:marLeft w:val="0"/>
      <w:marRight w:val="0"/>
      <w:marTop w:val="0"/>
      <w:marBottom w:val="0"/>
      <w:divBdr>
        <w:top w:val="none" w:sz="0" w:space="0" w:color="auto"/>
        <w:left w:val="none" w:sz="0" w:space="0" w:color="auto"/>
        <w:bottom w:val="none" w:sz="0" w:space="0" w:color="auto"/>
        <w:right w:val="none" w:sz="0" w:space="0" w:color="auto"/>
      </w:divBdr>
      <w:divsChild>
        <w:div w:id="2091004479">
          <w:marLeft w:val="907"/>
          <w:marRight w:val="0"/>
          <w:marTop w:val="0"/>
          <w:marBottom w:val="0"/>
          <w:divBdr>
            <w:top w:val="none" w:sz="0" w:space="0" w:color="auto"/>
            <w:left w:val="none" w:sz="0" w:space="0" w:color="auto"/>
            <w:bottom w:val="none" w:sz="0" w:space="0" w:color="auto"/>
            <w:right w:val="none" w:sz="0" w:space="0" w:color="auto"/>
          </w:divBdr>
        </w:div>
        <w:div w:id="1660116539">
          <w:marLeft w:val="907"/>
          <w:marRight w:val="0"/>
          <w:marTop w:val="0"/>
          <w:marBottom w:val="0"/>
          <w:divBdr>
            <w:top w:val="none" w:sz="0" w:space="0" w:color="auto"/>
            <w:left w:val="none" w:sz="0" w:space="0" w:color="auto"/>
            <w:bottom w:val="none" w:sz="0" w:space="0" w:color="auto"/>
            <w:right w:val="none" w:sz="0" w:space="0" w:color="auto"/>
          </w:divBdr>
        </w:div>
      </w:divsChild>
    </w:div>
    <w:div w:id="829567114">
      <w:bodyDiv w:val="1"/>
      <w:marLeft w:val="0"/>
      <w:marRight w:val="0"/>
      <w:marTop w:val="0"/>
      <w:marBottom w:val="0"/>
      <w:divBdr>
        <w:top w:val="none" w:sz="0" w:space="0" w:color="auto"/>
        <w:left w:val="none" w:sz="0" w:space="0" w:color="auto"/>
        <w:bottom w:val="none" w:sz="0" w:space="0" w:color="auto"/>
        <w:right w:val="none" w:sz="0" w:space="0" w:color="auto"/>
      </w:divBdr>
    </w:div>
    <w:div w:id="896739590">
      <w:bodyDiv w:val="1"/>
      <w:marLeft w:val="0"/>
      <w:marRight w:val="0"/>
      <w:marTop w:val="0"/>
      <w:marBottom w:val="0"/>
      <w:divBdr>
        <w:top w:val="none" w:sz="0" w:space="0" w:color="auto"/>
        <w:left w:val="none" w:sz="0" w:space="0" w:color="auto"/>
        <w:bottom w:val="none" w:sz="0" w:space="0" w:color="auto"/>
        <w:right w:val="none" w:sz="0" w:space="0" w:color="auto"/>
      </w:divBdr>
    </w:div>
    <w:div w:id="927032469">
      <w:bodyDiv w:val="1"/>
      <w:marLeft w:val="0"/>
      <w:marRight w:val="0"/>
      <w:marTop w:val="0"/>
      <w:marBottom w:val="0"/>
      <w:divBdr>
        <w:top w:val="none" w:sz="0" w:space="0" w:color="auto"/>
        <w:left w:val="none" w:sz="0" w:space="0" w:color="auto"/>
        <w:bottom w:val="none" w:sz="0" w:space="0" w:color="auto"/>
        <w:right w:val="none" w:sz="0" w:space="0" w:color="auto"/>
      </w:divBdr>
    </w:div>
    <w:div w:id="955798647">
      <w:bodyDiv w:val="1"/>
      <w:marLeft w:val="0"/>
      <w:marRight w:val="0"/>
      <w:marTop w:val="0"/>
      <w:marBottom w:val="0"/>
      <w:divBdr>
        <w:top w:val="none" w:sz="0" w:space="0" w:color="auto"/>
        <w:left w:val="none" w:sz="0" w:space="0" w:color="auto"/>
        <w:bottom w:val="none" w:sz="0" w:space="0" w:color="auto"/>
        <w:right w:val="none" w:sz="0" w:space="0" w:color="auto"/>
      </w:divBdr>
    </w:div>
    <w:div w:id="1087339090">
      <w:bodyDiv w:val="1"/>
      <w:marLeft w:val="0"/>
      <w:marRight w:val="0"/>
      <w:marTop w:val="0"/>
      <w:marBottom w:val="0"/>
      <w:divBdr>
        <w:top w:val="none" w:sz="0" w:space="0" w:color="auto"/>
        <w:left w:val="none" w:sz="0" w:space="0" w:color="auto"/>
        <w:bottom w:val="none" w:sz="0" w:space="0" w:color="auto"/>
        <w:right w:val="none" w:sz="0" w:space="0" w:color="auto"/>
      </w:divBdr>
    </w:div>
    <w:div w:id="1162157411">
      <w:bodyDiv w:val="1"/>
      <w:marLeft w:val="0"/>
      <w:marRight w:val="0"/>
      <w:marTop w:val="0"/>
      <w:marBottom w:val="0"/>
      <w:divBdr>
        <w:top w:val="none" w:sz="0" w:space="0" w:color="auto"/>
        <w:left w:val="none" w:sz="0" w:space="0" w:color="auto"/>
        <w:bottom w:val="none" w:sz="0" w:space="0" w:color="auto"/>
        <w:right w:val="none" w:sz="0" w:space="0" w:color="auto"/>
      </w:divBdr>
    </w:div>
    <w:div w:id="1302928808">
      <w:bodyDiv w:val="1"/>
      <w:marLeft w:val="0"/>
      <w:marRight w:val="0"/>
      <w:marTop w:val="0"/>
      <w:marBottom w:val="0"/>
      <w:divBdr>
        <w:top w:val="none" w:sz="0" w:space="0" w:color="auto"/>
        <w:left w:val="none" w:sz="0" w:space="0" w:color="auto"/>
        <w:bottom w:val="none" w:sz="0" w:space="0" w:color="auto"/>
        <w:right w:val="none" w:sz="0" w:space="0" w:color="auto"/>
      </w:divBdr>
      <w:divsChild>
        <w:div w:id="90207656">
          <w:marLeft w:val="432"/>
          <w:marRight w:val="0"/>
          <w:marTop w:val="0"/>
          <w:marBottom w:val="0"/>
          <w:divBdr>
            <w:top w:val="none" w:sz="0" w:space="0" w:color="auto"/>
            <w:left w:val="none" w:sz="0" w:space="0" w:color="auto"/>
            <w:bottom w:val="none" w:sz="0" w:space="0" w:color="auto"/>
            <w:right w:val="none" w:sz="0" w:space="0" w:color="auto"/>
          </w:divBdr>
        </w:div>
      </w:divsChild>
    </w:div>
    <w:div w:id="1389260556">
      <w:bodyDiv w:val="1"/>
      <w:marLeft w:val="0"/>
      <w:marRight w:val="0"/>
      <w:marTop w:val="0"/>
      <w:marBottom w:val="0"/>
      <w:divBdr>
        <w:top w:val="none" w:sz="0" w:space="0" w:color="auto"/>
        <w:left w:val="none" w:sz="0" w:space="0" w:color="auto"/>
        <w:bottom w:val="none" w:sz="0" w:space="0" w:color="auto"/>
        <w:right w:val="none" w:sz="0" w:space="0" w:color="auto"/>
      </w:divBdr>
    </w:div>
    <w:div w:id="1391927772">
      <w:bodyDiv w:val="1"/>
      <w:marLeft w:val="0"/>
      <w:marRight w:val="0"/>
      <w:marTop w:val="0"/>
      <w:marBottom w:val="0"/>
      <w:divBdr>
        <w:top w:val="none" w:sz="0" w:space="0" w:color="auto"/>
        <w:left w:val="none" w:sz="0" w:space="0" w:color="auto"/>
        <w:bottom w:val="none" w:sz="0" w:space="0" w:color="auto"/>
        <w:right w:val="none" w:sz="0" w:space="0" w:color="auto"/>
      </w:divBdr>
    </w:div>
    <w:div w:id="1447966110">
      <w:bodyDiv w:val="1"/>
      <w:marLeft w:val="0"/>
      <w:marRight w:val="0"/>
      <w:marTop w:val="0"/>
      <w:marBottom w:val="0"/>
      <w:divBdr>
        <w:top w:val="none" w:sz="0" w:space="0" w:color="auto"/>
        <w:left w:val="none" w:sz="0" w:space="0" w:color="auto"/>
        <w:bottom w:val="none" w:sz="0" w:space="0" w:color="auto"/>
        <w:right w:val="none" w:sz="0" w:space="0" w:color="auto"/>
      </w:divBdr>
    </w:div>
    <w:div w:id="1630431756">
      <w:bodyDiv w:val="1"/>
      <w:marLeft w:val="0"/>
      <w:marRight w:val="0"/>
      <w:marTop w:val="0"/>
      <w:marBottom w:val="0"/>
      <w:divBdr>
        <w:top w:val="none" w:sz="0" w:space="0" w:color="auto"/>
        <w:left w:val="none" w:sz="0" w:space="0" w:color="auto"/>
        <w:bottom w:val="none" w:sz="0" w:space="0" w:color="auto"/>
        <w:right w:val="none" w:sz="0" w:space="0" w:color="auto"/>
      </w:divBdr>
    </w:div>
    <w:div w:id="1725983666">
      <w:bodyDiv w:val="1"/>
      <w:marLeft w:val="0"/>
      <w:marRight w:val="0"/>
      <w:marTop w:val="0"/>
      <w:marBottom w:val="0"/>
      <w:divBdr>
        <w:top w:val="none" w:sz="0" w:space="0" w:color="auto"/>
        <w:left w:val="none" w:sz="0" w:space="0" w:color="auto"/>
        <w:bottom w:val="none" w:sz="0" w:space="0" w:color="auto"/>
        <w:right w:val="none" w:sz="0" w:space="0" w:color="auto"/>
      </w:divBdr>
    </w:div>
    <w:div w:id="1790273088">
      <w:bodyDiv w:val="1"/>
      <w:marLeft w:val="0"/>
      <w:marRight w:val="0"/>
      <w:marTop w:val="0"/>
      <w:marBottom w:val="0"/>
      <w:divBdr>
        <w:top w:val="none" w:sz="0" w:space="0" w:color="auto"/>
        <w:left w:val="none" w:sz="0" w:space="0" w:color="auto"/>
        <w:bottom w:val="none" w:sz="0" w:space="0" w:color="auto"/>
        <w:right w:val="none" w:sz="0" w:space="0" w:color="auto"/>
      </w:divBdr>
    </w:div>
    <w:div w:id="20384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legis/laws/mgl/gl-12c-toc.htm" TargetMode="External"/><Relationship Id="rId18" Type="http://schemas.openxmlformats.org/officeDocument/2006/relationships/hyperlink" Target="http://www.mass.gov/legis/laws/mgl/gl-112-toc.htm" TargetMode="External"/><Relationship Id="rId26" Type="http://schemas.openxmlformats.org/officeDocument/2006/relationships/hyperlink" Target="https://www.mass.gov/service-details/chapter-55-overdose-report" TargetMode="External"/><Relationship Id="rId39" Type="http://schemas.openxmlformats.org/officeDocument/2006/relationships/chart" Target="charts/chart9.xml"/><Relationship Id="rId21" Type="http://schemas.openxmlformats.org/officeDocument/2006/relationships/hyperlink" Target="http://www.mass.gov/legis/laws/mgl/gl-120-toc.htm" TargetMode="External"/><Relationship Id="rId34" Type="http://schemas.openxmlformats.org/officeDocument/2006/relationships/chart" Target="charts/chart5.xml"/><Relationship Id="rId42" Type="http://schemas.openxmlformats.org/officeDocument/2006/relationships/chart" Target="charts/chart11.xml"/><Relationship Id="rId47" Type="http://schemas.openxmlformats.org/officeDocument/2006/relationships/chart" Target="charts/chart16.xml"/><Relationship Id="rId50" Type="http://schemas.openxmlformats.org/officeDocument/2006/relationships/chart" Target="charts/chart19.xml"/><Relationship Id="rId55" Type="http://schemas.openxmlformats.org/officeDocument/2006/relationships/chart" Target="charts/chart24.xml"/><Relationship Id="rId63" Type="http://schemas.openxmlformats.org/officeDocument/2006/relationships/chart" Target="charts/chart32.xml"/><Relationship Id="rId68" Type="http://schemas.openxmlformats.org/officeDocument/2006/relationships/chart" Target="charts/chart37.xml"/><Relationship Id="rId76" Type="http://schemas.openxmlformats.org/officeDocument/2006/relationships/chart" Target="charts/chart43.xml"/><Relationship Id="rId8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hyperlink" Target="http://www.mass.gov/legis/laws/mgl/gl-94c-toc.htm" TargetMode="External"/><Relationship Id="rId29" Type="http://schemas.openxmlformats.org/officeDocument/2006/relationships/chart" Target="charts/chart1.xml"/><Relationship Id="rId11" Type="http://schemas.openxmlformats.org/officeDocument/2006/relationships/hyperlink" Target="http://www.mass.gov/legis/laws/mgl/6-74.htm" TargetMode="External"/><Relationship Id="rId24" Type="http://schemas.openxmlformats.org/officeDocument/2006/relationships/hyperlink" Target="http://www.mass.gov/legis/laws/mgl/66-10.htm" TargetMode="External"/><Relationship Id="rId32" Type="http://schemas.openxmlformats.org/officeDocument/2006/relationships/hyperlink" Target="https://www.mass.gov/files/documents/2016/09/pg/chapter-55-report.pdf" TargetMode="Externa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4.xml"/><Relationship Id="rId53" Type="http://schemas.openxmlformats.org/officeDocument/2006/relationships/chart" Target="charts/chart22.xml"/><Relationship Id="rId58" Type="http://schemas.openxmlformats.org/officeDocument/2006/relationships/chart" Target="charts/chart27.xml"/><Relationship Id="rId66" Type="http://schemas.openxmlformats.org/officeDocument/2006/relationships/chart" Target="charts/chart35.xml"/><Relationship Id="rId74" Type="http://schemas.openxmlformats.org/officeDocument/2006/relationships/image" Target="media/image5.jpg"/><Relationship Id="rId79" Type="http://schemas.openxmlformats.org/officeDocument/2006/relationships/chart" Target="charts/chart45.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hart" Target="charts/chart30.xml"/><Relationship Id="rId82" Type="http://schemas.openxmlformats.org/officeDocument/2006/relationships/chart" Target="charts/chart48.xml"/><Relationship Id="rId19" Type="http://schemas.openxmlformats.org/officeDocument/2006/relationships/hyperlink" Target="http://www.mass.gov/legis/laws/mgl/gl-118e-toc.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legis/laws/mgl/gl-19a-toc.htm" TargetMode="External"/><Relationship Id="rId22" Type="http://schemas.openxmlformats.org/officeDocument/2006/relationships/hyperlink" Target="http://www.mass.gov/legis/laws/mgl/gl-123-toc.htm" TargetMode="External"/><Relationship Id="rId27" Type="http://schemas.openxmlformats.org/officeDocument/2006/relationships/hyperlink" Target="https://www.mass.gov/files/documents/2019/08/21/Opioid-related-Overdose-Deaths-among-MA-Residents-August-2019_0.pdf" TargetMode="External"/><Relationship Id="rId30" Type="http://schemas.openxmlformats.org/officeDocument/2006/relationships/chart" Target="charts/chart2.xml"/><Relationship Id="rId35" Type="http://schemas.openxmlformats.org/officeDocument/2006/relationships/image" Target="media/image3.emf"/><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chart" Target="charts/chart25.xml"/><Relationship Id="rId64" Type="http://schemas.openxmlformats.org/officeDocument/2006/relationships/chart" Target="charts/chart33.xml"/><Relationship Id="rId69" Type="http://schemas.openxmlformats.org/officeDocument/2006/relationships/image" Target="media/image4.png"/><Relationship Id="rId77" Type="http://schemas.openxmlformats.org/officeDocument/2006/relationships/chart" Target="charts/chart44.xml"/><Relationship Id="rId8" Type="http://schemas.openxmlformats.org/officeDocument/2006/relationships/endnotes" Target="endnotes.xml"/><Relationship Id="rId51" Type="http://schemas.openxmlformats.org/officeDocument/2006/relationships/chart" Target="charts/chart20.xml"/><Relationship Id="rId72" Type="http://schemas.openxmlformats.org/officeDocument/2006/relationships/chart" Target="charts/chart40.xml"/><Relationship Id="rId80" Type="http://schemas.openxmlformats.org/officeDocument/2006/relationships/chart" Target="charts/chart46.xm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mass.gov/legis/laws/mgl/gl-6a-toc.htm" TargetMode="External"/><Relationship Id="rId17" Type="http://schemas.openxmlformats.org/officeDocument/2006/relationships/hyperlink" Target="http://www.mass.gov/legis/laws/mgl/gl-111-toc.htm" TargetMode="External"/><Relationship Id="rId25" Type="http://schemas.openxmlformats.org/officeDocument/2006/relationships/hyperlink" Target="https://www.mass.gov/files/documents/2019/08/21/Opioid-related-Overdose-Deaths-among-MA-Residents-August-2019_0.pdf" TargetMode="External"/><Relationship Id="rId33" Type="http://schemas.openxmlformats.org/officeDocument/2006/relationships/chart" Target="charts/chart4.xml"/><Relationship Id="rId38" Type="http://schemas.openxmlformats.org/officeDocument/2006/relationships/chart" Target="charts/chart8.xml"/><Relationship Id="rId46" Type="http://schemas.openxmlformats.org/officeDocument/2006/relationships/chart" Target="charts/chart15.xml"/><Relationship Id="rId59" Type="http://schemas.openxmlformats.org/officeDocument/2006/relationships/chart" Target="charts/chart28.xml"/><Relationship Id="rId67" Type="http://schemas.openxmlformats.org/officeDocument/2006/relationships/chart" Target="charts/chart36.xml"/><Relationship Id="rId20" Type="http://schemas.openxmlformats.org/officeDocument/2006/relationships/hyperlink" Target="http://www.mass.gov/legis/laws/mgl/gl-119-toc.htm" TargetMode="External"/><Relationship Id="rId41" Type="http://schemas.openxmlformats.org/officeDocument/2006/relationships/hyperlink" Target="https://www.mass.gov/files/documents/2016/09/pg/chapter-55-report.pdf" TargetMode="External"/><Relationship Id="rId54" Type="http://schemas.openxmlformats.org/officeDocument/2006/relationships/chart" Target="charts/chart23.xml"/><Relationship Id="rId62" Type="http://schemas.openxmlformats.org/officeDocument/2006/relationships/chart" Target="charts/chart31.xml"/><Relationship Id="rId70" Type="http://schemas.openxmlformats.org/officeDocument/2006/relationships/chart" Target="charts/chart38.xml"/><Relationship Id="rId75" Type="http://schemas.openxmlformats.org/officeDocument/2006/relationships/chart" Target="charts/chart42.xml"/><Relationship Id="rId83" Type="http://schemas.openxmlformats.org/officeDocument/2006/relationships/chart" Target="charts/chart4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ss.gov/legis/laws/mgl/gl-46-toc.htm" TargetMode="External"/><Relationship Id="rId23" Type="http://schemas.openxmlformats.org/officeDocument/2006/relationships/hyperlink" Target="http://www.mass.gov/legis/laws/mgl/gl-123b-toc.htm" TargetMode="External"/><Relationship Id="rId28" Type="http://schemas.openxmlformats.org/officeDocument/2006/relationships/hyperlink" Target="https://www.mass.gov/service-details/chapter-55-overdose-report" TargetMode="External"/><Relationship Id="rId36" Type="http://schemas.openxmlformats.org/officeDocument/2006/relationships/chart" Target="charts/chart6.xml"/><Relationship Id="rId49" Type="http://schemas.openxmlformats.org/officeDocument/2006/relationships/chart" Target="charts/chart18.xml"/><Relationship Id="rId57" Type="http://schemas.openxmlformats.org/officeDocument/2006/relationships/chart" Target="charts/chart26.xml"/><Relationship Id="rId10" Type="http://schemas.openxmlformats.org/officeDocument/2006/relationships/image" Target="media/image2.jpeg"/><Relationship Id="rId31" Type="http://schemas.openxmlformats.org/officeDocument/2006/relationships/chart" Target="charts/chart3.xml"/><Relationship Id="rId44" Type="http://schemas.openxmlformats.org/officeDocument/2006/relationships/chart" Target="charts/chart13.xml"/><Relationship Id="rId52" Type="http://schemas.openxmlformats.org/officeDocument/2006/relationships/chart" Target="charts/chart21.xml"/><Relationship Id="rId60" Type="http://schemas.openxmlformats.org/officeDocument/2006/relationships/chart" Target="charts/chart29.xml"/><Relationship Id="rId65" Type="http://schemas.openxmlformats.org/officeDocument/2006/relationships/chart" Target="charts/chart34.xml"/><Relationship Id="rId73" Type="http://schemas.openxmlformats.org/officeDocument/2006/relationships/chart" Target="charts/chart41.xml"/><Relationship Id="rId78" Type="http://schemas.openxmlformats.org/officeDocument/2006/relationships/image" Target="media/image6.png"/><Relationship Id="rId81" Type="http://schemas.openxmlformats.org/officeDocument/2006/relationships/chart" Target="charts/chart47.xm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drugpo.2017.06.010" TargetMode="External"/><Relationship Id="rId7" Type="http://schemas.openxmlformats.org/officeDocument/2006/relationships/hyperlink" Target="https://www.mass.gov/lists/current-opioid-statistics" TargetMode="External"/><Relationship Id="rId2" Type="http://schemas.openxmlformats.org/officeDocument/2006/relationships/hyperlink" Target="https://www.mass.gov/service-details/chapter-55-overdose-report" TargetMode="External"/><Relationship Id="rId1" Type="http://schemas.openxmlformats.org/officeDocument/2006/relationships/hyperlink" Target="https://www.mass.gov/lists/current-opioid-statistics" TargetMode="External"/><Relationship Id="rId6" Type="http://schemas.openxmlformats.org/officeDocument/2006/relationships/hyperlink" Target="http://www.nejm.org/doi/full/10.1056/nejmsa064115" TargetMode="External"/><Relationship Id="rId5" Type="http://schemas.openxmlformats.org/officeDocument/2006/relationships/hyperlink" Target="http://www.nejm.org/toc/nejm/356/2/" TargetMode="External"/><Relationship Id="rId4" Type="http://schemas.openxmlformats.org/officeDocument/2006/relationships/hyperlink" Target="https://www.mass.gov/files/documents/2019/05/15/Opioid-related-Overdose-Deaths-among-MA-Residents-May-2019.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1\dph2\BHISRE\REPI\PHD\Report_2019\Legislature%20Report\Figures_Report_07311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82619.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PH-FP-CO-121\dph2\BHISRE\REPI\PHD\Report_2019\Legislature%20Report\Figures_LReport.xls.xlsx" TargetMode="External"/></Relationships>
</file>

<file path=word/charts/_rels/chart13.xml.rels><?xml version="1.0" encoding="UTF-8" standalone="yes"?>
<Relationships xmlns="http://schemas.openxmlformats.org/package/2006/relationships"><Relationship Id="rId2" Type="http://schemas.openxmlformats.org/officeDocument/2006/relationships/oleObject" Target="file:///\\DPH-FP-CO-121\dph2\BHISRE\REPI\PHD\Report_2019\Legislature%20Report\Figures_Report_090919.xlsx" TargetMode="External"/><Relationship Id="rId1" Type="http://schemas.openxmlformats.org/officeDocument/2006/relationships/themeOverride" Target="../theme/themeOverride1.xml"/></Relationships>
</file>

<file path=word/charts/_rels/chart14.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PH-FP-CO-121\dph2\BHISRE\REPI\PHD\Report_2019\Legislature%20Report\Figures_Report_07311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dph2\BHISRE\REPI\PHD\Report_2019\Legislature%20Report\Figur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PH-FP-CO-121\dph2\BHISRE\REPI\PHD\Report_2019\Legislature%20Report\Figures_Report_07311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PH-FP-CO-121\dph2\BHISRE\REPI\PHD\Report_2019\Legislature%20Report\Figures_Report_090919.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PH-FP-CO-121\dph2\BHISRE\REPI\PHD\Report_2019\Legislature%20Report\Figures_Report_090919.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PH-FP-CO-121\dph2\BHISRE\REPI\PHD\Report_2019\Legislature%20Report\Figures_Report_09091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49.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PH-FP-CO-121\dph2\BHISRE\REPI\PHD\Report_2019\Legislature%20Report\Figures_Report_0909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FP-CO-121\dph2\BHISRE\REPI\PHD\Report_2019\Legislature%20Report\Figures_Report_0909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909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FP-CO-121\dph2\BHISRE\REPI\PHD\Report_2019\Legislature%20Report\Figures_Report_0731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926406258041269E-2"/>
          <c:y val="0.12986859956682212"/>
          <c:w val="0.86583025538097336"/>
          <c:h val="0.5647355694711389"/>
        </c:manualLayout>
      </c:layout>
      <c:lineChart>
        <c:grouping val="standard"/>
        <c:varyColors val="0"/>
        <c:ser>
          <c:idx val="0"/>
          <c:order val="0"/>
          <c:tx>
            <c:strRef>
              <c:f>'new Fig13'!$B$1</c:f>
              <c:strCache>
                <c:ptCount val="1"/>
                <c:pt idx="0">
                  <c:v>White non-Hispanic</c:v>
                </c:pt>
              </c:strCache>
            </c:strRef>
          </c:tx>
          <c:marker>
            <c:symbol val="none"/>
          </c:marker>
          <c:dLbls>
            <c:dLbl>
              <c:idx val="0"/>
              <c:layout>
                <c:manualLayout>
                  <c:x val="-2.0110608345902465E-2"/>
                  <c:y val="2.2503512851514026E-2"/>
                </c:manualLayout>
              </c:layout>
              <c:numFmt formatCode="#,##0.0" sourceLinked="0"/>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955-4349-A6BE-31BFA96AB476}"/>
                </c:ext>
              </c:extLst>
            </c:dLbl>
            <c:dLbl>
              <c:idx val="16"/>
              <c:layout/>
              <c:numFmt formatCode="#,##0.0" sourceLinked="0"/>
              <c:spPr/>
              <c:txPr>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955-4349-A6BE-31BFA96AB47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'new Fig13'!$A$2:$A$18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'new Fig13'!$B$2:$B$18</c:f>
              <c:numCache>
                <c:formatCode>0.0</c:formatCode>
                <c:ptCount val="17"/>
                <c:pt idx="0">
                  <c:v>1.3958900000000001</c:v>
                </c:pt>
                <c:pt idx="1">
                  <c:v>1.9345399999999999</c:v>
                </c:pt>
                <c:pt idx="2">
                  <c:v>1.9503200000000001</c:v>
                </c:pt>
                <c:pt idx="3">
                  <c:v>2.8228800000000001</c:v>
                </c:pt>
                <c:pt idx="4">
                  <c:v>2.3532099999999998</c:v>
                </c:pt>
                <c:pt idx="5">
                  <c:v>3.1699899999999999</c:v>
                </c:pt>
                <c:pt idx="6">
                  <c:v>3.0774499999999998</c:v>
                </c:pt>
                <c:pt idx="7">
                  <c:v>2.84829</c:v>
                </c:pt>
                <c:pt idx="8">
                  <c:v>1.998</c:v>
                </c:pt>
                <c:pt idx="9">
                  <c:v>1.8390899999999999</c:v>
                </c:pt>
                <c:pt idx="10">
                  <c:v>1.6452800000000001</c:v>
                </c:pt>
                <c:pt idx="11">
                  <c:v>2.3432300000000001</c:v>
                </c:pt>
                <c:pt idx="12">
                  <c:v>2.9983399999999998</c:v>
                </c:pt>
                <c:pt idx="13">
                  <c:v>3.5278100000000001</c:v>
                </c:pt>
                <c:pt idx="14">
                  <c:v>5.7577699999999998</c:v>
                </c:pt>
                <c:pt idx="15">
                  <c:v>6.9318200000000001</c:v>
                </c:pt>
                <c:pt idx="16">
                  <c:v>8.8232900000000001</c:v>
                </c:pt>
              </c:numCache>
            </c:numRef>
          </c:val>
          <c:smooth val="0"/>
          <c:extLst xmlns:c16r2="http://schemas.microsoft.com/office/drawing/2015/06/chart">
            <c:ext xmlns:c16="http://schemas.microsoft.com/office/drawing/2014/chart" uri="{C3380CC4-5D6E-409C-BE32-E72D297353CC}">
              <c16:uniqueId val="{00000002-8955-4349-A6BE-31BFA96AB476}"/>
            </c:ext>
          </c:extLst>
        </c:ser>
        <c:ser>
          <c:idx val="1"/>
          <c:order val="1"/>
          <c:tx>
            <c:strRef>
              <c:f>'new Fig13'!$C$1</c:f>
              <c:strCache>
                <c:ptCount val="1"/>
                <c:pt idx="0">
                  <c:v>Black non-Hispanic</c:v>
                </c:pt>
              </c:strCache>
            </c:strRef>
          </c:tx>
          <c:marker>
            <c:symbol val="none"/>
          </c:marker>
          <c:dLbls>
            <c:dLbl>
              <c:idx val="0"/>
              <c:layout>
                <c:manualLayout>
                  <c:x val="-3.4188034188034191E-2"/>
                  <c:y val="-2.6254098326766364E-2"/>
                </c:manualLayout>
              </c:layout>
              <c:numFmt formatCode="#,##0.0" sourceLinked="0"/>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955-4349-A6BE-31BFA96AB476}"/>
                </c:ext>
              </c:extLst>
            </c:dLbl>
            <c:dLbl>
              <c:idx val="16"/>
              <c:layout>
                <c:manualLayout>
                  <c:x val="-8.0442433383609846E-3"/>
                  <c:y val="-7.5011709505046755E-3"/>
                </c:manualLayout>
              </c:layout>
              <c:numFmt formatCode="#,##0.0" sourceLinked="0"/>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955-4349-A6BE-31BFA96AB47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'new Fig13'!$A$2:$A$18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'new Fig13'!$C$2:$C$18</c:f>
              <c:numCache>
                <c:formatCode>0.0</c:formatCode>
                <c:ptCount val="17"/>
                <c:pt idx="0">
                  <c:v>2.53905</c:v>
                </c:pt>
                <c:pt idx="1">
                  <c:v>4.6602899999999998</c:v>
                </c:pt>
                <c:pt idx="2">
                  <c:v>3.88903</c:v>
                </c:pt>
                <c:pt idx="3">
                  <c:v>4.9371600000000004</c:v>
                </c:pt>
                <c:pt idx="4">
                  <c:v>3.0330300000000001</c:v>
                </c:pt>
                <c:pt idx="5">
                  <c:v>3.21265</c:v>
                </c:pt>
                <c:pt idx="6">
                  <c:v>3.1987999999999999</c:v>
                </c:pt>
                <c:pt idx="7">
                  <c:v>2.1067</c:v>
                </c:pt>
                <c:pt idx="8">
                  <c:v>3.2505700000000002</c:v>
                </c:pt>
                <c:pt idx="9">
                  <c:v>2.7454800000000001</c:v>
                </c:pt>
                <c:pt idx="10">
                  <c:v>2.3196099999999999</c:v>
                </c:pt>
                <c:pt idx="11">
                  <c:v>1.8743300000000001</c:v>
                </c:pt>
                <c:pt idx="12">
                  <c:v>1.55681</c:v>
                </c:pt>
                <c:pt idx="13">
                  <c:v>2.9790000000000001</c:v>
                </c:pt>
                <c:pt idx="14">
                  <c:v>5.2690299999999999</c:v>
                </c:pt>
                <c:pt idx="15">
                  <c:v>5.8034100000000004</c:v>
                </c:pt>
                <c:pt idx="16">
                  <c:v>6.2699800000000003</c:v>
                </c:pt>
              </c:numCache>
            </c:numRef>
          </c:val>
          <c:smooth val="0"/>
          <c:extLst xmlns:c16r2="http://schemas.microsoft.com/office/drawing/2015/06/chart">
            <c:ext xmlns:c16="http://schemas.microsoft.com/office/drawing/2014/chart" uri="{C3380CC4-5D6E-409C-BE32-E72D297353CC}">
              <c16:uniqueId val="{00000005-8955-4349-A6BE-31BFA96AB476}"/>
            </c:ext>
          </c:extLst>
        </c:ser>
        <c:ser>
          <c:idx val="2"/>
          <c:order val="2"/>
          <c:tx>
            <c:strRef>
              <c:f>'new Fig13'!$D$1</c:f>
              <c:strCache>
                <c:ptCount val="1"/>
                <c:pt idx="0">
                  <c:v>Hispanic</c:v>
                </c:pt>
              </c:strCache>
            </c:strRef>
          </c:tx>
          <c:marker>
            <c:symbol val="none"/>
          </c:marker>
          <c:dLbls>
            <c:dLbl>
              <c:idx val="0"/>
              <c:layout>
                <c:manualLayout>
                  <c:x val="-4.2232277526395176E-2"/>
                  <c:y val="-3.7505854752523378E-3"/>
                </c:manualLayout>
              </c:layout>
              <c:numFmt formatCode="#,##0.0" sourceLinked="0"/>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955-4349-A6BE-31BFA96AB476}"/>
                </c:ext>
              </c:extLst>
            </c:dLbl>
            <c:dLbl>
              <c:idx val="16"/>
              <c:layout>
                <c:manualLayout>
                  <c:x val="-8.0442433383609846E-3"/>
                  <c:y val="-1.5002341901009351E-2"/>
                </c:manualLayout>
              </c:layout>
              <c:numFmt formatCode="#,##0.0" sourceLinked="0"/>
              <c:spPr/>
              <c:txPr>
                <a:bodyPr/>
                <a:lstStyle/>
                <a:p>
                  <a:pPr>
                    <a:defRPr/>
                  </a:pPr>
                  <a:endParaRPr lang="en-US"/>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955-4349-A6BE-31BFA96AB47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'new Fig13'!$A$2:$A$18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'new Fig13'!$D$2:$D$18</c:f>
              <c:numCache>
                <c:formatCode>0.0</c:formatCode>
                <c:ptCount val="17"/>
                <c:pt idx="0">
                  <c:v>2.0402300000000002</c:v>
                </c:pt>
                <c:pt idx="1">
                  <c:v>2.97519</c:v>
                </c:pt>
                <c:pt idx="2">
                  <c:v>4.4883600000000001</c:v>
                </c:pt>
                <c:pt idx="3">
                  <c:v>4.5967500000000001</c:v>
                </c:pt>
                <c:pt idx="4">
                  <c:v>2.6831999999999998</c:v>
                </c:pt>
                <c:pt idx="5">
                  <c:v>1.9250100000000001</c:v>
                </c:pt>
                <c:pt idx="6">
                  <c:v>4.3222199999999997</c:v>
                </c:pt>
                <c:pt idx="7">
                  <c:v>4.4323899999999998</c:v>
                </c:pt>
                <c:pt idx="8">
                  <c:v>2.6841200000000001</c:v>
                </c:pt>
                <c:pt idx="9">
                  <c:v>1.67439</c:v>
                </c:pt>
                <c:pt idx="10">
                  <c:v>2.5388899999999999</c:v>
                </c:pt>
                <c:pt idx="11">
                  <c:v>2.8481000000000001</c:v>
                </c:pt>
                <c:pt idx="12">
                  <c:v>1.9643299999999999</c:v>
                </c:pt>
                <c:pt idx="13">
                  <c:v>3.6638700000000002</c:v>
                </c:pt>
                <c:pt idx="14">
                  <c:v>6.02135</c:v>
                </c:pt>
                <c:pt idx="15">
                  <c:v>7.8689999999999998</c:v>
                </c:pt>
                <c:pt idx="16">
                  <c:v>10.2089</c:v>
                </c:pt>
              </c:numCache>
            </c:numRef>
          </c:val>
          <c:smooth val="0"/>
          <c:extLst xmlns:c16r2="http://schemas.microsoft.com/office/drawing/2015/06/chart">
            <c:ext xmlns:c16="http://schemas.microsoft.com/office/drawing/2014/chart" uri="{C3380CC4-5D6E-409C-BE32-E72D297353CC}">
              <c16:uniqueId val="{00000008-8955-4349-A6BE-31BFA96AB476}"/>
            </c:ext>
          </c:extLst>
        </c:ser>
        <c:dLbls>
          <c:showLegendKey val="0"/>
          <c:showVal val="0"/>
          <c:showCatName val="0"/>
          <c:showSerName val="0"/>
          <c:showPercent val="0"/>
          <c:showBubbleSize val="0"/>
        </c:dLbls>
        <c:marker val="1"/>
        <c:smooth val="0"/>
        <c:axId val="373071872"/>
        <c:axId val="373073408"/>
      </c:lineChart>
      <c:catAx>
        <c:axId val="373071872"/>
        <c:scaling>
          <c:orientation val="minMax"/>
        </c:scaling>
        <c:delete val="0"/>
        <c:axPos val="b"/>
        <c:numFmt formatCode="General" sourceLinked="1"/>
        <c:majorTickMark val="out"/>
        <c:minorTickMark val="none"/>
        <c:tickLblPos val="nextTo"/>
        <c:crossAx val="373073408"/>
        <c:crosses val="autoZero"/>
        <c:auto val="1"/>
        <c:lblAlgn val="ctr"/>
        <c:lblOffset val="100"/>
        <c:noMultiLvlLbl val="0"/>
      </c:catAx>
      <c:valAx>
        <c:axId val="373073408"/>
        <c:scaling>
          <c:orientation val="minMax"/>
        </c:scaling>
        <c:delete val="0"/>
        <c:axPos val="l"/>
        <c:title>
          <c:tx>
            <c:rich>
              <a:bodyPr rot="-5400000" vert="horz"/>
              <a:lstStyle/>
              <a:p>
                <a:pPr>
                  <a:defRPr b="0"/>
                </a:pPr>
                <a:r>
                  <a:rPr lang="en-US" b="0"/>
                  <a:t>Rate per 100,000</a:t>
                </a:r>
              </a:p>
            </c:rich>
          </c:tx>
          <c:layout>
            <c:manualLayout>
              <c:xMode val="edge"/>
              <c:yMode val="edge"/>
              <c:x val="2.1307268718107071E-2"/>
              <c:y val="0.27518298976672861"/>
            </c:manualLayout>
          </c:layout>
          <c:overlay val="0"/>
        </c:title>
        <c:numFmt formatCode="0" sourceLinked="0"/>
        <c:majorTickMark val="out"/>
        <c:minorTickMark val="none"/>
        <c:tickLblPos val="nextTo"/>
        <c:crossAx val="373071872"/>
        <c:crosses val="autoZero"/>
        <c:crossBetween val="between"/>
      </c:valAx>
    </c:plotArea>
    <c:legend>
      <c:legendPos val="b"/>
      <c:layout>
        <c:manualLayout>
          <c:xMode val="edge"/>
          <c:yMode val="edge"/>
          <c:x val="0.1946474111550536"/>
          <c:y val="3.7199268630746997E-2"/>
          <c:w val="0.63483774935372905"/>
          <c:h val="6.782152230971128E-2"/>
        </c:manualLayout>
      </c:layout>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0557043850898"/>
          <c:y val="6.5192446720614319E-2"/>
          <c:w val="0.84883259195227911"/>
          <c:h val="0.72126740540934609"/>
        </c:manualLayout>
      </c:layout>
      <c:barChart>
        <c:barDir val="col"/>
        <c:grouping val="clustered"/>
        <c:varyColors val="0"/>
        <c:ser>
          <c:idx val="0"/>
          <c:order val="0"/>
          <c:tx>
            <c:strRef>
              <c:f>'new Fig23'!$B$1</c:f>
              <c:strCache>
                <c:ptCount val="1"/>
                <c:pt idx="0">
                  <c:v>Overdose events on pharmacotherapy</c:v>
                </c:pt>
              </c:strCache>
            </c:strRef>
          </c:tx>
          <c:spPr>
            <a:solidFill>
              <a:schemeClr val="accent1"/>
            </a:solidFill>
          </c:spPr>
          <c:invertIfNegative val="0"/>
          <c:dLbls>
            <c:dLbl>
              <c:idx val="3"/>
              <c:layout>
                <c:manualLayout>
                  <c:x val="2.3598828829146895E-3"/>
                  <c:y val="6.355404485917717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7A6-4416-BC27-AAACC044942A}"/>
                </c:ext>
              </c:extLst>
            </c:dLbl>
            <c:dLbl>
              <c:idx val="6"/>
              <c:layout>
                <c:manualLayout>
                  <c:x val="0"/>
                  <c:y val="5.708321182960316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7A6-4416-BC27-AAACC044942A}"/>
                </c:ext>
              </c:extLst>
            </c:dLbl>
            <c:numFmt formatCode="#,##0.0" sourceLinked="0"/>
            <c:spPr>
              <a:noFill/>
              <a:ln>
                <a:noFill/>
              </a:ln>
              <a:effectLst/>
            </c:spPr>
            <c:txPr>
              <a:bodyPr/>
              <a:lstStyle/>
              <a:p>
                <a:pPr>
                  <a:defRPr sz="900">
                    <a:solidFill>
                      <a:schemeClr val="bg1"/>
                    </a:solidFill>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'new Fig23'!$L$2:$L$10</c:f>
                <c:numCache>
                  <c:formatCode>General</c:formatCode>
                  <c:ptCount val="9"/>
                  <c:pt idx="0">
                    <c:v>1.4300000000000006</c:v>
                  </c:pt>
                  <c:pt idx="1">
                    <c:v>5.83</c:v>
                  </c:pt>
                  <c:pt idx="2">
                    <c:v>6.39</c:v>
                  </c:pt>
                  <c:pt idx="3">
                    <c:v>3.1499999999999995</c:v>
                  </c:pt>
                  <c:pt idx="4">
                    <c:v>5.43</c:v>
                  </c:pt>
                  <c:pt idx="5">
                    <c:v>4.24</c:v>
                  </c:pt>
                  <c:pt idx="6">
                    <c:v>3.43</c:v>
                  </c:pt>
                  <c:pt idx="7">
                    <c:v>5.66</c:v>
                  </c:pt>
                  <c:pt idx="8">
                    <c:v>6.7600000000000016</c:v>
                  </c:pt>
                </c:numCache>
              </c:numRef>
            </c:plus>
            <c:minus>
              <c:numRef>
                <c:f>'new Fig23'!$K$2:$K$10</c:f>
                <c:numCache>
                  <c:formatCode>General</c:formatCode>
                  <c:ptCount val="9"/>
                  <c:pt idx="0">
                    <c:v>1.1499999999999999</c:v>
                  </c:pt>
                  <c:pt idx="1">
                    <c:v>2.72</c:v>
                  </c:pt>
                  <c:pt idx="2">
                    <c:v>3.23</c:v>
                  </c:pt>
                  <c:pt idx="3">
                    <c:v>1.05</c:v>
                  </c:pt>
                  <c:pt idx="4">
                    <c:v>2.76</c:v>
                  </c:pt>
                  <c:pt idx="5">
                    <c:v>2.1399999999999997</c:v>
                  </c:pt>
                  <c:pt idx="6">
                    <c:v>1.1500000000000001</c:v>
                  </c:pt>
                  <c:pt idx="7">
                    <c:v>3.5100000000000002</c:v>
                  </c:pt>
                  <c:pt idx="8">
                    <c:v>4.6399999999999997</c:v>
                  </c:pt>
                </c:numCache>
              </c:numRef>
            </c:minus>
            <c:spPr>
              <a:ln>
                <a:solidFill>
                  <a:schemeClr val="tx2"/>
                </a:solidFill>
              </a:ln>
            </c:spPr>
          </c:errBars>
          <c:cat>
            <c:strRef>
              <c:f>'new Fig23'!$A$2:$A$10</c:f>
              <c:strCache>
                <c:ptCount val="9"/>
                <c:pt idx="0">
                  <c:v>Overall </c:v>
                </c:pt>
                <c:pt idx="1">
                  <c:v>Year prior to delivery</c:v>
                </c:pt>
                <c:pt idx="2">
                  <c:v>First Trimester</c:v>
                </c:pt>
                <c:pt idx="3">
                  <c:v>Second Trimester</c:v>
                </c:pt>
                <c:pt idx="4">
                  <c:v>Third Trimester</c:v>
                </c:pt>
                <c:pt idx="5">
                  <c:v>0–3 months</c:v>
                </c:pt>
                <c:pt idx="6">
                  <c:v>4–6 months</c:v>
                </c:pt>
                <c:pt idx="7">
                  <c:v>7–9 months</c:v>
                </c:pt>
                <c:pt idx="8">
                  <c:v>10–12 months</c:v>
                </c:pt>
              </c:strCache>
            </c:strRef>
          </c:cat>
          <c:val>
            <c:numRef>
              <c:f>'new Fig23'!$B$2:$B$10</c:f>
              <c:numCache>
                <c:formatCode>General</c:formatCode>
                <c:ptCount val="9"/>
                <c:pt idx="0">
                  <c:v>4.43</c:v>
                </c:pt>
                <c:pt idx="1">
                  <c:v>3.74</c:v>
                </c:pt>
                <c:pt idx="2">
                  <c:v>4.79</c:v>
                </c:pt>
                <c:pt idx="3">
                  <c:v>1.2</c:v>
                </c:pt>
                <c:pt idx="4">
                  <c:v>4.08</c:v>
                </c:pt>
                <c:pt idx="5">
                  <c:v>3.17</c:v>
                </c:pt>
                <c:pt idx="6">
                  <c:v>1.31</c:v>
                </c:pt>
                <c:pt idx="7">
                  <c:v>6.74</c:v>
                </c:pt>
                <c:pt idx="8">
                  <c:v>10.84</c:v>
                </c:pt>
              </c:numCache>
            </c:numRef>
          </c:val>
          <c:extLst xmlns:c16r2="http://schemas.microsoft.com/office/drawing/2015/06/chart">
            <c:ext xmlns:c16="http://schemas.microsoft.com/office/drawing/2014/chart" uri="{C3380CC4-5D6E-409C-BE32-E72D297353CC}">
              <c16:uniqueId val="{00000002-47A6-4416-BC27-AAACC044942A}"/>
            </c:ext>
          </c:extLst>
        </c:ser>
        <c:ser>
          <c:idx val="1"/>
          <c:order val="1"/>
          <c:tx>
            <c:strRef>
              <c:f>'new Fig23'!$C$1</c:f>
              <c:strCache>
                <c:ptCount val="1"/>
                <c:pt idx="0">
                  <c:v>Overdose events not on pharmacotherapy</c:v>
                </c:pt>
              </c:strCache>
            </c:strRef>
          </c:tx>
          <c:spPr>
            <a:solidFill>
              <a:schemeClr val="accent2"/>
            </a:solidFill>
          </c:spPr>
          <c:invertIfNegative val="0"/>
          <c:dLbls>
            <c:numFmt formatCode="#,##0.0" sourceLinked="0"/>
            <c:spPr>
              <a:noFill/>
              <a:ln>
                <a:noFill/>
              </a:ln>
              <a:effectLst/>
            </c:spPr>
            <c:txPr>
              <a:bodyPr/>
              <a:lstStyle/>
              <a:p>
                <a:pPr>
                  <a:defRPr sz="900">
                    <a:solidFill>
                      <a:schemeClr val="bg1"/>
                    </a:solidFill>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'new Fig23'!$R$2:$R$10</c:f>
                <c:numCache>
                  <c:formatCode>General</c:formatCode>
                  <c:ptCount val="9"/>
                  <c:pt idx="0">
                    <c:v>1.5200000000000014</c:v>
                  </c:pt>
                  <c:pt idx="1">
                    <c:v>4.6499999999999986</c:v>
                  </c:pt>
                  <c:pt idx="2">
                    <c:v>4.9499999999999993</c:v>
                  </c:pt>
                  <c:pt idx="3">
                    <c:v>3.0900000000000007</c:v>
                  </c:pt>
                  <c:pt idx="4">
                    <c:v>3.7300000000000004</c:v>
                  </c:pt>
                  <c:pt idx="5">
                    <c:v>5.23</c:v>
                  </c:pt>
                  <c:pt idx="6">
                    <c:v>5.2100000000000009</c:v>
                  </c:pt>
                  <c:pt idx="7">
                    <c:v>6.0500000000000007</c:v>
                  </c:pt>
                  <c:pt idx="8">
                    <c:v>5.5799999999999983</c:v>
                  </c:pt>
                </c:numCache>
              </c:numRef>
            </c:plus>
            <c:minus>
              <c:numRef>
                <c:f>'new Fig23'!$Q$2:$Q$10</c:f>
                <c:numCache>
                  <c:formatCode>General</c:formatCode>
                  <c:ptCount val="9"/>
                  <c:pt idx="0">
                    <c:v>1.3699999999999992</c:v>
                  </c:pt>
                  <c:pt idx="1">
                    <c:v>3.6100000000000012</c:v>
                  </c:pt>
                  <c:pt idx="2">
                    <c:v>3.6900000000000004</c:v>
                  </c:pt>
                  <c:pt idx="3">
                    <c:v>2.0299999999999998</c:v>
                  </c:pt>
                  <c:pt idx="4">
                    <c:v>1.8899999999999997</c:v>
                  </c:pt>
                  <c:pt idx="5">
                    <c:v>3.8199999999999994</c:v>
                  </c:pt>
                  <c:pt idx="6">
                    <c:v>3.83</c:v>
                  </c:pt>
                  <c:pt idx="7">
                    <c:v>4.7200000000000006</c:v>
                  </c:pt>
                  <c:pt idx="8">
                    <c:v>4.2600000000000016</c:v>
                  </c:pt>
                </c:numCache>
              </c:numRef>
            </c:minus>
            <c:spPr>
              <a:ln>
                <a:solidFill>
                  <a:schemeClr val="tx2"/>
                </a:solidFill>
              </a:ln>
            </c:spPr>
          </c:errBars>
          <c:cat>
            <c:strRef>
              <c:f>'new Fig23'!$A$2:$A$10</c:f>
              <c:strCache>
                <c:ptCount val="9"/>
                <c:pt idx="0">
                  <c:v>Overall </c:v>
                </c:pt>
                <c:pt idx="1">
                  <c:v>Year prior to delivery</c:v>
                </c:pt>
                <c:pt idx="2">
                  <c:v>First Trimester</c:v>
                </c:pt>
                <c:pt idx="3">
                  <c:v>Second Trimester</c:v>
                </c:pt>
                <c:pt idx="4">
                  <c:v>Third Trimester</c:v>
                </c:pt>
                <c:pt idx="5">
                  <c:v>0–3 months</c:v>
                </c:pt>
                <c:pt idx="6">
                  <c:v>4–6 months</c:v>
                </c:pt>
                <c:pt idx="7">
                  <c:v>7–9 months</c:v>
                </c:pt>
                <c:pt idx="8">
                  <c:v>10–12 months</c:v>
                </c:pt>
              </c:strCache>
            </c:strRef>
          </c:cat>
          <c:val>
            <c:numRef>
              <c:f>'new Fig23'!$C$2:$C$10</c:f>
              <c:numCache>
                <c:formatCode>General</c:formatCode>
                <c:ptCount val="9"/>
                <c:pt idx="0">
                  <c:v>10.039999999999999</c:v>
                </c:pt>
                <c:pt idx="1">
                  <c:v>11.89</c:v>
                </c:pt>
                <c:pt idx="2">
                  <c:v>10.63</c:v>
                </c:pt>
                <c:pt idx="3">
                  <c:v>4.3499999999999996</c:v>
                </c:pt>
                <c:pt idx="4">
                  <c:v>2.8</c:v>
                </c:pt>
                <c:pt idx="5">
                  <c:v>10.44</c:v>
                </c:pt>
                <c:pt idx="6">
                  <c:v>10.67</c:v>
                </c:pt>
                <c:pt idx="7">
                  <c:v>15.75</c:v>
                </c:pt>
                <c:pt idx="8">
                  <c:v>13.3</c:v>
                </c:pt>
              </c:numCache>
            </c:numRef>
          </c:val>
          <c:extLst xmlns:c16r2="http://schemas.microsoft.com/office/drawing/2015/06/chart">
            <c:ext xmlns:c16="http://schemas.microsoft.com/office/drawing/2014/chart" uri="{C3380CC4-5D6E-409C-BE32-E72D297353CC}">
              <c16:uniqueId val="{00000003-47A6-4416-BC27-AAACC044942A}"/>
            </c:ext>
          </c:extLst>
        </c:ser>
        <c:dLbls>
          <c:showLegendKey val="0"/>
          <c:showVal val="0"/>
          <c:showCatName val="0"/>
          <c:showSerName val="0"/>
          <c:showPercent val="0"/>
          <c:showBubbleSize val="0"/>
        </c:dLbls>
        <c:gapWidth val="90"/>
        <c:axId val="382849408"/>
        <c:axId val="382850944"/>
      </c:barChart>
      <c:catAx>
        <c:axId val="382849408"/>
        <c:scaling>
          <c:orientation val="minMax"/>
        </c:scaling>
        <c:delete val="0"/>
        <c:axPos val="b"/>
        <c:numFmt formatCode="General" sourceLinked="1"/>
        <c:majorTickMark val="none"/>
        <c:minorTickMark val="none"/>
        <c:tickLblPos val="nextTo"/>
        <c:txPr>
          <a:bodyPr/>
          <a:lstStyle/>
          <a:p>
            <a:pPr>
              <a:defRPr sz="900"/>
            </a:pPr>
            <a:endParaRPr lang="en-US"/>
          </a:p>
        </c:txPr>
        <c:crossAx val="382850944"/>
        <c:crosses val="autoZero"/>
        <c:auto val="1"/>
        <c:lblAlgn val="ctr"/>
        <c:lblOffset val="100"/>
        <c:noMultiLvlLbl val="0"/>
      </c:catAx>
      <c:valAx>
        <c:axId val="382850944"/>
        <c:scaling>
          <c:orientation val="minMax"/>
          <c:max val="25"/>
        </c:scaling>
        <c:delete val="0"/>
        <c:axPos val="l"/>
        <c:title>
          <c:tx>
            <c:rich>
              <a:bodyPr/>
              <a:lstStyle/>
              <a:p>
                <a:pPr>
                  <a:defRPr sz="900" b="0"/>
                </a:pPr>
                <a:r>
                  <a:rPr lang="en-US" sz="900" b="0"/>
                  <a:t>Overdose rate per </a:t>
                </a:r>
              </a:p>
              <a:p>
                <a:pPr>
                  <a:defRPr sz="900" b="0"/>
                </a:pPr>
                <a:r>
                  <a:rPr lang="en-US" sz="900" b="0"/>
                  <a:t>100,000 person-days</a:t>
                </a:r>
              </a:p>
            </c:rich>
          </c:tx>
          <c:layout>
            <c:manualLayout>
              <c:xMode val="edge"/>
              <c:yMode val="edge"/>
              <c:x val="1.4422665251949888E-3"/>
              <c:y val="0.2171985180552792"/>
            </c:manualLayout>
          </c:layout>
          <c:overlay val="0"/>
        </c:title>
        <c:numFmt formatCode="General" sourceLinked="1"/>
        <c:majorTickMark val="out"/>
        <c:minorTickMark val="none"/>
        <c:tickLblPos val="nextTo"/>
        <c:txPr>
          <a:bodyPr/>
          <a:lstStyle/>
          <a:p>
            <a:pPr>
              <a:defRPr sz="900"/>
            </a:pPr>
            <a:endParaRPr lang="en-US"/>
          </a:p>
        </c:txPr>
        <c:crossAx val="382849408"/>
        <c:crosses val="autoZero"/>
        <c:crossBetween val="between"/>
        <c:majorUnit val="5"/>
      </c:valAx>
      <c:spPr>
        <a:noFill/>
        <a:ln w="25400">
          <a:noFill/>
        </a:ln>
      </c:spPr>
    </c:plotArea>
    <c:legend>
      <c:legendPos val="r"/>
      <c:layout>
        <c:manualLayout>
          <c:xMode val="edge"/>
          <c:yMode val="edge"/>
          <c:x val="0.15671338954971054"/>
          <c:y val="7.9815041170395215E-2"/>
          <c:w val="0.52537424843171188"/>
          <c:h val="0.16497342164359419"/>
        </c:manualLayout>
      </c:layout>
      <c:overlay val="0"/>
      <c:spPr>
        <a:ln>
          <a:solidFill>
            <a:schemeClr val="accent1"/>
          </a:solidFill>
        </a:ln>
      </c:sp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0307488080783E-2"/>
          <c:y val="3.3641233103855403E-2"/>
          <c:w val="0.907908423154967"/>
          <c:h val="0.85582043424285303"/>
        </c:manualLayout>
      </c:layout>
      <c:barChart>
        <c:barDir val="col"/>
        <c:grouping val="clustered"/>
        <c:varyColors val="0"/>
        <c:ser>
          <c:idx val="0"/>
          <c:order val="0"/>
          <c:tx>
            <c:strRef>
              <c:f>'Fig 14'!$A$12</c:f>
              <c:strCache>
                <c:ptCount val="1"/>
                <c:pt idx="0">
                  <c:v>Incarcerated in Jail or Prison in the 12 months before delivery or during the month of delivery</c:v>
                </c:pt>
              </c:strCache>
            </c:strRef>
          </c:tx>
          <c:spPr>
            <a:solidFill>
              <a:schemeClr val="accent1"/>
            </a:solidFill>
          </c:spPr>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B70A-4ABA-AD62-3E05A0E393DE}"/>
              </c:ext>
            </c:extLst>
          </c:dPt>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 14'!$B$11:$C$11</c:f>
              <c:strCache>
                <c:ptCount val="2"/>
                <c:pt idx="0">
                  <c:v>Postpartum OD Event</c:v>
                </c:pt>
                <c:pt idx="1">
                  <c:v>No Postpartum OD Event</c:v>
                </c:pt>
              </c:strCache>
            </c:strRef>
          </c:cat>
          <c:val>
            <c:numRef>
              <c:f>'Fig 14'!$B$12:$C$12</c:f>
              <c:numCache>
                <c:formatCode>0.00%</c:formatCode>
                <c:ptCount val="2"/>
                <c:pt idx="0">
                  <c:v>9.5000000000000001E-2</c:v>
                </c:pt>
                <c:pt idx="1">
                  <c:v>2E-3</c:v>
                </c:pt>
              </c:numCache>
            </c:numRef>
          </c:val>
          <c:extLst xmlns:c16r2="http://schemas.microsoft.com/office/drawing/2015/06/chart">
            <c:ext xmlns:c16="http://schemas.microsoft.com/office/drawing/2014/chart" uri="{C3380CC4-5D6E-409C-BE32-E72D297353CC}">
              <c16:uniqueId val="{00000002-B70A-4ABA-AD62-3E05A0E393DE}"/>
            </c:ext>
          </c:extLst>
        </c:ser>
        <c:dLbls>
          <c:showLegendKey val="0"/>
          <c:showVal val="0"/>
          <c:showCatName val="0"/>
          <c:showSerName val="0"/>
          <c:showPercent val="0"/>
          <c:showBubbleSize val="0"/>
        </c:dLbls>
        <c:gapWidth val="95"/>
        <c:overlap val="-25"/>
        <c:axId val="382943232"/>
        <c:axId val="382944768"/>
      </c:barChart>
      <c:catAx>
        <c:axId val="382943232"/>
        <c:scaling>
          <c:orientation val="minMax"/>
        </c:scaling>
        <c:delete val="0"/>
        <c:axPos val="b"/>
        <c:numFmt formatCode="General" sourceLinked="1"/>
        <c:majorTickMark val="none"/>
        <c:minorTickMark val="none"/>
        <c:tickLblPos val="nextTo"/>
        <c:crossAx val="382944768"/>
        <c:crosses val="autoZero"/>
        <c:auto val="1"/>
        <c:lblAlgn val="ctr"/>
        <c:lblOffset val="100"/>
        <c:noMultiLvlLbl val="0"/>
      </c:catAx>
      <c:valAx>
        <c:axId val="382944768"/>
        <c:scaling>
          <c:orientation val="minMax"/>
          <c:max val="0.25"/>
        </c:scaling>
        <c:delete val="0"/>
        <c:axPos val="l"/>
        <c:numFmt formatCode="0%" sourceLinked="0"/>
        <c:majorTickMark val="none"/>
        <c:minorTickMark val="none"/>
        <c:tickLblPos val="nextTo"/>
        <c:spPr>
          <a:ln w="9525">
            <a:solidFill>
              <a:schemeClr val="tx1">
                <a:lumMod val="50000"/>
                <a:lumOff val="50000"/>
              </a:schemeClr>
            </a:solidFill>
          </a:ln>
        </c:spPr>
        <c:crossAx val="382943232"/>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18901002759271"/>
          <c:y val="1.0459001903112644E-3"/>
          <c:w val="0.70654855643044623"/>
          <c:h val="0.59482407090418044"/>
        </c:manualLayout>
      </c:layout>
      <c:barChart>
        <c:barDir val="bar"/>
        <c:grouping val="clustered"/>
        <c:varyColors val="0"/>
        <c:ser>
          <c:idx val="0"/>
          <c:order val="0"/>
          <c:tx>
            <c:strRef>
              <c:f>'Fig7'!$F$5</c:f>
              <c:strCache>
                <c:ptCount val="1"/>
                <c:pt idx="0">
                  <c:v>Criminal Justice Involvement</c:v>
                </c:pt>
              </c:strCache>
            </c:strRef>
          </c:tx>
          <c:spPr>
            <a:solidFill>
              <a:schemeClr val="accent1"/>
            </a:solidFill>
          </c:spPr>
          <c:invertIfNegative val="0"/>
          <c:dLbls>
            <c:dLbl>
              <c:idx val="0"/>
              <c:layout>
                <c:manualLayout>
                  <c:x val="5.8320764203117145E-2"/>
                  <c:y val="1.3698630136986301E-2"/>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5F-4DB7-8CA0-0DDB29172C27}"/>
                </c:ext>
              </c:extLst>
            </c:dLbl>
            <c:dLbl>
              <c:idx val="1"/>
              <c:layout>
                <c:manualLayout>
                  <c:x val="3.0165912518853696E-2"/>
                  <c:y val="9.1324200913242004E-3"/>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5F-4DB7-8CA0-0DDB29172C27}"/>
                </c:ext>
              </c:extLst>
            </c:dLbl>
            <c:dLbl>
              <c:idx val="2"/>
              <c:layout>
                <c:manualLayout>
                  <c:x val="2.413273001508295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65F-4DB7-8CA0-0DDB29172C27}"/>
                </c:ext>
              </c:extLst>
            </c:dLbl>
            <c:dLbl>
              <c:idx val="3"/>
              <c:layout>
                <c:manualLayout>
                  <c:x val="0.11060834590246355"/>
                  <c:y val="4.5820299859777799E-3"/>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65F-4DB7-8CA0-0DDB29172C2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'Fig7'!$H$16:$H$19</c:f>
                <c:numCache>
                  <c:formatCode>General</c:formatCode>
                  <c:ptCount val="4"/>
                  <c:pt idx="0">
                    <c:v>0.20999999999999996</c:v>
                  </c:pt>
                  <c:pt idx="1">
                    <c:v>0.11000000000000032</c:v>
                  </c:pt>
                  <c:pt idx="2">
                    <c:v>0.10000000000000009</c:v>
                  </c:pt>
                  <c:pt idx="3">
                    <c:v>0.41999999999999993</c:v>
                  </c:pt>
                </c:numCache>
              </c:numRef>
            </c:plus>
            <c:minus>
              <c:numRef>
                <c:f>'Fig7'!$G$16:$G$19</c:f>
                <c:numCache>
                  <c:formatCode>General</c:formatCode>
                  <c:ptCount val="4"/>
                  <c:pt idx="0">
                    <c:v>0.19000000000000017</c:v>
                  </c:pt>
                  <c:pt idx="1">
                    <c:v>9.9999999999999645E-2</c:v>
                  </c:pt>
                  <c:pt idx="2">
                    <c:v>8.9999999999999858E-2</c:v>
                  </c:pt>
                  <c:pt idx="3">
                    <c:v>0.35000000000000009</c:v>
                  </c:pt>
                </c:numCache>
              </c:numRef>
            </c:minus>
            <c:spPr>
              <a:ln>
                <a:solidFill>
                  <a:schemeClr val="tx2"/>
                </a:solidFill>
              </a:ln>
            </c:spPr>
          </c:errBars>
          <c:cat>
            <c:strRef>
              <c:f>'Fig7'!$G$4:$J$4</c:f>
              <c:strCache>
                <c:ptCount val="4"/>
                <c:pt idx="0">
                  <c:v>Fatal Opioid Overdose Only</c:v>
                </c:pt>
                <c:pt idx="1">
                  <c:v>NFO Only</c:v>
                </c:pt>
                <c:pt idx="2">
                  <c:v>Having any Opioid Overdose
 (Fatal or Non-Fatal)</c:v>
                </c:pt>
                <c:pt idx="3">
                  <c:v>NFO Followed by a Fatal Overdose</c:v>
                </c:pt>
              </c:strCache>
            </c:strRef>
          </c:cat>
          <c:val>
            <c:numRef>
              <c:f>'Fig7'!$G$5:$J$5</c:f>
              <c:numCache>
                <c:formatCode>General</c:formatCode>
                <c:ptCount val="4"/>
                <c:pt idx="0">
                  <c:v>1.6</c:v>
                </c:pt>
                <c:pt idx="1">
                  <c:v>2.3199999999999998</c:v>
                </c:pt>
                <c:pt idx="2">
                  <c:v>2.31</c:v>
                </c:pt>
                <c:pt idx="3">
                  <c:v>2.1</c:v>
                </c:pt>
              </c:numCache>
            </c:numRef>
          </c:val>
          <c:extLst xmlns:c16r2="http://schemas.microsoft.com/office/drawing/2015/06/chart">
            <c:ext xmlns:c16="http://schemas.microsoft.com/office/drawing/2014/chart" uri="{C3380CC4-5D6E-409C-BE32-E72D297353CC}">
              <c16:uniqueId val="{00000004-765F-4DB7-8CA0-0DDB29172C27}"/>
            </c:ext>
          </c:extLst>
        </c:ser>
        <c:dLbls>
          <c:showLegendKey val="0"/>
          <c:showVal val="0"/>
          <c:showCatName val="0"/>
          <c:showSerName val="0"/>
          <c:showPercent val="0"/>
          <c:showBubbleSize val="0"/>
        </c:dLbls>
        <c:gapWidth val="310"/>
        <c:axId val="382984960"/>
        <c:axId val="382986496"/>
      </c:barChart>
      <c:catAx>
        <c:axId val="382984960"/>
        <c:scaling>
          <c:orientation val="minMax"/>
        </c:scaling>
        <c:delete val="0"/>
        <c:axPos val="l"/>
        <c:numFmt formatCode="General" sourceLinked="1"/>
        <c:majorTickMark val="none"/>
        <c:minorTickMark val="none"/>
        <c:tickLblPos val="nextTo"/>
        <c:txPr>
          <a:bodyPr/>
          <a:lstStyle/>
          <a:p>
            <a:pPr>
              <a:defRPr sz="1000"/>
            </a:pPr>
            <a:endParaRPr lang="en-US"/>
          </a:p>
        </c:txPr>
        <c:crossAx val="382986496"/>
        <c:crosses val="autoZero"/>
        <c:auto val="1"/>
        <c:lblAlgn val="ctr"/>
        <c:lblOffset val="100"/>
        <c:noMultiLvlLbl val="0"/>
      </c:catAx>
      <c:valAx>
        <c:axId val="38298649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00" b="0" i="0" u="none" strike="noStrike" baseline="0"/>
                  <a:t>Adjusted Odds Ratio</a:t>
                </a:r>
                <a:r>
                  <a:rPr lang="en-US" sz="1800" b="0" i="0" u="none" strike="noStrike" baseline="0"/>
                  <a:t>	</a:t>
                </a:r>
              </a:p>
            </c:rich>
          </c:tx>
          <c:overlay val="0"/>
        </c:title>
        <c:numFmt formatCode="General" sourceLinked="1"/>
        <c:majorTickMark val="out"/>
        <c:minorTickMark val="none"/>
        <c:tickLblPos val="nextTo"/>
        <c:crossAx val="382984960"/>
        <c:crosses val="autoZero"/>
        <c:crossBetween val="between"/>
      </c:valAx>
    </c:plotArea>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842310616492452E-2"/>
          <c:y val="3.0513998250218721E-2"/>
          <c:w val="0.89766789489618304"/>
          <c:h val="0.76737664041994746"/>
        </c:manualLayout>
      </c:layout>
      <c:barChart>
        <c:barDir val="col"/>
        <c:grouping val="clustered"/>
        <c:varyColors val="0"/>
        <c:ser>
          <c:idx val="0"/>
          <c:order val="0"/>
          <c:tx>
            <c:strRef>
              <c:f>'Fig 16'!$B$3</c:f>
              <c:strCache>
                <c:ptCount val="1"/>
                <c:pt idx="0">
                  <c:v>Criminal Justice (N=46,884)</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dLbls>
          <c:cat>
            <c:strRef>
              <c:f>'Fig 16'!$A$5:$A$7</c:f>
              <c:strCache>
                <c:ptCount val="3"/>
                <c:pt idx="0">
                  <c:v>  SUD/SMI</c:v>
                </c:pt>
                <c:pt idx="1">
                  <c:v>  SUD</c:v>
                </c:pt>
                <c:pt idx="2">
                  <c:v>  SMI</c:v>
                </c:pt>
              </c:strCache>
            </c:strRef>
          </c:cat>
          <c:val>
            <c:numRef>
              <c:f>'Fig 16'!$B$5:$B$7</c:f>
              <c:numCache>
                <c:formatCode>0.0%</c:formatCode>
                <c:ptCount val="3"/>
                <c:pt idx="0">
                  <c:v>0.55100000000000005</c:v>
                </c:pt>
                <c:pt idx="1">
                  <c:v>0.17699999999999999</c:v>
                </c:pt>
                <c:pt idx="2">
                  <c:v>6.9000000000000006E-2</c:v>
                </c:pt>
              </c:numCache>
            </c:numRef>
          </c:val>
        </c:ser>
        <c:ser>
          <c:idx val="1"/>
          <c:order val="1"/>
          <c:tx>
            <c:strRef>
              <c:f>'Fig 16'!$C$3</c:f>
              <c:strCache>
                <c:ptCount val="1"/>
                <c:pt idx="0">
                  <c:v>Total MassHealth Members (N=1,955,546)</c:v>
                </c:pt>
              </c:strCache>
            </c:strRef>
          </c:tx>
          <c:spPr>
            <a:solidFill>
              <a:srgbClr val="C0504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dLbls>
          <c:cat>
            <c:strRef>
              <c:f>'Fig 16'!$A$5:$A$7</c:f>
              <c:strCache>
                <c:ptCount val="3"/>
                <c:pt idx="0">
                  <c:v>  SUD/SMI</c:v>
                </c:pt>
                <c:pt idx="1">
                  <c:v>  SUD</c:v>
                </c:pt>
                <c:pt idx="2">
                  <c:v>  SMI</c:v>
                </c:pt>
              </c:strCache>
            </c:strRef>
          </c:cat>
          <c:val>
            <c:numRef>
              <c:f>'Fig 16'!$C$5:$C$7</c:f>
              <c:numCache>
                <c:formatCode>0.0%</c:formatCode>
                <c:ptCount val="3"/>
                <c:pt idx="0">
                  <c:v>0.11700000000000001</c:v>
                </c:pt>
                <c:pt idx="1">
                  <c:v>5.1999999999999998E-2</c:v>
                </c:pt>
                <c:pt idx="2">
                  <c:v>0.17100000000000001</c:v>
                </c:pt>
              </c:numCache>
            </c:numRef>
          </c:val>
        </c:ser>
        <c:dLbls>
          <c:showLegendKey val="0"/>
          <c:showVal val="0"/>
          <c:showCatName val="0"/>
          <c:showSerName val="0"/>
          <c:showPercent val="0"/>
          <c:showBubbleSize val="0"/>
        </c:dLbls>
        <c:gapWidth val="35"/>
        <c:overlap val="-20"/>
        <c:axId val="383300736"/>
        <c:axId val="383302272"/>
      </c:barChart>
      <c:catAx>
        <c:axId val="383300736"/>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50000"/>
                <a:lumOff val="50000"/>
              </a:sys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83302272"/>
        <c:crosses val="autoZero"/>
        <c:auto val="1"/>
        <c:lblAlgn val="ctr"/>
        <c:lblOffset val="100"/>
        <c:noMultiLvlLbl val="0"/>
      </c:catAx>
      <c:valAx>
        <c:axId val="383302272"/>
        <c:scaling>
          <c:orientation val="minMax"/>
          <c:max val="1"/>
        </c:scaling>
        <c:delete val="0"/>
        <c:axPos val="l"/>
        <c:numFmt formatCode="0%" sourceLinked="0"/>
        <c:majorTickMark val="none"/>
        <c:minorTickMark val="none"/>
        <c:tickLblPos val="nextTo"/>
        <c:spPr>
          <a:noFill/>
          <a:ln>
            <a:solidFill>
              <a:sysClr val="windowText" lastClr="000000">
                <a:lumMod val="50000"/>
                <a:lumOff val="50000"/>
              </a:sys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3300736"/>
        <c:crosses val="autoZero"/>
        <c:crossBetween val="between"/>
      </c:valAx>
      <c:spPr>
        <a:noFill/>
        <a:ln w="25400">
          <a:noFill/>
        </a:ln>
      </c:spPr>
    </c:plotArea>
    <c:legend>
      <c:legendPos val="b"/>
      <c:layout>
        <c:manualLayout>
          <c:xMode val="edge"/>
          <c:yMode val="edge"/>
          <c:x val="9.2926859142607177E-2"/>
          <c:y val="0.89953937007874019"/>
          <c:w val="0.81414628171478565"/>
          <c:h val="0.10046062992125984"/>
        </c:manualLayout>
      </c:layout>
      <c:overlay val="0"/>
      <c:spPr>
        <a:noFill/>
        <a:ln w="25400">
          <a:noFill/>
        </a:ln>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0.29515139832031662"/>
          <c:y val="6.0874143780807889E-2"/>
          <c:w val="0.66615491484803235"/>
          <c:h val="0.83728986620574863"/>
        </c:manualLayout>
      </c:layout>
      <c:barChart>
        <c:barDir val="bar"/>
        <c:grouping val="clustered"/>
        <c:varyColors val="0"/>
        <c:ser>
          <c:idx val="0"/>
          <c:order val="0"/>
          <c:tx>
            <c:strRef>
              <c:f>'Fig 17'!$B$18</c:f>
              <c:strCache>
                <c:ptCount val="1"/>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 17'!$A$19:$A$23</c:f>
              <c:strCache>
                <c:ptCount val="5"/>
                <c:pt idx="0">
                  <c:v>Hospital Discharge</c:v>
                </c:pt>
                <c:pt idx="1">
                  <c:v>Observational Stay </c:v>
                </c:pt>
                <c:pt idx="2">
                  <c:v>ED </c:v>
                </c:pt>
                <c:pt idx="3">
                  <c:v>Evaluation and Management</c:v>
                </c:pt>
                <c:pt idx="4">
                  <c:v>Preventive Care </c:v>
                </c:pt>
              </c:strCache>
            </c:strRef>
          </c:cat>
          <c:val>
            <c:numRef>
              <c:f>'Fig 17'!$B$19:$B$23</c:f>
              <c:numCache>
                <c:formatCode>0.00%</c:formatCode>
                <c:ptCount val="5"/>
                <c:pt idx="0">
                  <c:v>0.125</c:v>
                </c:pt>
                <c:pt idx="1">
                  <c:v>3.9E-2</c:v>
                </c:pt>
                <c:pt idx="2">
                  <c:v>0.443</c:v>
                </c:pt>
                <c:pt idx="3">
                  <c:v>0.56899999999999995</c:v>
                </c:pt>
                <c:pt idx="4">
                  <c:v>0.159</c:v>
                </c:pt>
              </c:numCache>
            </c:numRef>
          </c:val>
          <c:extLst xmlns:c16r2="http://schemas.microsoft.com/office/drawing/2015/06/chart">
            <c:ext xmlns:c16="http://schemas.microsoft.com/office/drawing/2014/chart" uri="{C3380CC4-5D6E-409C-BE32-E72D297353CC}">
              <c16:uniqueId val="{00000000-DE1A-490B-B49E-071A4669E230}"/>
            </c:ext>
          </c:extLst>
        </c:ser>
        <c:dLbls>
          <c:showLegendKey val="0"/>
          <c:showVal val="0"/>
          <c:showCatName val="0"/>
          <c:showSerName val="0"/>
          <c:showPercent val="0"/>
          <c:showBubbleSize val="0"/>
        </c:dLbls>
        <c:gapWidth val="150"/>
        <c:axId val="383585280"/>
        <c:axId val="383603456"/>
      </c:barChart>
      <c:catAx>
        <c:axId val="383585280"/>
        <c:scaling>
          <c:orientation val="minMax"/>
        </c:scaling>
        <c:delete val="0"/>
        <c:axPos val="l"/>
        <c:numFmt formatCode="General" sourceLinked="1"/>
        <c:majorTickMark val="none"/>
        <c:minorTickMark val="none"/>
        <c:tickLblPos val="nextTo"/>
        <c:crossAx val="383603456"/>
        <c:crosses val="autoZero"/>
        <c:auto val="1"/>
        <c:lblAlgn val="ctr"/>
        <c:lblOffset val="100"/>
        <c:noMultiLvlLbl val="0"/>
      </c:catAx>
      <c:valAx>
        <c:axId val="383603456"/>
        <c:scaling>
          <c:orientation val="minMax"/>
          <c:max val="1"/>
        </c:scaling>
        <c:delete val="0"/>
        <c:axPos val="b"/>
        <c:numFmt formatCode="0%" sourceLinked="0"/>
        <c:majorTickMark val="out"/>
        <c:minorTickMark val="none"/>
        <c:tickLblPos val="nextTo"/>
        <c:crossAx val="383585280"/>
        <c:crosses val="autoZero"/>
        <c:crossBetween val="between"/>
        <c:majorUnit val="0.1"/>
      </c:valAx>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55313987487703"/>
          <c:y val="6.0874143780807889E-2"/>
          <c:w val="0.56805101326506457"/>
          <c:h val="0.83728986620574863"/>
        </c:manualLayout>
      </c:layout>
      <c:barChart>
        <c:barDir val="bar"/>
        <c:grouping val="clustered"/>
        <c:varyColors val="0"/>
        <c:ser>
          <c:idx val="0"/>
          <c:order val="0"/>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Fig5'!$A$18:$A$20</c:f>
              <c:strCache>
                <c:ptCount val="3"/>
                <c:pt idx="0">
                  <c:v>Concurrent opioid/benzodiazepines
 (not including buprenorphine/methadone)</c:v>
                </c:pt>
                <c:pt idx="1">
                  <c:v>Benzodiazepines
</c:v>
                </c:pt>
                <c:pt idx="2">
                  <c:v>Any Opioids
 (not including buprenorphine/methadone)</c:v>
                </c:pt>
              </c:strCache>
            </c:strRef>
          </c:cat>
          <c:val>
            <c:numRef>
              <c:f>'new Fig5'!$B$18:$B$20</c:f>
              <c:numCache>
                <c:formatCode>0.00%</c:formatCode>
                <c:ptCount val="3"/>
                <c:pt idx="0">
                  <c:v>0.125</c:v>
                </c:pt>
                <c:pt idx="1">
                  <c:v>0.29499999999999998</c:v>
                </c:pt>
                <c:pt idx="2">
                  <c:v>0.68200000000000005</c:v>
                </c:pt>
              </c:numCache>
            </c:numRef>
          </c:val>
          <c:extLst xmlns:c16r2="http://schemas.microsoft.com/office/drawing/2015/06/chart">
            <c:ext xmlns:c16="http://schemas.microsoft.com/office/drawing/2014/chart" uri="{C3380CC4-5D6E-409C-BE32-E72D297353CC}">
              <c16:uniqueId val="{00000000-8942-42A7-AF19-3C87AAB853FE}"/>
            </c:ext>
          </c:extLst>
        </c:ser>
        <c:dLbls>
          <c:showLegendKey val="0"/>
          <c:showVal val="0"/>
          <c:showCatName val="0"/>
          <c:showSerName val="0"/>
          <c:showPercent val="0"/>
          <c:showBubbleSize val="0"/>
        </c:dLbls>
        <c:gapWidth val="150"/>
        <c:axId val="383640320"/>
        <c:axId val="383641856"/>
      </c:barChart>
      <c:catAx>
        <c:axId val="383640320"/>
        <c:scaling>
          <c:orientation val="minMax"/>
        </c:scaling>
        <c:delete val="0"/>
        <c:axPos val="l"/>
        <c:numFmt formatCode="General" sourceLinked="1"/>
        <c:majorTickMark val="none"/>
        <c:minorTickMark val="none"/>
        <c:tickLblPos val="nextTo"/>
        <c:crossAx val="383641856"/>
        <c:crosses val="autoZero"/>
        <c:auto val="1"/>
        <c:lblAlgn val="ctr"/>
        <c:lblOffset val="100"/>
        <c:noMultiLvlLbl val="0"/>
      </c:catAx>
      <c:valAx>
        <c:axId val="383641856"/>
        <c:scaling>
          <c:orientation val="minMax"/>
          <c:max val="1"/>
        </c:scaling>
        <c:delete val="0"/>
        <c:axPos val="b"/>
        <c:numFmt formatCode="0%" sourceLinked="0"/>
        <c:majorTickMark val="out"/>
        <c:minorTickMark val="none"/>
        <c:tickLblPos val="nextTo"/>
        <c:crossAx val="383640320"/>
        <c:crosses val="autoZero"/>
        <c:crossBetween val="between"/>
        <c:majorUnit val="0.1"/>
      </c:valAx>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2379702537183"/>
          <c:y val="0"/>
          <c:w val="0.74307574053243342"/>
          <c:h val="0.71863665451712533"/>
        </c:manualLayout>
      </c:layout>
      <c:barChart>
        <c:barDir val="bar"/>
        <c:grouping val="percentStacked"/>
        <c:varyColors val="0"/>
        <c:ser>
          <c:idx val="0"/>
          <c:order val="0"/>
          <c:tx>
            <c:strRef>
              <c:f>'new Fig 6'!$D$42</c:f>
              <c:strCache>
                <c:ptCount val="1"/>
                <c:pt idx="0">
                  <c:v>Fatal OD Service</c:v>
                </c:pt>
              </c:strCache>
            </c:strRef>
          </c:tx>
          <c:spPr>
            <a:solidFill>
              <a:srgbClr val="002060"/>
            </a:solidFill>
            <a:ln w="25400">
              <a:noFill/>
            </a:ln>
          </c:spPr>
          <c:invertIfNegative val="0"/>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6'!$D$43:$D$48</c:f>
              <c:numCache>
                <c:formatCode>General</c:formatCode>
                <c:ptCount val="6"/>
                <c:pt idx="2" formatCode="0.0%">
                  <c:v>0.01</c:v>
                </c:pt>
                <c:pt idx="3" formatCode="0.0%">
                  <c:v>0.01</c:v>
                </c:pt>
                <c:pt idx="4" formatCode="0.0%">
                  <c:v>0.01</c:v>
                </c:pt>
                <c:pt idx="5" formatCode="0.0%">
                  <c:v>0.01</c:v>
                </c:pt>
              </c:numCache>
            </c:numRef>
          </c:val>
          <c:extLst xmlns:c16r2="http://schemas.microsoft.com/office/drawing/2015/06/chart">
            <c:ext xmlns:c16="http://schemas.microsoft.com/office/drawing/2014/chart" uri="{C3380CC4-5D6E-409C-BE32-E72D297353CC}">
              <c16:uniqueId val="{00000000-00BE-47FA-82A8-E327A26CEFC6}"/>
            </c:ext>
          </c:extLst>
        </c:ser>
        <c:ser>
          <c:idx val="1"/>
          <c:order val="1"/>
          <c:tx>
            <c:strRef>
              <c:f>'new Fig 6'!$E$42</c:f>
              <c:strCache>
                <c:ptCount val="1"/>
                <c:pt idx="0">
                  <c:v>Fatal OD No Service</c:v>
                </c:pt>
              </c:strCache>
            </c:strRef>
          </c:tx>
          <c:spPr>
            <a:solidFill>
              <a:srgbClr val="C0504D"/>
            </a:solidFill>
            <a:ln w="25400">
              <a:noFill/>
            </a:ln>
          </c:spPr>
          <c:invertIfNegative val="0"/>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6'!$E$43:$E$48</c:f>
              <c:numCache>
                <c:formatCode>0.0%</c:formatCode>
                <c:ptCount val="6"/>
                <c:pt idx="0">
                  <c:v>1.8954981917944883E-2</c:v>
                </c:pt>
                <c:pt idx="1">
                  <c:v>1.8747142203932327E-2</c:v>
                </c:pt>
                <c:pt idx="2">
                  <c:v>1.5962090036164112E-2</c:v>
                </c:pt>
                <c:pt idx="3">
                  <c:v>1.2636654611963253E-2</c:v>
                </c:pt>
                <c:pt idx="4">
                  <c:v>1.7707943633869561E-2</c:v>
                </c:pt>
                <c:pt idx="5">
                  <c:v>1.6086793864571642E-2</c:v>
                </c:pt>
              </c:numCache>
            </c:numRef>
          </c:val>
          <c:extLst xmlns:c16r2="http://schemas.microsoft.com/office/drawing/2015/06/chart">
            <c:ext xmlns:c16="http://schemas.microsoft.com/office/drawing/2014/chart" uri="{C3380CC4-5D6E-409C-BE32-E72D297353CC}">
              <c16:uniqueId val="{00000001-00BE-47FA-82A8-E327A26CEFC6}"/>
            </c:ext>
          </c:extLst>
        </c:ser>
        <c:ser>
          <c:idx val="2"/>
          <c:order val="2"/>
          <c:tx>
            <c:strRef>
              <c:f>'new Fig 6'!$F$42</c:f>
              <c:strCache>
                <c:ptCount val="1"/>
                <c:pt idx="0">
                  <c:v>Nonfatal OD Service</c:v>
                </c:pt>
              </c:strCache>
            </c:strRef>
          </c:tx>
          <c:spPr>
            <a:solidFill>
              <a:srgbClr val="9BBB59"/>
            </a:solidFill>
            <a:ln w="25400">
              <a:noFill/>
            </a:ln>
          </c:spPr>
          <c:invertIfNegative val="0"/>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6'!$F$43:$F$48</c:f>
              <c:numCache>
                <c:formatCode>0.0%</c:formatCode>
                <c:ptCount val="6"/>
                <c:pt idx="0">
                  <c:v>1.4964459408903852E-3</c:v>
                </c:pt>
                <c:pt idx="1">
                  <c:v>3.8242507378309846E-3</c:v>
                </c:pt>
                <c:pt idx="2">
                  <c:v>1.658560917820177E-2</c:v>
                </c:pt>
                <c:pt idx="3">
                  <c:v>3.5623726981751674E-2</c:v>
                </c:pt>
                <c:pt idx="4">
                  <c:v>8.1888847320946093E-3</c:v>
                </c:pt>
                <c:pt idx="5">
                  <c:v>1.8040487176289647E-2</c:v>
                </c:pt>
              </c:numCache>
            </c:numRef>
          </c:val>
          <c:extLst xmlns:c16r2="http://schemas.microsoft.com/office/drawing/2015/06/chart">
            <c:ext xmlns:c16="http://schemas.microsoft.com/office/drawing/2014/chart" uri="{C3380CC4-5D6E-409C-BE32-E72D297353CC}">
              <c16:uniqueId val="{00000002-00BE-47FA-82A8-E327A26CEFC6}"/>
            </c:ext>
          </c:extLst>
        </c:ser>
        <c:ser>
          <c:idx val="3"/>
          <c:order val="3"/>
          <c:tx>
            <c:strRef>
              <c:f>'new Fig 6'!$G$42</c:f>
              <c:strCache>
                <c:ptCount val="1"/>
                <c:pt idx="0">
                  <c:v>Nonfatal OD No Service</c:v>
                </c:pt>
              </c:strCache>
            </c:strRef>
          </c:tx>
          <c:spPr>
            <a:solidFill>
              <a:srgbClr val="8064A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6'!$G$43:$G$48</c:f>
              <c:numCache>
                <c:formatCode>0.0%</c:formatCode>
                <c:ptCount val="6"/>
                <c:pt idx="0">
                  <c:v>8.0059857837635612E-2</c:v>
                </c:pt>
                <c:pt idx="1">
                  <c:v>7.7732053040695012E-2</c:v>
                </c:pt>
                <c:pt idx="2">
                  <c:v>6.497069460032423E-2</c:v>
                </c:pt>
                <c:pt idx="3">
                  <c:v>4.593257679677433E-2</c:v>
                </c:pt>
                <c:pt idx="4">
                  <c:v>7.336741904643139E-2</c:v>
                </c:pt>
                <c:pt idx="5">
                  <c:v>6.3515816602236361E-2</c:v>
                </c:pt>
              </c:numCache>
            </c:numRef>
          </c:val>
          <c:extLst xmlns:c16r2="http://schemas.microsoft.com/office/drawing/2015/06/chart">
            <c:ext xmlns:c16="http://schemas.microsoft.com/office/drawing/2014/chart" uri="{C3380CC4-5D6E-409C-BE32-E72D297353CC}">
              <c16:uniqueId val="{00000003-00BE-47FA-82A8-E327A26CEFC6}"/>
            </c:ext>
          </c:extLst>
        </c:ser>
        <c:ser>
          <c:idx val="4"/>
          <c:order val="4"/>
          <c:tx>
            <c:strRef>
              <c:f>'new Fig 6'!$H$42</c:f>
              <c:strCache>
                <c:ptCount val="1"/>
                <c:pt idx="0">
                  <c:v>No OD Service</c:v>
                </c:pt>
              </c:strCache>
            </c:strRef>
          </c:tx>
          <c:spPr>
            <a:solidFill>
              <a:srgbClr val="4BACC6"/>
            </a:solidFill>
            <a:ln w="25400">
              <a:no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0BE-47FA-82A8-E327A26CEFC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0BE-47FA-82A8-E327A26CEFC6}"/>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0BE-47FA-82A8-E327A26CEFC6}"/>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6'!$H$43:$H$48</c:f>
              <c:numCache>
                <c:formatCode>0.0%</c:formatCode>
                <c:ptCount val="6"/>
                <c:pt idx="0">
                  <c:v>0</c:v>
                </c:pt>
                <c:pt idx="1">
                  <c:v>0</c:v>
                </c:pt>
                <c:pt idx="2">
                  <c:v>0.11846863698715551</c:v>
                </c:pt>
                <c:pt idx="3">
                  <c:v>0.23801804048717629</c:v>
                </c:pt>
                <c:pt idx="4">
                  <c:v>2.25298249989608E-2</c:v>
                </c:pt>
                <c:pt idx="5">
                  <c:v>5.4246165357276471E-2</c:v>
                </c:pt>
              </c:numCache>
            </c:numRef>
          </c:val>
          <c:extLst xmlns:c16r2="http://schemas.microsoft.com/office/drawing/2015/06/chart">
            <c:ext xmlns:c16="http://schemas.microsoft.com/office/drawing/2014/chart" uri="{C3380CC4-5D6E-409C-BE32-E72D297353CC}">
              <c16:uniqueId val="{00000007-00BE-47FA-82A8-E327A26CEFC6}"/>
            </c:ext>
          </c:extLst>
        </c:ser>
        <c:ser>
          <c:idx val="5"/>
          <c:order val="5"/>
          <c:tx>
            <c:strRef>
              <c:f>'new Fig 6'!$I$42</c:f>
              <c:strCache>
                <c:ptCount val="1"/>
                <c:pt idx="0">
                  <c:v>No OD No Service</c:v>
                </c:pt>
              </c:strCache>
            </c:strRef>
          </c:tx>
          <c:spPr>
            <a:solidFill>
              <a:srgbClr val="F79646"/>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 6'!$C$43:$C$48</c:f>
              <c:strCache>
                <c:ptCount val="6"/>
                <c:pt idx="0">
                  <c:v>MAT
 (3 months)</c:v>
                </c:pt>
                <c:pt idx="1">
                  <c:v>MAT
 (12 months)</c:v>
                </c:pt>
                <c:pt idx="2">
                  <c:v>Outpatient BH
 (3 months)</c:v>
                </c:pt>
                <c:pt idx="3">
                  <c:v>Outpatient BH
 (12 months)</c:v>
                </c:pt>
                <c:pt idx="4">
                  <c:v>Inpatient BH
 (3 months)</c:v>
                </c:pt>
                <c:pt idx="5">
                  <c:v>Inpatient BH
 (12 months)</c:v>
                </c:pt>
              </c:strCache>
            </c:strRef>
          </c:cat>
          <c:val>
            <c:numRef>
              <c:f>'new Fig 6'!$I$43:$I$48</c:f>
              <c:numCache>
                <c:formatCode>0.0%</c:formatCode>
                <c:ptCount val="6"/>
                <c:pt idx="0">
                  <c:v>0.89254686785550985</c:v>
                </c:pt>
                <c:pt idx="1">
                  <c:v>0.88365132809577251</c:v>
                </c:pt>
                <c:pt idx="2">
                  <c:v>0.78081223760236107</c:v>
                </c:pt>
                <c:pt idx="3">
                  <c:v>0.66126283410234032</c:v>
                </c:pt>
                <c:pt idx="4">
                  <c:v>0.87675104959055572</c:v>
                </c:pt>
                <c:pt idx="5">
                  <c:v>0.84503470923224011</c:v>
                </c:pt>
              </c:numCache>
            </c:numRef>
          </c:val>
          <c:extLst xmlns:c16r2="http://schemas.microsoft.com/office/drawing/2015/06/chart">
            <c:ext xmlns:c16="http://schemas.microsoft.com/office/drawing/2014/chart" uri="{C3380CC4-5D6E-409C-BE32-E72D297353CC}">
              <c16:uniqueId val="{00000008-00BE-47FA-82A8-E327A26CEFC6}"/>
            </c:ext>
          </c:extLst>
        </c:ser>
        <c:dLbls>
          <c:showLegendKey val="0"/>
          <c:showVal val="0"/>
          <c:showCatName val="0"/>
          <c:showSerName val="0"/>
          <c:showPercent val="0"/>
          <c:showBubbleSize val="0"/>
        </c:dLbls>
        <c:gapWidth val="150"/>
        <c:overlap val="100"/>
        <c:axId val="383711488"/>
        <c:axId val="383725568"/>
      </c:barChart>
      <c:catAx>
        <c:axId val="383711488"/>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3725568"/>
        <c:crosses val="autoZero"/>
        <c:auto val="1"/>
        <c:lblAlgn val="ctr"/>
        <c:lblOffset val="100"/>
        <c:noMultiLvlLbl val="0"/>
      </c:catAx>
      <c:valAx>
        <c:axId val="383725568"/>
        <c:scaling>
          <c:orientation val="minMax"/>
        </c:scaling>
        <c:delete val="0"/>
        <c:axPos val="b"/>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3711488"/>
        <c:crosses val="autoZero"/>
        <c:crossBetween val="between"/>
      </c:valAx>
      <c:spPr>
        <a:noFill/>
        <a:ln w="25400">
          <a:noFill/>
        </a:ln>
      </c:spPr>
    </c:plotArea>
    <c:legend>
      <c:legendPos val="b"/>
      <c:layout>
        <c:manualLayout>
          <c:xMode val="edge"/>
          <c:yMode val="edge"/>
          <c:x val="0.15542269425624122"/>
          <c:y val="0.81777640332722756"/>
          <c:w val="0.71085637551120062"/>
          <c:h val="9.5583731791834214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113479918783736E-2"/>
          <c:y val="0.20740746117299147"/>
          <c:w val="0.93157740306046655"/>
          <c:h val="0.6603510347301863"/>
        </c:manualLayout>
      </c:layout>
      <c:barChart>
        <c:barDir val="col"/>
        <c:grouping val="stacked"/>
        <c:varyColors val="0"/>
        <c:ser>
          <c:idx val="0"/>
          <c:order val="0"/>
          <c:tx>
            <c:strRef>
              <c:f>'new Fig7'!$C$23</c:f>
              <c:strCache>
                <c:ptCount val="1"/>
                <c:pt idx="0">
                  <c:v>Fatal OD Service</c:v>
                </c:pt>
              </c:strCache>
            </c:strRef>
          </c:tx>
          <c:spPr>
            <a:solidFill>
              <a:schemeClr val="tx1">
                <a:lumMod val="65000"/>
                <a:lumOff val="35000"/>
              </a:schemeClr>
            </a:solidFill>
            <a:ln>
              <a:noFill/>
            </a:ln>
            <a:effectLst/>
          </c:spPr>
          <c:invertIfNegative val="0"/>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Fig7'!$C$24:$C$27</c:f>
              <c:numCache>
                <c:formatCode>0.0%</c:formatCode>
                <c:ptCount val="4"/>
                <c:pt idx="0">
                  <c:v>1.6186189062350351E-2</c:v>
                </c:pt>
                <c:pt idx="1">
                  <c:v>0.01</c:v>
                </c:pt>
                <c:pt idx="2">
                  <c:v>0.01</c:v>
                </c:pt>
                <c:pt idx="3">
                  <c:v>0.01</c:v>
                </c:pt>
              </c:numCache>
            </c:numRef>
          </c:val>
          <c:extLst xmlns:c16r2="http://schemas.microsoft.com/office/drawing/2015/06/chart">
            <c:ext xmlns:c16="http://schemas.microsoft.com/office/drawing/2014/chart" uri="{C3380CC4-5D6E-409C-BE32-E72D297353CC}">
              <c16:uniqueId val="{00000000-374B-4C9E-9FBB-20A57ECBAA0E}"/>
            </c:ext>
          </c:extLst>
        </c:ser>
        <c:ser>
          <c:idx val="1"/>
          <c:order val="1"/>
          <c:tx>
            <c:strRef>
              <c:f>'new Fig7'!$D$23</c:f>
              <c:strCache>
                <c:ptCount val="1"/>
                <c:pt idx="0">
                  <c:v>Fatal OD No Service</c:v>
                </c:pt>
              </c:strCache>
            </c:strRef>
          </c:tx>
          <c:spPr>
            <a:solidFill>
              <a:srgbClr val="C0504D"/>
            </a:solidFill>
            <a:ln w="25400">
              <a:noFill/>
            </a:ln>
          </c:spPr>
          <c:invertIfNegative val="0"/>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Fig7'!$D$24:$D$27</c:f>
              <c:numCache>
                <c:formatCode>0.0%</c:formatCode>
                <c:ptCount val="4"/>
                <c:pt idx="0">
                  <c:v>0.01</c:v>
                </c:pt>
                <c:pt idx="1">
                  <c:v>1.4653768796092329E-2</c:v>
                </c:pt>
                <c:pt idx="2">
                  <c:v>1.6856622928838234E-2</c:v>
                </c:pt>
                <c:pt idx="3">
                  <c:v>1.9059477061584139E-2</c:v>
                </c:pt>
              </c:numCache>
            </c:numRef>
          </c:val>
          <c:extLst xmlns:c16r2="http://schemas.microsoft.com/office/drawing/2015/06/chart">
            <c:ext xmlns:c16="http://schemas.microsoft.com/office/drawing/2014/chart" uri="{C3380CC4-5D6E-409C-BE32-E72D297353CC}">
              <c16:uniqueId val="{00000001-374B-4C9E-9FBB-20A57ECBAA0E}"/>
            </c:ext>
          </c:extLst>
        </c:ser>
        <c:ser>
          <c:idx val="2"/>
          <c:order val="2"/>
          <c:tx>
            <c:strRef>
              <c:f>'new Fig7'!$E$23</c:f>
              <c:strCache>
                <c:ptCount val="1"/>
                <c:pt idx="0">
                  <c:v>Nonfatal OD Service</c:v>
                </c:pt>
              </c:strCache>
            </c:strRef>
          </c:tx>
          <c:spPr>
            <a:solidFill>
              <a:srgbClr val="9BBB59"/>
            </a:solidFill>
            <a:ln w="25400">
              <a:noFill/>
            </a:ln>
          </c:spPr>
          <c:invertIfNegative val="0"/>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4B-4C9E-9FBB-20A57ECBAA0E}"/>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4B-4C9E-9FBB-20A57ECBAA0E}"/>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Fig7'!$E$24:$E$27</c:f>
              <c:numCache>
                <c:formatCode>0.0%</c:formatCode>
                <c:ptCount val="4"/>
                <c:pt idx="0">
                  <c:v>7.3747725313667273E-2</c:v>
                </c:pt>
                <c:pt idx="1">
                  <c:v>4.6259936787664019E-2</c:v>
                </c:pt>
                <c:pt idx="2">
                  <c:v>4.2907767455224594E-2</c:v>
                </c:pt>
                <c:pt idx="3">
                  <c:v>1.8389043195096256E-2</c:v>
                </c:pt>
              </c:numCache>
            </c:numRef>
          </c:val>
          <c:extLst xmlns:c16r2="http://schemas.microsoft.com/office/drawing/2015/06/chart">
            <c:ext xmlns:c16="http://schemas.microsoft.com/office/drawing/2014/chart" uri="{C3380CC4-5D6E-409C-BE32-E72D297353CC}">
              <c16:uniqueId val="{00000004-374B-4C9E-9FBB-20A57ECBAA0E}"/>
            </c:ext>
          </c:extLst>
        </c:ser>
        <c:ser>
          <c:idx val="3"/>
          <c:order val="3"/>
          <c:tx>
            <c:strRef>
              <c:f>'new Fig7'!$F$23</c:f>
              <c:strCache>
                <c:ptCount val="1"/>
                <c:pt idx="0">
                  <c:v>Nonfatal OD No Service</c:v>
                </c:pt>
              </c:strCache>
            </c:strRef>
          </c:tx>
          <c:spPr>
            <a:solidFill>
              <a:srgbClr val="8064A2"/>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Fig7'!$F$24:$F$27</c:f>
              <c:numCache>
                <c:formatCode>0.0%</c:formatCode>
                <c:ptCount val="4"/>
                <c:pt idx="0">
                  <c:v>4.5014845321329378E-2</c:v>
                </c:pt>
                <c:pt idx="1">
                  <c:v>7.2502633847332632E-2</c:v>
                </c:pt>
                <c:pt idx="2">
                  <c:v>7.5854803179772057E-2</c:v>
                </c:pt>
                <c:pt idx="3">
                  <c:v>0.1003735274399004</c:v>
                </c:pt>
              </c:numCache>
            </c:numRef>
          </c:val>
          <c:extLst xmlns:c16r2="http://schemas.microsoft.com/office/drawing/2015/06/chart">
            <c:ext xmlns:c16="http://schemas.microsoft.com/office/drawing/2014/chart" uri="{C3380CC4-5D6E-409C-BE32-E72D297353CC}">
              <c16:uniqueId val="{00000005-374B-4C9E-9FBB-20A57ECBAA0E}"/>
            </c:ext>
          </c:extLst>
        </c:ser>
        <c:ser>
          <c:idx val="4"/>
          <c:order val="4"/>
          <c:tx>
            <c:strRef>
              <c:f>'new Fig7'!$G$23</c:f>
              <c:strCache>
                <c:ptCount val="1"/>
                <c:pt idx="0">
                  <c:v>No OD Service</c:v>
                </c:pt>
              </c:strCache>
            </c:strRef>
          </c:tx>
          <c:spPr>
            <a:solidFill>
              <a:srgbClr val="4BACC6"/>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Fig7'!$G$24:$G$27</c:f>
              <c:numCache>
                <c:formatCode>0.0%</c:formatCode>
                <c:ptCount val="4"/>
                <c:pt idx="0">
                  <c:v>0.59237620917536637</c:v>
                </c:pt>
                <c:pt idx="1">
                  <c:v>0.23991954793602147</c:v>
                </c:pt>
                <c:pt idx="2">
                  <c:v>0.15793506369121732</c:v>
                </c:pt>
                <c:pt idx="3">
                  <c:v>0.10209750023944067</c:v>
                </c:pt>
              </c:numCache>
            </c:numRef>
          </c:val>
          <c:extLst xmlns:c16r2="http://schemas.microsoft.com/office/drawing/2015/06/chart">
            <c:ext xmlns:c16="http://schemas.microsoft.com/office/drawing/2014/chart" uri="{C3380CC4-5D6E-409C-BE32-E72D297353CC}">
              <c16:uniqueId val="{00000006-374B-4C9E-9FBB-20A57ECBAA0E}"/>
            </c:ext>
          </c:extLst>
        </c:ser>
        <c:ser>
          <c:idx val="5"/>
          <c:order val="5"/>
          <c:tx>
            <c:strRef>
              <c:f>'new Fig7'!$H$23</c:f>
              <c:strCache>
                <c:ptCount val="1"/>
                <c:pt idx="0">
                  <c:v>No OD No Service</c:v>
                </c:pt>
              </c:strCache>
            </c:strRef>
          </c:tx>
          <c:spPr>
            <a:solidFill>
              <a:srgbClr val="F79646"/>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Fig7'!$B$24:$B$27</c:f>
              <c:strCache>
                <c:ptCount val="4"/>
                <c:pt idx="0">
                  <c:v>Any Opioids (not including buprenorphine/methadone) (12 Months)</c:v>
                </c:pt>
                <c:pt idx="1">
                  <c:v>Benzodiazepines (12 months)</c:v>
                </c:pt>
                <c:pt idx="2">
                  <c:v>Suboxone (12 months)</c:v>
                </c:pt>
                <c:pt idx="3">
                  <c:v>Concurrent opioid/benzodiazepines (not including buprenorphine/methadone) (12 months)</c:v>
                </c:pt>
              </c:strCache>
            </c:strRef>
          </c:cat>
          <c:val>
            <c:numRef>
              <c:f>'new Fig7'!$H$24:$H$27</c:f>
              <c:numCache>
                <c:formatCode>0.0%</c:formatCode>
                <c:ptCount val="4"/>
                <c:pt idx="0">
                  <c:v>0.26520448232927879</c:v>
                </c:pt>
                <c:pt idx="1">
                  <c:v>0.61766114356862367</c:v>
                </c:pt>
                <c:pt idx="2">
                  <c:v>0.69964562781342787</c:v>
                </c:pt>
                <c:pt idx="3">
                  <c:v>0.75548319126520447</c:v>
                </c:pt>
              </c:numCache>
            </c:numRef>
          </c:val>
          <c:extLst xmlns:c16r2="http://schemas.microsoft.com/office/drawing/2015/06/chart">
            <c:ext xmlns:c16="http://schemas.microsoft.com/office/drawing/2014/chart" uri="{C3380CC4-5D6E-409C-BE32-E72D297353CC}">
              <c16:uniqueId val="{00000007-374B-4C9E-9FBB-20A57ECBAA0E}"/>
            </c:ext>
          </c:extLst>
        </c:ser>
        <c:dLbls>
          <c:showLegendKey val="0"/>
          <c:showVal val="0"/>
          <c:showCatName val="0"/>
          <c:showSerName val="0"/>
          <c:showPercent val="0"/>
          <c:showBubbleSize val="0"/>
        </c:dLbls>
        <c:gapWidth val="150"/>
        <c:overlap val="100"/>
        <c:axId val="383779584"/>
        <c:axId val="383781120"/>
      </c:barChart>
      <c:catAx>
        <c:axId val="383779584"/>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81120"/>
        <c:crosses val="autoZero"/>
        <c:auto val="1"/>
        <c:lblAlgn val="ctr"/>
        <c:lblOffset val="100"/>
        <c:noMultiLvlLbl val="0"/>
      </c:catAx>
      <c:valAx>
        <c:axId val="383781120"/>
        <c:scaling>
          <c:orientation val="minMax"/>
          <c:max val="1"/>
        </c:scaling>
        <c:delete val="0"/>
        <c:axPos val="l"/>
        <c:numFmt formatCode="0%" sourceLinked="0"/>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779584"/>
        <c:crosses val="autoZero"/>
        <c:crossBetween val="between"/>
      </c:valAx>
      <c:spPr>
        <a:noFill/>
        <a:ln w="25400">
          <a:noFill/>
        </a:ln>
      </c:spPr>
    </c:plotArea>
    <c:legend>
      <c:legendPos val="b"/>
      <c:layout>
        <c:manualLayout>
          <c:xMode val="edge"/>
          <c:yMode val="edge"/>
          <c:x val="0.12948894901650806"/>
          <c:y val="1.6048864604325513E-2"/>
          <c:w val="0.69856930045906418"/>
          <c:h val="0.11810746611818641"/>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067449116030308"/>
          <c:y val="5.0142441143649658E-2"/>
          <c:w val="0.5253165288301227"/>
          <c:h val="0.69376196940899626"/>
        </c:manualLayout>
      </c:layout>
      <c:barChart>
        <c:barDir val="bar"/>
        <c:grouping val="clustered"/>
        <c:varyColors val="0"/>
        <c:ser>
          <c:idx val="0"/>
          <c:order val="0"/>
          <c:tx>
            <c:strRef>
              <c:f>'new Fig8'!$B$2</c:f>
              <c:strCache>
                <c:ptCount val="1"/>
                <c:pt idx="0">
                  <c:v>Total Members</c:v>
                </c:pt>
              </c:strCache>
            </c:strRef>
          </c:tx>
          <c:spPr>
            <a:solidFill>
              <a:schemeClr val="accent3"/>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Fig8'!$A$3:$A$6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Fig8'!$B$3:$B$6</c:f>
              <c:numCache>
                <c:formatCode>_("$"* #,##0_);_("$"* \(#,##0\);_("$"* "-"??_);_(@_)</c:formatCode>
                <c:ptCount val="4"/>
                <c:pt idx="0">
                  <c:v>428</c:v>
                </c:pt>
                <c:pt idx="1">
                  <c:v>399</c:v>
                </c:pt>
                <c:pt idx="2">
                  <c:v>1097</c:v>
                </c:pt>
                <c:pt idx="3">
                  <c:v>659</c:v>
                </c:pt>
              </c:numCache>
            </c:numRef>
          </c:val>
          <c:extLst xmlns:c16r2="http://schemas.microsoft.com/office/drawing/2015/06/chart">
            <c:ext xmlns:c16="http://schemas.microsoft.com/office/drawing/2014/chart" uri="{C3380CC4-5D6E-409C-BE32-E72D297353CC}">
              <c16:uniqueId val="{00000000-5CD0-44B7-936D-4A0E0F8F20B4}"/>
            </c:ext>
          </c:extLst>
        </c:ser>
        <c:ser>
          <c:idx val="1"/>
          <c:order val="1"/>
          <c:tx>
            <c:strRef>
              <c:f>'new Fig8'!$C$2</c:f>
              <c:strCache>
                <c:ptCount val="1"/>
                <c:pt idx="0">
                  <c:v>Non-Fatal OD</c:v>
                </c:pt>
              </c:strCache>
            </c:strRef>
          </c:tx>
          <c:spPr>
            <a:solidFill>
              <a:schemeClr val="accent2"/>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Fig8'!$A$3:$A$6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Fig8'!$C$3:$C$6</c:f>
              <c:numCache>
                <c:formatCode>_("$"* #,##0_);_("$"* \(#,##0\);_("$"* "-"??_);_(@_)</c:formatCode>
                <c:ptCount val="4"/>
                <c:pt idx="0">
                  <c:v>1422</c:v>
                </c:pt>
                <c:pt idx="1">
                  <c:v>1293</c:v>
                </c:pt>
                <c:pt idx="2">
                  <c:v>1827</c:v>
                </c:pt>
                <c:pt idx="3">
                  <c:v>1173</c:v>
                </c:pt>
              </c:numCache>
            </c:numRef>
          </c:val>
          <c:extLst xmlns:c16r2="http://schemas.microsoft.com/office/drawing/2015/06/chart">
            <c:ext xmlns:c16="http://schemas.microsoft.com/office/drawing/2014/chart" uri="{C3380CC4-5D6E-409C-BE32-E72D297353CC}">
              <c16:uniqueId val="{00000001-5CD0-44B7-936D-4A0E0F8F20B4}"/>
            </c:ext>
          </c:extLst>
        </c:ser>
        <c:ser>
          <c:idx val="2"/>
          <c:order val="2"/>
          <c:tx>
            <c:strRef>
              <c:f>'new Fig8'!$D$2</c:f>
              <c:strCache>
                <c:ptCount val="1"/>
                <c:pt idx="0">
                  <c:v>Fatal OD</c:v>
                </c:pt>
              </c:strCache>
            </c:strRef>
          </c:tx>
          <c:spPr>
            <a:solidFill>
              <a:srgbClr val="4F81BD"/>
            </a:solidFill>
          </c:spPr>
          <c:invertIfNegative val="0"/>
          <c:dPt>
            <c:idx val="4"/>
            <c:invertIfNegative val="0"/>
            <c:bubble3D val="0"/>
            <c:extLst xmlns:c16r2="http://schemas.microsoft.com/office/drawing/2015/06/chart">
              <c:ext xmlns:c16="http://schemas.microsoft.com/office/drawing/2014/chart" uri="{C3380CC4-5D6E-409C-BE32-E72D297353CC}">
                <c16:uniqueId val="{00000002-5CD0-44B7-936D-4A0E0F8F20B4}"/>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Fig8'!$A$3:$A$6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Fig8'!$D$3:$D$6</c:f>
              <c:numCache>
                <c:formatCode>_("$"* #,##0_);_("$"* \(#,##0\);_("$"* "-"??_);_(@_)</c:formatCode>
                <c:ptCount val="4"/>
                <c:pt idx="0">
                  <c:v>1112</c:v>
                </c:pt>
                <c:pt idx="1">
                  <c:v>958</c:v>
                </c:pt>
                <c:pt idx="2">
                  <c:v>1620</c:v>
                </c:pt>
                <c:pt idx="3">
                  <c:v>1058</c:v>
                </c:pt>
              </c:numCache>
            </c:numRef>
          </c:val>
          <c:extLst xmlns:c16r2="http://schemas.microsoft.com/office/drawing/2015/06/chart">
            <c:ext xmlns:c16="http://schemas.microsoft.com/office/drawing/2014/chart" uri="{C3380CC4-5D6E-409C-BE32-E72D297353CC}">
              <c16:uniqueId val="{00000003-5CD0-44B7-936D-4A0E0F8F20B4}"/>
            </c:ext>
          </c:extLst>
        </c:ser>
        <c:dLbls>
          <c:showLegendKey val="0"/>
          <c:showVal val="0"/>
          <c:showCatName val="0"/>
          <c:showSerName val="0"/>
          <c:showPercent val="0"/>
          <c:showBubbleSize val="0"/>
        </c:dLbls>
        <c:gapWidth val="150"/>
        <c:axId val="383822080"/>
        <c:axId val="383840256"/>
      </c:barChart>
      <c:catAx>
        <c:axId val="383822080"/>
        <c:scaling>
          <c:orientation val="minMax"/>
        </c:scaling>
        <c:delete val="0"/>
        <c:axPos val="l"/>
        <c:numFmt formatCode="General" sourceLinked="1"/>
        <c:majorTickMark val="out"/>
        <c:minorTickMark val="none"/>
        <c:tickLblPos val="nextTo"/>
        <c:crossAx val="383840256"/>
        <c:crosses val="autoZero"/>
        <c:auto val="1"/>
        <c:lblAlgn val="ctr"/>
        <c:lblOffset val="100"/>
        <c:noMultiLvlLbl val="0"/>
      </c:catAx>
      <c:valAx>
        <c:axId val="383840256"/>
        <c:scaling>
          <c:orientation val="minMax"/>
        </c:scaling>
        <c:delete val="0"/>
        <c:axPos val="b"/>
        <c:numFmt formatCode="_(&quot;$&quot;* #,##0_);_(&quot;$&quot;* \(#,##0\);_(&quot;$&quot;* &quot;-&quot;??_);_(@_)" sourceLinked="1"/>
        <c:majorTickMark val="out"/>
        <c:minorTickMark val="none"/>
        <c:tickLblPos val="nextTo"/>
        <c:crossAx val="383822080"/>
        <c:crosses val="autoZero"/>
        <c:crossBetween val="between"/>
      </c:valAx>
      <c:spPr>
        <a:noFill/>
        <a:ln w="25400">
          <a:noFill/>
        </a:ln>
      </c:spPr>
    </c:plotArea>
    <c:legend>
      <c:legendPos val="r"/>
      <c:layout>
        <c:manualLayout>
          <c:xMode val="edge"/>
          <c:yMode val="edge"/>
          <c:x val="0.27469656692913386"/>
          <c:y val="0.89145571456524231"/>
          <c:w val="0.62257805774278219"/>
          <c:h val="0.10597709990621351"/>
        </c:manualLayout>
      </c:layout>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'Fig24'!$A$4</c:f>
              <c:strCache>
                <c:ptCount val="1"/>
                <c:pt idx="0">
                  <c:v>Behavioral Health Diagnoses</c:v>
                </c:pt>
              </c:strCache>
            </c:strRef>
          </c:tx>
          <c:invertIfNegative val="0"/>
          <c:cat>
            <c:strRef>
              <c:f>'Fig24'!$B$3:$E$3</c:f>
              <c:strCache>
                <c:ptCount val="4"/>
                <c:pt idx="0">
                  <c:v>Criminal Justice
(N=46,884)</c:v>
                </c:pt>
                <c:pt idx="1">
                  <c:v>Unstable Housing
 (N=193,028)</c:v>
                </c:pt>
                <c:pt idx="2">
                  <c:v>Homeless
 (N=91,165)</c:v>
                </c:pt>
                <c:pt idx="3">
                  <c:v>Total MassHealth Members
 (N=1,955,546)</c:v>
                </c:pt>
              </c:strCache>
            </c:strRef>
          </c:cat>
          <c:val>
            <c:numRef>
              <c:f>'Fig24'!$B$4:$E$4</c:f>
              <c:numCache>
                <c:formatCode>General</c:formatCode>
                <c:ptCount val="4"/>
              </c:numCache>
            </c:numRef>
          </c:val>
        </c:ser>
        <c:ser>
          <c:idx val="1"/>
          <c:order val="1"/>
          <c:tx>
            <c:strRef>
              <c:f>'Fig24'!$A$5</c:f>
              <c:strCache>
                <c:ptCount val="1"/>
                <c:pt idx="0">
                  <c:v>  SUD/SMI</c:v>
                </c:pt>
              </c:strCache>
            </c:strRef>
          </c:tx>
          <c:spPr>
            <a:solidFill>
              <a:schemeClr val="accent1"/>
            </a:solidFill>
          </c:spPr>
          <c:invertIfNegative val="0"/>
          <c:dLbls>
            <c:showLegendKey val="0"/>
            <c:showVal val="1"/>
            <c:showCatName val="0"/>
            <c:showSerName val="0"/>
            <c:showPercent val="0"/>
            <c:showBubbleSize val="0"/>
            <c:showLeaderLines val="0"/>
          </c:dLbls>
          <c:cat>
            <c:strRef>
              <c:f>'Fig24'!$B$3:$E$3</c:f>
              <c:strCache>
                <c:ptCount val="4"/>
                <c:pt idx="0">
                  <c:v>Criminal Justice
(N=46,884)</c:v>
                </c:pt>
                <c:pt idx="1">
                  <c:v>Unstable Housing
 (N=193,028)</c:v>
                </c:pt>
                <c:pt idx="2">
                  <c:v>Homeless
 (N=91,165)</c:v>
                </c:pt>
                <c:pt idx="3">
                  <c:v>Total MassHealth Members
 (N=1,955,546)</c:v>
                </c:pt>
              </c:strCache>
            </c:strRef>
          </c:cat>
          <c:val>
            <c:numRef>
              <c:f>'Fig24'!$B$5:$E$5</c:f>
              <c:numCache>
                <c:formatCode>0%</c:formatCode>
                <c:ptCount val="4"/>
                <c:pt idx="0">
                  <c:v>0.55100000000000005</c:v>
                </c:pt>
                <c:pt idx="1">
                  <c:v>0.29199999999999998</c:v>
                </c:pt>
                <c:pt idx="2">
                  <c:v>0.747</c:v>
                </c:pt>
                <c:pt idx="3">
                  <c:v>0.11700000000000001</c:v>
                </c:pt>
              </c:numCache>
            </c:numRef>
          </c:val>
        </c:ser>
        <c:ser>
          <c:idx val="2"/>
          <c:order val="2"/>
          <c:tx>
            <c:strRef>
              <c:f>'Fig24'!$A$6</c:f>
              <c:strCache>
                <c:ptCount val="1"/>
                <c:pt idx="0">
                  <c:v>  SUD</c:v>
                </c:pt>
              </c:strCache>
            </c:strRef>
          </c:tx>
          <c:spPr>
            <a:solidFill>
              <a:schemeClr val="accent2"/>
            </a:solidFill>
          </c:spPr>
          <c:invertIfNegative val="0"/>
          <c:dLbls>
            <c:showLegendKey val="0"/>
            <c:showVal val="1"/>
            <c:showCatName val="0"/>
            <c:showSerName val="0"/>
            <c:showPercent val="0"/>
            <c:showBubbleSize val="0"/>
            <c:showLeaderLines val="0"/>
          </c:dLbls>
          <c:cat>
            <c:strRef>
              <c:f>'Fig24'!$B$3:$E$3</c:f>
              <c:strCache>
                <c:ptCount val="4"/>
                <c:pt idx="0">
                  <c:v>Criminal Justice
(N=46,884)</c:v>
                </c:pt>
                <c:pt idx="1">
                  <c:v>Unstable Housing
 (N=193,028)</c:v>
                </c:pt>
                <c:pt idx="2">
                  <c:v>Homeless
 (N=91,165)</c:v>
                </c:pt>
                <c:pt idx="3">
                  <c:v>Total MassHealth Members
 (N=1,955,546)</c:v>
                </c:pt>
              </c:strCache>
            </c:strRef>
          </c:cat>
          <c:val>
            <c:numRef>
              <c:f>'Fig24'!$B$6:$E$6</c:f>
              <c:numCache>
                <c:formatCode>0%</c:formatCode>
                <c:ptCount val="4"/>
                <c:pt idx="0">
                  <c:v>0.17699999999999999</c:v>
                </c:pt>
                <c:pt idx="1">
                  <c:v>6.7000000000000004E-2</c:v>
                </c:pt>
                <c:pt idx="2">
                  <c:v>9.1999999999999998E-2</c:v>
                </c:pt>
                <c:pt idx="3">
                  <c:v>5.1999999999999998E-2</c:v>
                </c:pt>
              </c:numCache>
            </c:numRef>
          </c:val>
        </c:ser>
        <c:ser>
          <c:idx val="3"/>
          <c:order val="3"/>
          <c:tx>
            <c:strRef>
              <c:f>'Fig24'!$A$7</c:f>
              <c:strCache>
                <c:ptCount val="1"/>
                <c:pt idx="0">
                  <c:v>  SMI</c:v>
                </c:pt>
              </c:strCache>
            </c:strRef>
          </c:tx>
          <c:spPr>
            <a:solidFill>
              <a:schemeClr val="accent3"/>
            </a:solidFill>
          </c:spPr>
          <c:invertIfNegative val="0"/>
          <c:dLbls>
            <c:showLegendKey val="0"/>
            <c:showVal val="1"/>
            <c:showCatName val="0"/>
            <c:showSerName val="0"/>
            <c:showPercent val="0"/>
            <c:showBubbleSize val="0"/>
            <c:showLeaderLines val="0"/>
          </c:dLbls>
          <c:cat>
            <c:strRef>
              <c:f>'Fig24'!$B$3:$E$3</c:f>
              <c:strCache>
                <c:ptCount val="4"/>
                <c:pt idx="0">
                  <c:v>Criminal Justice
(N=46,884)</c:v>
                </c:pt>
                <c:pt idx="1">
                  <c:v>Unstable Housing
 (N=193,028)</c:v>
                </c:pt>
                <c:pt idx="2">
                  <c:v>Homeless
 (N=91,165)</c:v>
                </c:pt>
                <c:pt idx="3">
                  <c:v>Total MassHealth Members
 (N=1,955,546)</c:v>
                </c:pt>
              </c:strCache>
            </c:strRef>
          </c:cat>
          <c:val>
            <c:numRef>
              <c:f>'Fig24'!$B$7:$E$7</c:f>
              <c:numCache>
                <c:formatCode>0%</c:formatCode>
                <c:ptCount val="4"/>
                <c:pt idx="0">
                  <c:v>6.9000000000000006E-2</c:v>
                </c:pt>
                <c:pt idx="1">
                  <c:v>0.22700000000000001</c:v>
                </c:pt>
                <c:pt idx="2">
                  <c:v>0.123</c:v>
                </c:pt>
                <c:pt idx="3">
                  <c:v>0.17100000000000001</c:v>
                </c:pt>
              </c:numCache>
            </c:numRef>
          </c:val>
        </c:ser>
        <c:dLbls>
          <c:showLegendKey val="0"/>
          <c:showVal val="0"/>
          <c:showCatName val="0"/>
          <c:showSerName val="0"/>
          <c:showPercent val="0"/>
          <c:showBubbleSize val="0"/>
        </c:dLbls>
        <c:gapWidth val="150"/>
        <c:overlap val="-20"/>
        <c:axId val="383876096"/>
        <c:axId val="383881984"/>
      </c:barChart>
      <c:catAx>
        <c:axId val="383876096"/>
        <c:scaling>
          <c:orientation val="minMax"/>
        </c:scaling>
        <c:delete val="0"/>
        <c:axPos val="b"/>
        <c:majorTickMark val="out"/>
        <c:minorTickMark val="none"/>
        <c:tickLblPos val="nextTo"/>
        <c:crossAx val="383881984"/>
        <c:crosses val="autoZero"/>
        <c:auto val="1"/>
        <c:lblAlgn val="ctr"/>
        <c:lblOffset val="100"/>
        <c:noMultiLvlLbl val="0"/>
      </c:catAx>
      <c:valAx>
        <c:axId val="383881984"/>
        <c:scaling>
          <c:orientation val="minMax"/>
          <c:max val="0.8"/>
          <c:min val="0"/>
        </c:scaling>
        <c:delete val="0"/>
        <c:axPos val="l"/>
        <c:majorGridlines>
          <c:spPr>
            <a:ln>
              <a:noFill/>
            </a:ln>
          </c:spPr>
        </c:majorGridlines>
        <c:numFmt formatCode="General" sourceLinked="1"/>
        <c:majorTickMark val="out"/>
        <c:minorTickMark val="none"/>
        <c:tickLblPos val="nextTo"/>
        <c:crossAx val="383876096"/>
        <c:crosses val="autoZero"/>
        <c:crossBetween val="between"/>
      </c:valAx>
      <c:spPr>
        <a:ln>
          <a:noFill/>
        </a:ln>
      </c:spPr>
    </c:plotArea>
    <c:legend>
      <c:legendPos val="b"/>
      <c:legendEntry>
        <c:idx val="0"/>
        <c:delete val="1"/>
      </c:legendEntry>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67449125356506"/>
          <c:y val="9.8903379667938524E-2"/>
          <c:w val="0.85870466756627173"/>
          <c:h val="0.57655753992000391"/>
        </c:manualLayout>
      </c:layout>
      <c:barChart>
        <c:barDir val="col"/>
        <c:grouping val="clustered"/>
        <c:varyColors val="0"/>
        <c:ser>
          <c:idx val="0"/>
          <c:order val="0"/>
          <c:tx>
            <c:strRef>
              <c:f>'Fig19'!$A$2</c:f>
              <c:strCache>
                <c:ptCount val="1"/>
                <c:pt idx="0">
                  <c:v>All Races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'Fig19'!$B$1:$D$1</c:f>
              <c:strCache>
                <c:ptCount val="3"/>
                <c:pt idx="0">
                  <c:v>Massachusetts</c:v>
                </c:pt>
                <c:pt idx="1">
                  <c:v>Boston </c:v>
                </c:pt>
                <c:pt idx="2">
                  <c:v>Massachusetts, Excluding Boston</c:v>
                </c:pt>
              </c:strCache>
            </c:strRef>
          </c:cat>
          <c:val>
            <c:numRef>
              <c:f>'Fig19'!$B$2:$D$2</c:f>
              <c:numCache>
                <c:formatCode>0%</c:formatCode>
                <c:ptCount val="3"/>
                <c:pt idx="0">
                  <c:v>0.18</c:v>
                </c:pt>
                <c:pt idx="1">
                  <c:v>0.21</c:v>
                </c:pt>
                <c:pt idx="2">
                  <c:v>0.18</c:v>
                </c:pt>
              </c:numCache>
            </c:numRef>
          </c:val>
          <c:extLst xmlns:c16r2="http://schemas.microsoft.com/office/drawing/2015/06/chart">
            <c:ext xmlns:c16="http://schemas.microsoft.com/office/drawing/2014/chart" uri="{C3380CC4-5D6E-409C-BE32-E72D297353CC}">
              <c16:uniqueId val="{00000000-9E7E-43DB-BBB2-39C12AC8F217}"/>
            </c:ext>
          </c:extLst>
        </c:ser>
        <c:ser>
          <c:idx val="1"/>
          <c:order val="1"/>
          <c:tx>
            <c:strRef>
              <c:f>'Fig19'!$A$3</c:f>
              <c:strCache>
                <c:ptCount val="1"/>
                <c:pt idx="0">
                  <c:v>White non-Hispanic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'Fig19'!$B$1:$D$1</c:f>
              <c:strCache>
                <c:ptCount val="3"/>
                <c:pt idx="0">
                  <c:v>Massachusetts</c:v>
                </c:pt>
                <c:pt idx="1">
                  <c:v>Boston </c:v>
                </c:pt>
                <c:pt idx="2">
                  <c:v>Massachusetts, Excluding Boston</c:v>
                </c:pt>
              </c:strCache>
            </c:strRef>
          </c:cat>
          <c:val>
            <c:numRef>
              <c:f>'Fig19'!$B$3:$D$3</c:f>
              <c:numCache>
                <c:formatCode>0%</c:formatCode>
                <c:ptCount val="3"/>
                <c:pt idx="0">
                  <c:v>0.19</c:v>
                </c:pt>
                <c:pt idx="1">
                  <c:v>0.24</c:v>
                </c:pt>
                <c:pt idx="2">
                  <c:v>0.18</c:v>
                </c:pt>
              </c:numCache>
            </c:numRef>
          </c:val>
          <c:extLst xmlns:c16r2="http://schemas.microsoft.com/office/drawing/2015/06/chart">
            <c:ext xmlns:c16="http://schemas.microsoft.com/office/drawing/2014/chart" uri="{C3380CC4-5D6E-409C-BE32-E72D297353CC}">
              <c16:uniqueId val="{00000001-9E7E-43DB-BBB2-39C12AC8F217}"/>
            </c:ext>
          </c:extLst>
        </c:ser>
        <c:ser>
          <c:idx val="2"/>
          <c:order val="2"/>
          <c:tx>
            <c:strRef>
              <c:f>'Fig19'!$A$4</c:f>
              <c:strCache>
                <c:ptCount val="1"/>
                <c:pt idx="0">
                  <c:v>Black non-Hispanic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'Fig19'!$B$1:$D$1</c:f>
              <c:strCache>
                <c:ptCount val="3"/>
                <c:pt idx="0">
                  <c:v>Massachusetts</c:v>
                </c:pt>
                <c:pt idx="1">
                  <c:v>Boston </c:v>
                </c:pt>
                <c:pt idx="2">
                  <c:v>Massachusetts, Excluding Boston</c:v>
                </c:pt>
              </c:strCache>
            </c:strRef>
          </c:cat>
          <c:val>
            <c:numRef>
              <c:f>'Fig19'!$B$4:$D$4</c:f>
              <c:numCache>
                <c:formatCode>0%</c:formatCode>
                <c:ptCount val="3"/>
                <c:pt idx="0">
                  <c:v>0.12</c:v>
                </c:pt>
                <c:pt idx="1">
                  <c:v>0.08</c:v>
                </c:pt>
                <c:pt idx="2">
                  <c:v>0.14000000000000001</c:v>
                </c:pt>
              </c:numCache>
            </c:numRef>
          </c:val>
          <c:extLst xmlns:c16r2="http://schemas.microsoft.com/office/drawing/2015/06/chart">
            <c:ext xmlns:c16="http://schemas.microsoft.com/office/drawing/2014/chart" uri="{C3380CC4-5D6E-409C-BE32-E72D297353CC}">
              <c16:uniqueId val="{00000002-9E7E-43DB-BBB2-39C12AC8F217}"/>
            </c:ext>
          </c:extLst>
        </c:ser>
        <c:ser>
          <c:idx val="3"/>
          <c:order val="3"/>
          <c:tx>
            <c:strRef>
              <c:f>'Fig19'!$A$5</c:f>
              <c:strCache>
                <c:ptCount val="1"/>
                <c:pt idx="0">
                  <c:v>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'Fig19'!$B$1:$D$1</c:f>
              <c:strCache>
                <c:ptCount val="3"/>
                <c:pt idx="0">
                  <c:v>Massachusetts</c:v>
                </c:pt>
                <c:pt idx="1">
                  <c:v>Boston </c:v>
                </c:pt>
                <c:pt idx="2">
                  <c:v>Massachusetts, Excluding Boston</c:v>
                </c:pt>
              </c:strCache>
            </c:strRef>
          </c:cat>
          <c:val>
            <c:numRef>
              <c:f>'Fig19'!$B$5:$D$5</c:f>
              <c:numCache>
                <c:formatCode>0%</c:formatCode>
                <c:ptCount val="3"/>
                <c:pt idx="0">
                  <c:v>0.19</c:v>
                </c:pt>
                <c:pt idx="1">
                  <c:v>0.25</c:v>
                </c:pt>
                <c:pt idx="2">
                  <c:v>0.18</c:v>
                </c:pt>
              </c:numCache>
            </c:numRef>
          </c:val>
          <c:extLst xmlns:c16r2="http://schemas.microsoft.com/office/drawing/2015/06/chart">
            <c:ext xmlns:c16="http://schemas.microsoft.com/office/drawing/2014/chart" uri="{C3380CC4-5D6E-409C-BE32-E72D297353CC}">
              <c16:uniqueId val="{00000003-9E7E-43DB-BBB2-39C12AC8F217}"/>
            </c:ext>
          </c:extLst>
        </c:ser>
        <c:ser>
          <c:idx val="4"/>
          <c:order val="4"/>
          <c:tx>
            <c:strRef>
              <c:f>'Fig19'!$A$6</c:f>
              <c:strCache>
                <c:ptCount val="1"/>
                <c:pt idx="0">
                  <c:v>Other*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'Fig19'!$B$1:$D$1</c:f>
              <c:strCache>
                <c:ptCount val="3"/>
                <c:pt idx="0">
                  <c:v>Massachusetts</c:v>
                </c:pt>
                <c:pt idx="1">
                  <c:v>Boston </c:v>
                </c:pt>
                <c:pt idx="2">
                  <c:v>Massachusetts, Excluding Boston</c:v>
                </c:pt>
              </c:strCache>
            </c:strRef>
          </c:cat>
          <c:val>
            <c:numRef>
              <c:f>'Fig19'!$B$6:$D$6</c:f>
              <c:numCache>
                <c:formatCode>0%</c:formatCode>
                <c:ptCount val="3"/>
                <c:pt idx="0">
                  <c:v>0.11</c:v>
                </c:pt>
                <c:pt idx="1">
                  <c:v>0.12</c:v>
                </c:pt>
                <c:pt idx="2">
                  <c:v>0.11</c:v>
                </c:pt>
              </c:numCache>
            </c:numRef>
          </c:val>
          <c:extLst xmlns:c16r2="http://schemas.microsoft.com/office/drawing/2015/06/chart">
            <c:ext xmlns:c16="http://schemas.microsoft.com/office/drawing/2014/chart" uri="{C3380CC4-5D6E-409C-BE32-E72D297353CC}">
              <c16:uniqueId val="{00000004-9E7E-43DB-BBB2-39C12AC8F217}"/>
            </c:ext>
          </c:extLst>
        </c:ser>
        <c:dLbls>
          <c:showLegendKey val="0"/>
          <c:showVal val="0"/>
          <c:showCatName val="0"/>
          <c:showSerName val="0"/>
          <c:showPercent val="0"/>
          <c:showBubbleSize val="0"/>
        </c:dLbls>
        <c:gapWidth val="75"/>
        <c:overlap val="-25"/>
        <c:axId val="382637568"/>
        <c:axId val="382639104"/>
      </c:barChart>
      <c:catAx>
        <c:axId val="382637568"/>
        <c:scaling>
          <c:orientation val="minMax"/>
        </c:scaling>
        <c:delete val="0"/>
        <c:axPos val="b"/>
        <c:numFmt formatCode="General" sourceLinked="0"/>
        <c:majorTickMark val="none"/>
        <c:minorTickMark val="none"/>
        <c:tickLblPos val="nextTo"/>
        <c:spPr>
          <a:ln>
            <a:solidFill>
              <a:schemeClr val="bg1">
                <a:lumMod val="50000"/>
              </a:schemeClr>
            </a:solidFill>
          </a:ln>
        </c:spPr>
        <c:crossAx val="382639104"/>
        <c:crosses val="autoZero"/>
        <c:auto val="1"/>
        <c:lblAlgn val="ctr"/>
        <c:lblOffset val="100"/>
        <c:noMultiLvlLbl val="0"/>
      </c:catAx>
      <c:valAx>
        <c:axId val="382639104"/>
        <c:scaling>
          <c:orientation val="minMax"/>
        </c:scaling>
        <c:delete val="0"/>
        <c:axPos val="l"/>
        <c:majorGridlines>
          <c:spPr>
            <a:ln>
              <a:noFill/>
            </a:ln>
          </c:spPr>
        </c:majorGridlines>
        <c:numFmt formatCode="0%" sourceLinked="1"/>
        <c:majorTickMark val="none"/>
        <c:minorTickMark val="none"/>
        <c:tickLblPos val="nextTo"/>
        <c:spPr>
          <a:ln w="9525">
            <a:solidFill>
              <a:schemeClr val="bg1">
                <a:lumMod val="50000"/>
              </a:schemeClr>
            </a:solidFill>
          </a:ln>
        </c:spPr>
        <c:crossAx val="382637568"/>
        <c:crosses val="autoZero"/>
        <c:crossBetween val="between"/>
      </c:valAx>
    </c:plotArea>
    <c:legend>
      <c:legendPos val="b"/>
      <c:layout>
        <c:manualLayout>
          <c:xMode val="edge"/>
          <c:yMode val="edge"/>
          <c:x val="5.5022070067328538E-2"/>
          <c:y val="0.80412707032310615"/>
          <c:w val="0.89999990114230066"/>
          <c:h val="6.9583109750203986E-2"/>
        </c:manualLayout>
      </c:layout>
      <c:overlay val="0"/>
    </c:legend>
    <c:plotVisOnly val="1"/>
    <c:dispBlanksAs val="gap"/>
    <c:showDLblsOverMax val="0"/>
  </c:chart>
  <c:spPr>
    <a:ln>
      <a:noFill/>
    </a:ln>
  </c:sp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'Fig25'!$A$22</c:f>
              <c:strCache>
                <c:ptCount val="1"/>
                <c:pt idx="0">
                  <c:v>Fatal OD</c:v>
                </c:pt>
              </c:strCache>
            </c:strRef>
          </c:tx>
          <c:invertIfNegative val="0"/>
          <c:dLbls>
            <c:showLegendKey val="0"/>
            <c:showVal val="1"/>
            <c:showCatName val="0"/>
            <c:showSerName val="0"/>
            <c:showPercent val="0"/>
            <c:showBubbleSize val="0"/>
            <c:showLeaderLines val="0"/>
          </c:dLbls>
          <c:cat>
            <c:strRef>
              <c:f>'Fig25'!$B$21:$F$21</c:f>
              <c:strCache>
                <c:ptCount val="5"/>
                <c:pt idx="0">
                  <c:v>Total MassHealth Population (N=1,955,546)</c:v>
                </c:pt>
                <c:pt idx="1">
                  <c:v>Homeless Only (N=77,150)</c:v>
                </c:pt>
                <c:pt idx="2">
                  <c:v>Criminal Justice Involved Only (N=24,052)</c:v>
                </c:pt>
                <c:pt idx="3">
                  <c:v>Both Homeless and Criminal Justice Involved (N=14,015)</c:v>
                </c:pt>
                <c:pt idx="4">
                  <c:v>Neither Homeless or Criminal Justice Involved (N=1,221,043)</c:v>
                </c:pt>
              </c:strCache>
            </c:strRef>
          </c:cat>
          <c:val>
            <c:numRef>
              <c:f>'Fig25'!$B$22:$F$22</c:f>
              <c:numCache>
                <c:formatCode>0%</c:formatCode>
                <c:ptCount val="5"/>
                <c:pt idx="0" formatCode="0.0%">
                  <c:v>2E-3</c:v>
                </c:pt>
                <c:pt idx="1">
                  <c:v>1.4E-2</c:v>
                </c:pt>
                <c:pt idx="2" formatCode="0.0%">
                  <c:v>0</c:v>
                </c:pt>
                <c:pt idx="3">
                  <c:v>2.7E-2</c:v>
                </c:pt>
                <c:pt idx="4" formatCode="0.0%">
                  <c:v>1E-3</c:v>
                </c:pt>
              </c:numCache>
            </c:numRef>
          </c:val>
        </c:ser>
        <c:ser>
          <c:idx val="1"/>
          <c:order val="1"/>
          <c:tx>
            <c:strRef>
              <c:f>'Fig25'!$A$23</c:f>
              <c:strCache>
                <c:ptCount val="1"/>
                <c:pt idx="0">
                  <c:v>Non-Fatal OD</c:v>
                </c:pt>
              </c:strCache>
            </c:strRef>
          </c:tx>
          <c:invertIfNegative val="0"/>
          <c:dLbls>
            <c:showLegendKey val="0"/>
            <c:showVal val="1"/>
            <c:showCatName val="0"/>
            <c:showSerName val="0"/>
            <c:showPercent val="0"/>
            <c:showBubbleSize val="0"/>
            <c:showLeaderLines val="0"/>
          </c:dLbls>
          <c:cat>
            <c:strRef>
              <c:f>'Fig25'!$B$21:$F$21</c:f>
              <c:strCache>
                <c:ptCount val="5"/>
                <c:pt idx="0">
                  <c:v>Total MassHealth Population (N=1,955,546)</c:v>
                </c:pt>
                <c:pt idx="1">
                  <c:v>Homeless Only (N=77,150)</c:v>
                </c:pt>
                <c:pt idx="2">
                  <c:v>Criminal Justice Involved Only (N=24,052)</c:v>
                </c:pt>
                <c:pt idx="3">
                  <c:v>Both Homeless and Criminal Justice Involved (N=14,015)</c:v>
                </c:pt>
                <c:pt idx="4">
                  <c:v>Neither Homeless or Criminal Justice Involved (N=1,221,043)</c:v>
                </c:pt>
              </c:strCache>
            </c:strRef>
          </c:cat>
          <c:val>
            <c:numRef>
              <c:f>'Fig25'!$B$23:$F$23</c:f>
              <c:numCache>
                <c:formatCode>0%</c:formatCode>
                <c:ptCount val="5"/>
                <c:pt idx="0">
                  <c:v>1.0999999999999999E-2</c:v>
                </c:pt>
                <c:pt idx="1">
                  <c:v>9.4E-2</c:v>
                </c:pt>
                <c:pt idx="2">
                  <c:v>3.1E-2</c:v>
                </c:pt>
                <c:pt idx="3">
                  <c:v>0.23300000000000001</c:v>
                </c:pt>
                <c:pt idx="4" formatCode="0.0%">
                  <c:v>4.0000000000000001E-3</c:v>
                </c:pt>
              </c:numCache>
            </c:numRef>
          </c:val>
        </c:ser>
        <c:dLbls>
          <c:showLegendKey val="0"/>
          <c:showVal val="0"/>
          <c:showCatName val="0"/>
          <c:showSerName val="0"/>
          <c:showPercent val="0"/>
          <c:showBubbleSize val="0"/>
        </c:dLbls>
        <c:gapWidth val="150"/>
        <c:overlap val="-20"/>
        <c:axId val="383908096"/>
        <c:axId val="383918080"/>
      </c:barChart>
      <c:catAx>
        <c:axId val="383908096"/>
        <c:scaling>
          <c:orientation val="minMax"/>
        </c:scaling>
        <c:delete val="0"/>
        <c:axPos val="b"/>
        <c:majorTickMark val="out"/>
        <c:minorTickMark val="none"/>
        <c:tickLblPos val="nextTo"/>
        <c:crossAx val="383918080"/>
        <c:crosses val="autoZero"/>
        <c:auto val="1"/>
        <c:lblAlgn val="ctr"/>
        <c:lblOffset val="100"/>
        <c:noMultiLvlLbl val="0"/>
      </c:catAx>
      <c:valAx>
        <c:axId val="383918080"/>
        <c:scaling>
          <c:orientation val="minMax"/>
        </c:scaling>
        <c:delete val="0"/>
        <c:axPos val="l"/>
        <c:majorGridlines>
          <c:spPr>
            <a:ln>
              <a:noFill/>
            </a:ln>
          </c:spPr>
        </c:majorGridlines>
        <c:numFmt formatCode="0.0%" sourceLinked="1"/>
        <c:majorTickMark val="out"/>
        <c:minorTickMark val="none"/>
        <c:tickLblPos val="nextTo"/>
        <c:crossAx val="38390809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067449116030308"/>
          <c:y val="5.0142441143649658E-2"/>
          <c:w val="0.5253165288301227"/>
          <c:h val="0.7137369626549489"/>
        </c:manualLayout>
      </c:layout>
      <c:barChart>
        <c:barDir val="bar"/>
        <c:grouping val="clustered"/>
        <c:varyColors val="0"/>
        <c:ser>
          <c:idx val="0"/>
          <c:order val="0"/>
          <c:tx>
            <c:strRef>
              <c:f>'new Fig26'!$B$2</c:f>
              <c:strCache>
                <c:ptCount val="1"/>
                <c:pt idx="0">
                  <c:v>Total Members</c:v>
                </c:pt>
              </c:strCache>
            </c:strRef>
          </c:tx>
          <c:spPr>
            <a:solidFill>
              <a:schemeClr val="accent3"/>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Fig26'!$A$3:$A$6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Fig26'!$B$3:$B$6</c:f>
              <c:numCache>
                <c:formatCode>_("$"* #,##0_);_("$"* \(#,##0\);_("$"* "-"??_);_(@_)</c:formatCode>
                <c:ptCount val="4"/>
                <c:pt idx="0">
                  <c:v>428</c:v>
                </c:pt>
                <c:pt idx="1">
                  <c:v>399</c:v>
                </c:pt>
                <c:pt idx="2">
                  <c:v>1097</c:v>
                </c:pt>
                <c:pt idx="3">
                  <c:v>659</c:v>
                </c:pt>
              </c:numCache>
            </c:numRef>
          </c:val>
          <c:extLst xmlns:c16r2="http://schemas.microsoft.com/office/drawing/2015/06/chart">
            <c:ext xmlns:c16="http://schemas.microsoft.com/office/drawing/2014/chart" uri="{C3380CC4-5D6E-409C-BE32-E72D297353CC}">
              <c16:uniqueId val="{00000000-D118-4BF8-BC92-F0CFB73C53CF}"/>
            </c:ext>
          </c:extLst>
        </c:ser>
        <c:ser>
          <c:idx val="1"/>
          <c:order val="1"/>
          <c:tx>
            <c:strRef>
              <c:f>'new Fig26'!$C$2</c:f>
              <c:strCache>
                <c:ptCount val="1"/>
                <c:pt idx="0">
                  <c:v>Non-Fatal OD</c:v>
                </c:pt>
              </c:strCache>
            </c:strRef>
          </c:tx>
          <c:spPr>
            <a:solidFill>
              <a:schemeClr val="accent2"/>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Fig26'!$A$3:$A$6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Fig26'!$C$3:$C$6</c:f>
              <c:numCache>
                <c:formatCode>_("$"* #,##0_);_("$"* \(#,##0\);_("$"* "-"??_);_(@_)</c:formatCode>
                <c:ptCount val="4"/>
                <c:pt idx="0">
                  <c:v>1422</c:v>
                </c:pt>
                <c:pt idx="1">
                  <c:v>1293</c:v>
                </c:pt>
                <c:pt idx="2">
                  <c:v>1827</c:v>
                </c:pt>
                <c:pt idx="3">
                  <c:v>1173</c:v>
                </c:pt>
              </c:numCache>
            </c:numRef>
          </c:val>
          <c:extLst xmlns:c16r2="http://schemas.microsoft.com/office/drawing/2015/06/chart">
            <c:ext xmlns:c16="http://schemas.microsoft.com/office/drawing/2014/chart" uri="{C3380CC4-5D6E-409C-BE32-E72D297353CC}">
              <c16:uniqueId val="{00000001-D118-4BF8-BC92-F0CFB73C53CF}"/>
            </c:ext>
          </c:extLst>
        </c:ser>
        <c:ser>
          <c:idx val="2"/>
          <c:order val="2"/>
          <c:tx>
            <c:strRef>
              <c:f>'new Fig26'!$D$2</c:f>
              <c:strCache>
                <c:ptCount val="1"/>
                <c:pt idx="0">
                  <c:v>Fatal OD</c:v>
                </c:pt>
              </c:strCache>
            </c:strRef>
          </c:tx>
          <c:spPr>
            <a:solidFill>
              <a:srgbClr val="4F81BD"/>
            </a:solidFill>
          </c:spPr>
          <c:invertIfNegative val="0"/>
          <c:dPt>
            <c:idx val="4"/>
            <c:invertIfNegative val="0"/>
            <c:bubble3D val="0"/>
            <c:extLst xmlns:c16r2="http://schemas.microsoft.com/office/drawing/2015/06/chart">
              <c:ext xmlns:c16="http://schemas.microsoft.com/office/drawing/2014/chart" uri="{C3380CC4-5D6E-409C-BE32-E72D297353CC}">
                <c16:uniqueId val="{00000002-D118-4BF8-BC92-F0CFB73C53CF}"/>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Fig26'!$A$3:$A$6</c:f>
              <c:strCache>
                <c:ptCount val="4"/>
                <c:pt idx="0">
                  <c:v>Total MassHealth Population</c:v>
                </c:pt>
                <c:pt idx="1">
                  <c:v>Neither Unstable Housing or Criminal Justice Involved</c:v>
                </c:pt>
                <c:pt idx="2">
                  <c:v>Both Unstable Housing and Criminal Justice Involved</c:v>
                </c:pt>
                <c:pt idx="3">
                  <c:v>Criminal Justice Only</c:v>
                </c:pt>
              </c:strCache>
            </c:strRef>
          </c:cat>
          <c:val>
            <c:numRef>
              <c:f>'new Fig26'!$D$3:$D$6</c:f>
              <c:numCache>
                <c:formatCode>_("$"* #,##0_);_("$"* \(#,##0\);_("$"* "-"??_);_(@_)</c:formatCode>
                <c:ptCount val="4"/>
                <c:pt idx="0">
                  <c:v>1112</c:v>
                </c:pt>
                <c:pt idx="1">
                  <c:v>958</c:v>
                </c:pt>
                <c:pt idx="2">
                  <c:v>1620</c:v>
                </c:pt>
                <c:pt idx="3">
                  <c:v>1058</c:v>
                </c:pt>
              </c:numCache>
            </c:numRef>
          </c:val>
          <c:extLst xmlns:c16r2="http://schemas.microsoft.com/office/drawing/2015/06/chart">
            <c:ext xmlns:c16="http://schemas.microsoft.com/office/drawing/2014/chart" uri="{C3380CC4-5D6E-409C-BE32-E72D297353CC}">
              <c16:uniqueId val="{00000003-D118-4BF8-BC92-F0CFB73C53CF}"/>
            </c:ext>
          </c:extLst>
        </c:ser>
        <c:dLbls>
          <c:showLegendKey val="0"/>
          <c:showVal val="0"/>
          <c:showCatName val="0"/>
          <c:showSerName val="0"/>
          <c:showPercent val="0"/>
          <c:showBubbleSize val="0"/>
        </c:dLbls>
        <c:gapWidth val="150"/>
        <c:axId val="385028096"/>
        <c:axId val="385029632"/>
      </c:barChart>
      <c:catAx>
        <c:axId val="385028096"/>
        <c:scaling>
          <c:orientation val="minMax"/>
        </c:scaling>
        <c:delete val="0"/>
        <c:axPos val="l"/>
        <c:numFmt formatCode="General" sourceLinked="1"/>
        <c:majorTickMark val="out"/>
        <c:minorTickMark val="none"/>
        <c:tickLblPos val="nextTo"/>
        <c:crossAx val="385029632"/>
        <c:crosses val="autoZero"/>
        <c:auto val="1"/>
        <c:lblAlgn val="ctr"/>
        <c:lblOffset val="100"/>
        <c:noMultiLvlLbl val="0"/>
      </c:catAx>
      <c:valAx>
        <c:axId val="385029632"/>
        <c:scaling>
          <c:orientation val="minMax"/>
        </c:scaling>
        <c:delete val="0"/>
        <c:axPos val="b"/>
        <c:numFmt formatCode="_(&quot;$&quot;* #,##0_);_(&quot;$&quot;* \(#,##0\);_(&quot;$&quot;* &quot;-&quot;??_);_(@_)" sourceLinked="1"/>
        <c:majorTickMark val="out"/>
        <c:minorTickMark val="none"/>
        <c:tickLblPos val="nextTo"/>
        <c:crossAx val="385028096"/>
        <c:crosses val="autoZero"/>
        <c:crossBetween val="between"/>
      </c:valAx>
      <c:spPr>
        <a:noFill/>
        <a:ln w="25400">
          <a:noFill/>
        </a:ln>
      </c:spPr>
    </c:plotArea>
    <c:legend>
      <c:legendPos val="r"/>
      <c:layout>
        <c:manualLayout>
          <c:xMode val="edge"/>
          <c:yMode val="edge"/>
          <c:x val="0.27469656692913386"/>
          <c:y val="0.89145571456524231"/>
          <c:w val="0.62257805774278219"/>
          <c:h val="0.10597709990621351"/>
        </c:manualLayout>
      </c:layout>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20785382596408"/>
          <c:y val="1.0459001903112644E-3"/>
          <c:w val="0.70013830002018973"/>
          <c:h val="0.59482407090418044"/>
        </c:manualLayout>
      </c:layout>
      <c:barChart>
        <c:barDir val="bar"/>
        <c:grouping val="clustered"/>
        <c:varyColors val="0"/>
        <c:ser>
          <c:idx val="0"/>
          <c:order val="0"/>
          <c:tx>
            <c:strRef>
              <c:f>'new Fig27'!$F$7</c:f>
              <c:strCache>
                <c:ptCount val="1"/>
                <c:pt idx="0">
                  <c:v>Homeless</c:v>
                </c:pt>
              </c:strCache>
            </c:strRef>
          </c:tx>
          <c:spPr>
            <a:solidFill>
              <a:schemeClr val="accent1"/>
            </a:solidFill>
          </c:spPr>
          <c:invertIfNegative val="0"/>
          <c:dLbls>
            <c:dLbl>
              <c:idx val="0"/>
              <c:layout>
                <c:manualLayout>
                  <c:x val="1.6088486676721969E-2"/>
                  <c:y val="-7.9424854501882912E-4"/>
                </c:manualLayout>
              </c:layout>
              <c:numFmt formatCode="#,##0.0" sourceLinked="0"/>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29F-442F-82CB-3217A07531B3}"/>
                </c:ext>
              </c:extLst>
            </c:dLbl>
            <c:dLbl>
              <c:idx val="1"/>
              <c:layout>
                <c:manualLayout>
                  <c:x val="1.8099547511312219E-2"/>
                  <c:y val="4.3014188443835826E-3"/>
                </c:manualLayout>
              </c:layout>
              <c:numFmt formatCode="#,##0.0" sourceLinked="0"/>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29F-442F-82CB-3217A07531B3}"/>
                </c:ext>
              </c:extLst>
            </c:dLbl>
            <c:dLbl>
              <c:idx val="2"/>
              <c:layout>
                <c:manualLayout>
                  <c:x val="2.413273001508295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29F-442F-82CB-3217A07531B3}"/>
                </c:ext>
              </c:extLst>
            </c:dLbl>
            <c:dLbl>
              <c:idx val="3"/>
              <c:layout>
                <c:manualLayout>
                  <c:x val="0.12870789341377575"/>
                  <c:y val="4.5821446232264442E-3"/>
                </c:manualLayout>
              </c:layout>
              <c:numFmt formatCode="#,##0.0" sourceLinked="0"/>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29F-442F-82CB-3217A07531B3}"/>
                </c:ext>
              </c:extLst>
            </c:dLbl>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'new Fig27'!$H$16:$H$19</c:f>
                <c:numCache>
                  <c:formatCode>General</c:formatCode>
                  <c:ptCount val="4"/>
                  <c:pt idx="0">
                    <c:v>0.18000000000000016</c:v>
                  </c:pt>
                  <c:pt idx="1">
                    <c:v>0.25</c:v>
                  </c:pt>
                  <c:pt idx="2">
                    <c:v>0.20000000000000018</c:v>
                  </c:pt>
                  <c:pt idx="3">
                    <c:v>1.6400000000000006</c:v>
                  </c:pt>
                </c:numCache>
              </c:numRef>
            </c:plus>
            <c:minus>
              <c:numRef>
                <c:f>'new Fig27'!$G$16:$G$19</c:f>
                <c:numCache>
                  <c:formatCode>General</c:formatCode>
                  <c:ptCount val="4"/>
                  <c:pt idx="0">
                    <c:v>0.15999999999999992</c:v>
                  </c:pt>
                  <c:pt idx="1">
                    <c:v>0.22999999999999954</c:v>
                  </c:pt>
                  <c:pt idx="2">
                    <c:v>0.1899999999999995</c:v>
                  </c:pt>
                  <c:pt idx="3">
                    <c:v>1.3199999999999994</c:v>
                  </c:pt>
                </c:numCache>
              </c:numRef>
            </c:minus>
            <c:spPr>
              <a:ln>
                <a:solidFill>
                  <a:schemeClr val="tx2"/>
                </a:solidFill>
              </a:ln>
            </c:spPr>
          </c:errBars>
          <c:cat>
            <c:strRef>
              <c:f>'new Fig27'!$G$4:$J$4</c:f>
              <c:strCache>
                <c:ptCount val="4"/>
                <c:pt idx="0">
                  <c:v>Fatal Opioid Overdose Only</c:v>
                </c:pt>
                <c:pt idx="1">
                  <c:v>NFO Only</c:v>
                </c:pt>
                <c:pt idx="2">
                  <c:v>Having any Opioid Overdose
 (Fatal or Non-Fatal)</c:v>
                </c:pt>
                <c:pt idx="3">
                  <c:v>NFO Followed by a Fatal Overdose</c:v>
                </c:pt>
              </c:strCache>
            </c:strRef>
          </c:cat>
          <c:val>
            <c:numRef>
              <c:f>'new Fig27'!$G$7:$J$7</c:f>
              <c:numCache>
                <c:formatCode>General</c:formatCode>
                <c:ptCount val="4"/>
                <c:pt idx="0">
                  <c:v>1.64</c:v>
                </c:pt>
                <c:pt idx="1">
                  <c:v>5.68</c:v>
                </c:pt>
                <c:pt idx="2">
                  <c:v>5.0599999999999996</c:v>
                </c:pt>
                <c:pt idx="3">
                  <c:v>6.93</c:v>
                </c:pt>
              </c:numCache>
            </c:numRef>
          </c:val>
          <c:extLst xmlns:c16r2="http://schemas.microsoft.com/office/drawing/2015/06/chart">
            <c:ext xmlns:c16="http://schemas.microsoft.com/office/drawing/2014/chart" uri="{C3380CC4-5D6E-409C-BE32-E72D297353CC}">
              <c16:uniqueId val="{00000004-229F-442F-82CB-3217A07531B3}"/>
            </c:ext>
          </c:extLst>
        </c:ser>
        <c:dLbls>
          <c:showLegendKey val="0"/>
          <c:showVal val="0"/>
          <c:showCatName val="0"/>
          <c:showSerName val="0"/>
          <c:showPercent val="0"/>
          <c:showBubbleSize val="0"/>
        </c:dLbls>
        <c:gapWidth val="310"/>
        <c:axId val="385046016"/>
        <c:axId val="385047552"/>
      </c:barChart>
      <c:catAx>
        <c:axId val="385046016"/>
        <c:scaling>
          <c:orientation val="minMax"/>
        </c:scaling>
        <c:delete val="0"/>
        <c:axPos val="l"/>
        <c:numFmt formatCode="General" sourceLinked="1"/>
        <c:majorTickMark val="none"/>
        <c:minorTickMark val="none"/>
        <c:tickLblPos val="nextTo"/>
        <c:txPr>
          <a:bodyPr/>
          <a:lstStyle/>
          <a:p>
            <a:pPr>
              <a:defRPr sz="1000"/>
            </a:pPr>
            <a:endParaRPr lang="en-US"/>
          </a:p>
        </c:txPr>
        <c:crossAx val="385047552"/>
        <c:crosses val="autoZero"/>
        <c:auto val="1"/>
        <c:lblAlgn val="ctr"/>
        <c:lblOffset val="100"/>
        <c:noMultiLvlLbl val="0"/>
      </c:catAx>
      <c:valAx>
        <c:axId val="38504755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00" b="0" i="0" u="none" strike="noStrike" baseline="0"/>
                  <a:t>Adjusted Odds Ratio</a:t>
                </a:r>
                <a:r>
                  <a:rPr lang="en-US" sz="1800" b="0" i="0" u="none" strike="noStrike" baseline="0"/>
                  <a:t>	</a:t>
                </a:r>
              </a:p>
            </c:rich>
          </c:tx>
          <c:overlay val="0"/>
        </c:title>
        <c:numFmt formatCode="General" sourceLinked="1"/>
        <c:majorTickMark val="out"/>
        <c:minorTickMark val="none"/>
        <c:tickLblPos val="nextTo"/>
        <c:crossAx val="385046016"/>
        <c:crosses val="autoZero"/>
        <c:crossBetween val="between"/>
      </c:valAx>
    </c:plotArea>
    <c:plotVisOnly val="1"/>
    <c:dispBlanksAs val="gap"/>
    <c:showDLblsOverMax val="0"/>
  </c:chart>
  <c:spPr>
    <a:ln>
      <a:noFill/>
    </a:ln>
  </c:sp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'Fig30'!$M$4:$O$4</c:f>
              <c:strCache>
                <c:ptCount val="3"/>
                <c:pt idx="0">
                  <c:v>OUD and overdose</c:v>
                </c:pt>
                <c:pt idx="1">
                  <c:v>OUD but no overdose</c:v>
                </c:pt>
                <c:pt idx="2">
                  <c:v>NO OUD</c:v>
                </c:pt>
              </c:strCache>
            </c:strRef>
          </c:cat>
          <c:val>
            <c:numRef>
              <c:f>'Fig30'!$M$5:$O$5</c:f>
              <c:numCache>
                <c:formatCode>0.0%</c:formatCode>
                <c:ptCount val="3"/>
                <c:pt idx="0">
                  <c:v>0.79100000000000004</c:v>
                </c:pt>
                <c:pt idx="1">
                  <c:v>0.34200000000000003</c:v>
                </c:pt>
                <c:pt idx="2">
                  <c:v>1.6500000000000001E-2</c:v>
                </c:pt>
              </c:numCache>
            </c:numRef>
          </c:val>
        </c:ser>
        <c:dLbls>
          <c:showLegendKey val="0"/>
          <c:showVal val="0"/>
          <c:showCatName val="0"/>
          <c:showSerName val="0"/>
          <c:showPercent val="0"/>
          <c:showBubbleSize val="0"/>
        </c:dLbls>
        <c:gapWidth val="150"/>
        <c:axId val="385355776"/>
        <c:axId val="385357312"/>
      </c:barChart>
      <c:catAx>
        <c:axId val="385355776"/>
        <c:scaling>
          <c:orientation val="minMax"/>
        </c:scaling>
        <c:delete val="0"/>
        <c:axPos val="b"/>
        <c:majorTickMark val="out"/>
        <c:minorTickMark val="none"/>
        <c:tickLblPos val="nextTo"/>
        <c:crossAx val="385357312"/>
        <c:crosses val="autoZero"/>
        <c:auto val="1"/>
        <c:lblAlgn val="ctr"/>
        <c:lblOffset val="100"/>
        <c:noMultiLvlLbl val="0"/>
      </c:catAx>
      <c:valAx>
        <c:axId val="385357312"/>
        <c:scaling>
          <c:orientation val="minMax"/>
        </c:scaling>
        <c:delete val="0"/>
        <c:axPos val="l"/>
        <c:majorGridlines>
          <c:spPr>
            <a:ln>
              <a:noFill/>
            </a:ln>
          </c:spPr>
        </c:majorGridlines>
        <c:numFmt formatCode="0.0%" sourceLinked="1"/>
        <c:majorTickMark val="out"/>
        <c:minorTickMark val="none"/>
        <c:tickLblPos val="nextTo"/>
        <c:crossAx val="385355776"/>
        <c:crosses val="autoZero"/>
        <c:crossBetween val="between"/>
      </c:valAx>
    </c:plotArea>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82810304360644"/>
          <c:y val="1.0459001903112644E-3"/>
          <c:w val="0.79490944999219326"/>
          <c:h val="0.79772275888194388"/>
        </c:manualLayout>
      </c:layout>
      <c:barChart>
        <c:barDir val="bar"/>
        <c:grouping val="clustered"/>
        <c:varyColors val="0"/>
        <c:ser>
          <c:idx val="0"/>
          <c:order val="0"/>
          <c:tx>
            <c:strRef>
              <c:f>'new Fig31'!$B$3</c:f>
              <c:strCache>
                <c:ptCount val="1"/>
                <c:pt idx="0">
                  <c:v>Overdose rate per 100 person-years</c:v>
                </c:pt>
              </c:strCache>
            </c:strRef>
          </c:tx>
          <c:spPr>
            <a:solidFill>
              <a:schemeClr val="accent1"/>
            </a:solidFill>
          </c:spPr>
          <c:invertIfNegative val="0"/>
          <c:dLbls>
            <c:dLbl>
              <c:idx val="0"/>
              <c:layout>
                <c:manualLayout>
                  <c:x val="2.6143794989575735E-2"/>
                  <c:y val="8.4000556918894792E-17"/>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006-4F2E-9EF1-F61670CA7FC5}"/>
                </c:ext>
              </c:extLst>
            </c:dLbl>
            <c:dLbl>
              <c:idx val="1"/>
              <c:layout>
                <c:manualLayout>
                  <c:x val="1.6088489224354373E-2"/>
                  <c:y val="-4.582262268762796E-3"/>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006-4F2E-9EF1-F61670CA7FC5}"/>
                </c:ext>
              </c:extLst>
            </c:dLbl>
            <c:dLbl>
              <c:idx val="3"/>
              <c:layout>
                <c:manualLayout>
                  <c:x val="1.2066366918265799E-2"/>
                  <c:y val="4.5819014891179842E-3"/>
                </c:manualLayout>
              </c:layout>
              <c:spPr/>
              <c:txPr>
                <a:bodyPr/>
                <a:lstStyle/>
                <a:p>
                  <a:pPr>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06-4F2E-9EF1-F61670CA7F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'new Fig31'!$B$24:$B$25</c:f>
                <c:numCache>
                  <c:formatCode>General</c:formatCode>
                  <c:ptCount val="2"/>
                  <c:pt idx="0">
                    <c:v>0.69999999999999929</c:v>
                  </c:pt>
                  <c:pt idx="1">
                    <c:v>0.36859720279274022</c:v>
                  </c:pt>
                </c:numCache>
              </c:numRef>
            </c:plus>
            <c:minus>
              <c:numRef>
                <c:f>'new Fig31'!$B$24:$B$25</c:f>
                <c:numCache>
                  <c:formatCode>General</c:formatCode>
                  <c:ptCount val="2"/>
                  <c:pt idx="0">
                    <c:v>0.69999999999999929</c:v>
                  </c:pt>
                  <c:pt idx="1">
                    <c:v>0.36859720279274022</c:v>
                  </c:pt>
                </c:numCache>
              </c:numRef>
            </c:minus>
            <c:spPr>
              <a:ln>
                <a:solidFill>
                  <a:schemeClr val="tx2"/>
                </a:solidFill>
              </a:ln>
            </c:spPr>
          </c:errBars>
          <c:cat>
            <c:strRef>
              <c:f>'new Fig31'!$A$4:$A$5</c:f>
              <c:strCache>
                <c:ptCount val="2"/>
                <c:pt idx="0">
                  <c:v>Homeless</c:v>
                </c:pt>
                <c:pt idx="1">
                  <c:v>Overall</c:v>
                </c:pt>
              </c:strCache>
            </c:strRef>
          </c:cat>
          <c:val>
            <c:numRef>
              <c:f>'new Fig31'!$B$4:$B$5</c:f>
              <c:numCache>
                <c:formatCode>General</c:formatCode>
                <c:ptCount val="2"/>
                <c:pt idx="0">
                  <c:v>12.3</c:v>
                </c:pt>
                <c:pt idx="1">
                  <c:v>9.9</c:v>
                </c:pt>
              </c:numCache>
            </c:numRef>
          </c:val>
          <c:extLst xmlns:c16r2="http://schemas.microsoft.com/office/drawing/2015/06/chart">
            <c:ext xmlns:c16="http://schemas.microsoft.com/office/drawing/2014/chart" uri="{C3380CC4-5D6E-409C-BE32-E72D297353CC}">
              <c16:uniqueId val="{00000003-4006-4F2E-9EF1-F61670CA7FC5}"/>
            </c:ext>
          </c:extLst>
        </c:ser>
        <c:dLbls>
          <c:showLegendKey val="0"/>
          <c:showVal val="0"/>
          <c:showCatName val="0"/>
          <c:showSerName val="0"/>
          <c:showPercent val="0"/>
          <c:showBubbleSize val="0"/>
        </c:dLbls>
        <c:gapWidth val="310"/>
        <c:axId val="385433984"/>
        <c:axId val="385435520"/>
      </c:barChart>
      <c:catAx>
        <c:axId val="385433984"/>
        <c:scaling>
          <c:orientation val="minMax"/>
        </c:scaling>
        <c:delete val="0"/>
        <c:axPos val="l"/>
        <c:numFmt formatCode="General" sourceLinked="1"/>
        <c:majorTickMark val="none"/>
        <c:minorTickMark val="none"/>
        <c:tickLblPos val="nextTo"/>
        <c:txPr>
          <a:bodyPr/>
          <a:lstStyle/>
          <a:p>
            <a:pPr>
              <a:defRPr sz="1000"/>
            </a:pPr>
            <a:endParaRPr lang="en-US"/>
          </a:p>
        </c:txPr>
        <c:crossAx val="385435520"/>
        <c:crosses val="autoZero"/>
        <c:auto val="1"/>
        <c:lblAlgn val="ctr"/>
        <c:lblOffset val="100"/>
        <c:noMultiLvlLbl val="0"/>
      </c:catAx>
      <c:valAx>
        <c:axId val="385435520"/>
        <c:scaling>
          <c:orientation val="minMax"/>
          <c:max val="20"/>
        </c:scaling>
        <c:delete val="0"/>
        <c:axPos val="b"/>
        <c:title>
          <c:tx>
            <c:rich>
              <a:bodyPr/>
              <a:lstStyle/>
              <a:p>
                <a:pPr>
                  <a:defRPr b="0"/>
                </a:pPr>
                <a:r>
                  <a:rPr lang="en-US" b="0"/>
                  <a:t>Overdose rate per 100 person-years</a:t>
                </a:r>
              </a:p>
            </c:rich>
          </c:tx>
          <c:overlay val="0"/>
        </c:title>
        <c:numFmt formatCode="General" sourceLinked="1"/>
        <c:majorTickMark val="out"/>
        <c:minorTickMark val="none"/>
        <c:tickLblPos val="nextTo"/>
        <c:crossAx val="385433984"/>
        <c:crosses val="autoZero"/>
        <c:crossBetween val="between"/>
        <c:majorUnit val="5"/>
      </c:valAx>
    </c:plotArea>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05949256338E-2"/>
          <c:y val="2.9216127036735599E-2"/>
          <c:w val="0.87951259486229383"/>
          <c:h val="0.79200690010566543"/>
        </c:manualLayout>
      </c:layout>
      <c:barChart>
        <c:barDir val="col"/>
        <c:grouping val="clustered"/>
        <c:varyColors val="0"/>
        <c:ser>
          <c:idx val="0"/>
          <c:order val="0"/>
          <c:tx>
            <c:strRef>
              <c:f>'new Fig32'!$B$5</c:f>
              <c:strCache>
                <c:ptCount val="1"/>
                <c:pt idx="0">
                  <c:v>Likely Homeless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Fig32'!$C$4:$D$4</c:f>
              <c:strCache>
                <c:ptCount val="2"/>
                <c:pt idx="0">
                  <c:v>Buprenorphine Treatment</c:v>
                </c:pt>
                <c:pt idx="1">
                  <c:v>Methadone Treatment</c:v>
                </c:pt>
              </c:strCache>
            </c:strRef>
          </c:cat>
          <c:val>
            <c:numRef>
              <c:f>'new Fig32'!$C$5:$D$5</c:f>
              <c:numCache>
                <c:formatCode>0%</c:formatCode>
                <c:ptCount val="2"/>
                <c:pt idx="0">
                  <c:v>-0.4</c:v>
                </c:pt>
                <c:pt idx="1">
                  <c:v>-0.5</c:v>
                </c:pt>
              </c:numCache>
            </c:numRef>
          </c:val>
          <c:extLst xmlns:c16r2="http://schemas.microsoft.com/office/drawing/2015/06/chart">
            <c:ext xmlns:c16="http://schemas.microsoft.com/office/drawing/2014/chart" uri="{C3380CC4-5D6E-409C-BE32-E72D297353CC}">
              <c16:uniqueId val="{00000000-2CC5-4C68-A874-3D0918524F26}"/>
            </c:ext>
          </c:extLst>
        </c:ser>
        <c:ser>
          <c:idx val="1"/>
          <c:order val="1"/>
          <c:tx>
            <c:strRef>
              <c:f>'new Fig32'!$B$6</c:f>
              <c:strCache>
                <c:ptCount val="1"/>
                <c:pt idx="0">
                  <c:v>Less likely Homeless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Fig32'!$C$4:$D$4</c:f>
              <c:strCache>
                <c:ptCount val="2"/>
                <c:pt idx="0">
                  <c:v>Buprenorphine Treatment</c:v>
                </c:pt>
                <c:pt idx="1">
                  <c:v>Methadone Treatment</c:v>
                </c:pt>
              </c:strCache>
            </c:strRef>
          </c:cat>
          <c:val>
            <c:numRef>
              <c:f>'new Fig32'!$C$6:$D$6</c:f>
              <c:numCache>
                <c:formatCode>0%</c:formatCode>
                <c:ptCount val="2"/>
                <c:pt idx="0">
                  <c:v>-0.43</c:v>
                </c:pt>
                <c:pt idx="1">
                  <c:v>-0.61</c:v>
                </c:pt>
              </c:numCache>
            </c:numRef>
          </c:val>
          <c:extLst xmlns:c16r2="http://schemas.microsoft.com/office/drawing/2015/06/chart">
            <c:ext xmlns:c16="http://schemas.microsoft.com/office/drawing/2014/chart" uri="{C3380CC4-5D6E-409C-BE32-E72D297353CC}">
              <c16:uniqueId val="{00000001-2CC5-4C68-A874-3D0918524F26}"/>
            </c:ext>
          </c:extLst>
        </c:ser>
        <c:dLbls>
          <c:showLegendKey val="0"/>
          <c:showVal val="0"/>
          <c:showCatName val="0"/>
          <c:showSerName val="0"/>
          <c:showPercent val="0"/>
          <c:showBubbleSize val="0"/>
        </c:dLbls>
        <c:gapWidth val="150"/>
        <c:axId val="385474560"/>
        <c:axId val="385476096"/>
      </c:barChart>
      <c:catAx>
        <c:axId val="385474560"/>
        <c:scaling>
          <c:orientation val="minMax"/>
        </c:scaling>
        <c:delete val="0"/>
        <c:axPos val="b"/>
        <c:numFmt formatCode="General" sourceLinked="1"/>
        <c:majorTickMark val="out"/>
        <c:minorTickMark val="none"/>
        <c:tickLblPos val="nextTo"/>
        <c:crossAx val="385476096"/>
        <c:crosses val="autoZero"/>
        <c:auto val="1"/>
        <c:lblAlgn val="ctr"/>
        <c:lblOffset val="100"/>
        <c:noMultiLvlLbl val="0"/>
      </c:catAx>
      <c:valAx>
        <c:axId val="385476096"/>
        <c:scaling>
          <c:orientation val="minMax"/>
          <c:max val="1"/>
          <c:min val="-1"/>
        </c:scaling>
        <c:delete val="0"/>
        <c:axPos val="l"/>
        <c:numFmt formatCode="0%" sourceLinked="1"/>
        <c:majorTickMark val="out"/>
        <c:minorTickMark val="none"/>
        <c:tickLblPos val="nextTo"/>
        <c:crossAx val="385474560"/>
        <c:crosses val="autoZero"/>
        <c:crossBetween val="between"/>
        <c:majorUnit val="0.2"/>
        <c:minorUnit val="0.2"/>
      </c:valAx>
    </c:plotArea>
    <c:legend>
      <c:legendPos val="r"/>
      <c:layout>
        <c:manualLayout>
          <c:xMode val="edge"/>
          <c:yMode val="edge"/>
          <c:x val="0.18071218473256453"/>
          <c:y val="0.84825934392609526"/>
          <c:w val="0.61310388237669389"/>
          <c:h val="0.10724917449834903"/>
        </c:manualLayout>
      </c:layout>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c:spPr>
          </c:dPt>
          <c:dPt>
            <c:idx val="1"/>
            <c:bubble3D val="0"/>
            <c:spPr>
              <a:solidFill>
                <a:schemeClr val="accent2"/>
              </a:solidFill>
            </c:spPr>
          </c:dPt>
          <c:dLbls>
            <c:showLegendKey val="0"/>
            <c:showVal val="1"/>
            <c:showCatName val="0"/>
            <c:showSerName val="0"/>
            <c:showPercent val="0"/>
            <c:showBubbleSize val="0"/>
            <c:showLeaderLines val="1"/>
          </c:dLbls>
          <c:cat>
            <c:strRef>
              <c:f>'Fig33'!$H$1:$I$1</c:f>
              <c:strCache>
                <c:ptCount val="2"/>
                <c:pt idx="0">
                  <c:v>Received Residential Treatment</c:v>
                </c:pt>
                <c:pt idx="1">
                  <c:v>Did Not Receive Residential Treatment</c:v>
                </c:pt>
              </c:strCache>
            </c:strRef>
          </c:cat>
          <c:val>
            <c:numRef>
              <c:f>'Fig33'!$H$2:$I$2</c:f>
              <c:numCache>
                <c:formatCode>0%</c:formatCode>
                <c:ptCount val="2"/>
                <c:pt idx="0">
                  <c:v>0.25</c:v>
                </c:pt>
                <c:pt idx="1">
                  <c:v>0.75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'Fig34'!$C$21</c:f>
              <c:strCache>
                <c:ptCount val="1"/>
                <c:pt idx="0">
                  <c:v>Any medication</c:v>
                </c:pt>
              </c:strCache>
            </c:strRef>
          </c:tx>
          <c:invertIfNegative val="0"/>
          <c:dLbls>
            <c:showLegendKey val="0"/>
            <c:showVal val="1"/>
            <c:showCatName val="0"/>
            <c:showSerName val="0"/>
            <c:showPercent val="0"/>
            <c:showBubbleSize val="0"/>
            <c:showLeaderLines val="0"/>
          </c:dLbls>
          <c:cat>
            <c:strRef>
              <c:f>'Fig34'!$B$22:$B$24</c:f>
              <c:strCache>
                <c:ptCount val="3"/>
                <c:pt idx="0">
                  <c:v>18-21 (N=1,209)</c:v>
                </c:pt>
                <c:pt idx="1">
                  <c:v>22-25 (N=3,059)</c:v>
                </c:pt>
                <c:pt idx="2">
                  <c:v>26-45 (N=11,013)</c:v>
                </c:pt>
              </c:strCache>
            </c:strRef>
          </c:cat>
          <c:val>
            <c:numRef>
              <c:f>'Fig34'!$C$22:$C$24</c:f>
              <c:numCache>
                <c:formatCode>0%</c:formatCode>
                <c:ptCount val="3"/>
                <c:pt idx="0">
                  <c:v>0.28000000000000003</c:v>
                </c:pt>
                <c:pt idx="1">
                  <c:v>0.36</c:v>
                </c:pt>
                <c:pt idx="2">
                  <c:v>0.36</c:v>
                </c:pt>
              </c:numCache>
            </c:numRef>
          </c:val>
          <c:extLst xmlns:c16r2="http://schemas.microsoft.com/office/drawing/2015/06/chart">
            <c:ext xmlns:c16="http://schemas.microsoft.com/office/drawing/2014/chart" uri="{C3380CC4-5D6E-409C-BE32-E72D297353CC}">
              <c16:uniqueId val="{00000000-1FD8-134D-8B27-DDD5F129D867}"/>
            </c:ext>
          </c:extLst>
        </c:ser>
        <c:ser>
          <c:idx val="1"/>
          <c:order val="1"/>
          <c:tx>
            <c:strRef>
              <c:f>'Fig34'!$D$21</c:f>
              <c:strCache>
                <c:ptCount val="1"/>
                <c:pt idx="0">
                  <c:v>Methadone </c:v>
                </c:pt>
              </c:strCache>
            </c:strRef>
          </c:tx>
          <c:invertIfNegative val="0"/>
          <c:dLbls>
            <c:showLegendKey val="0"/>
            <c:showVal val="1"/>
            <c:showCatName val="0"/>
            <c:showSerName val="0"/>
            <c:showPercent val="0"/>
            <c:showBubbleSize val="0"/>
            <c:showLeaderLines val="0"/>
          </c:dLbls>
          <c:cat>
            <c:strRef>
              <c:f>'Fig34'!$B$22:$B$24</c:f>
              <c:strCache>
                <c:ptCount val="3"/>
                <c:pt idx="0">
                  <c:v>18-21 (N=1,209)</c:v>
                </c:pt>
                <c:pt idx="1">
                  <c:v>22-25 (N=3,059)</c:v>
                </c:pt>
                <c:pt idx="2">
                  <c:v>26-45 (N=11,013)</c:v>
                </c:pt>
              </c:strCache>
            </c:strRef>
          </c:cat>
          <c:val>
            <c:numRef>
              <c:f>'Fig34'!$D$22:$D$24</c:f>
              <c:numCache>
                <c:formatCode>0%</c:formatCode>
                <c:ptCount val="3"/>
                <c:pt idx="0">
                  <c:v>7.0000000000000007E-2</c:v>
                </c:pt>
                <c:pt idx="1">
                  <c:v>0.12</c:v>
                </c:pt>
                <c:pt idx="2">
                  <c:v>0.14000000000000001</c:v>
                </c:pt>
              </c:numCache>
            </c:numRef>
          </c:val>
          <c:extLst xmlns:c16r2="http://schemas.microsoft.com/office/drawing/2015/06/chart">
            <c:ext xmlns:c16="http://schemas.microsoft.com/office/drawing/2014/chart" uri="{C3380CC4-5D6E-409C-BE32-E72D297353CC}">
              <c16:uniqueId val="{00000001-1FD8-134D-8B27-DDD5F129D867}"/>
            </c:ext>
          </c:extLst>
        </c:ser>
        <c:ser>
          <c:idx val="2"/>
          <c:order val="2"/>
          <c:tx>
            <c:strRef>
              <c:f>'Fig34'!$E$21</c:f>
              <c:strCache>
                <c:ptCount val="1"/>
                <c:pt idx="0">
                  <c:v>Buprenorphine</c:v>
                </c:pt>
              </c:strCache>
            </c:strRef>
          </c:tx>
          <c:invertIfNegative val="0"/>
          <c:dLbls>
            <c:showLegendKey val="0"/>
            <c:showVal val="1"/>
            <c:showCatName val="0"/>
            <c:showSerName val="0"/>
            <c:showPercent val="0"/>
            <c:showBubbleSize val="0"/>
            <c:showLeaderLines val="0"/>
          </c:dLbls>
          <c:cat>
            <c:strRef>
              <c:f>'Fig34'!$B$22:$B$24</c:f>
              <c:strCache>
                <c:ptCount val="3"/>
                <c:pt idx="0">
                  <c:v>18-21 (N=1,209)</c:v>
                </c:pt>
                <c:pt idx="1">
                  <c:v>22-25 (N=3,059)</c:v>
                </c:pt>
                <c:pt idx="2">
                  <c:v>26-45 (N=11,013)</c:v>
                </c:pt>
              </c:strCache>
            </c:strRef>
          </c:cat>
          <c:val>
            <c:numRef>
              <c:f>'Fig34'!$E$22:$E$24</c:f>
              <c:numCache>
                <c:formatCode>0%</c:formatCode>
                <c:ptCount val="3"/>
                <c:pt idx="0">
                  <c:v>0.16</c:v>
                </c:pt>
                <c:pt idx="1">
                  <c:v>0.2</c:v>
                </c:pt>
                <c:pt idx="2">
                  <c:v>0.2</c:v>
                </c:pt>
              </c:numCache>
            </c:numRef>
          </c:val>
          <c:extLst xmlns:c16r2="http://schemas.microsoft.com/office/drawing/2015/06/chart">
            <c:ext xmlns:c16="http://schemas.microsoft.com/office/drawing/2014/chart" uri="{C3380CC4-5D6E-409C-BE32-E72D297353CC}">
              <c16:uniqueId val="{00000002-1FD8-134D-8B27-DDD5F129D867}"/>
            </c:ext>
          </c:extLst>
        </c:ser>
        <c:ser>
          <c:idx val="3"/>
          <c:order val="3"/>
          <c:tx>
            <c:strRef>
              <c:f>'Fig34'!$F$21</c:f>
              <c:strCache>
                <c:ptCount val="1"/>
                <c:pt idx="0">
                  <c:v>Naltrexone</c:v>
                </c:pt>
              </c:strCache>
            </c:strRef>
          </c:tx>
          <c:invertIfNegative val="0"/>
          <c:dLbls>
            <c:showLegendKey val="0"/>
            <c:showVal val="1"/>
            <c:showCatName val="0"/>
            <c:showSerName val="0"/>
            <c:showPercent val="0"/>
            <c:showBubbleSize val="0"/>
            <c:showLeaderLines val="0"/>
          </c:dLbls>
          <c:cat>
            <c:strRef>
              <c:f>'Fig34'!$B$22:$B$24</c:f>
              <c:strCache>
                <c:ptCount val="3"/>
                <c:pt idx="0">
                  <c:v>18-21 (N=1,209)</c:v>
                </c:pt>
                <c:pt idx="1">
                  <c:v>22-25 (N=3,059)</c:v>
                </c:pt>
                <c:pt idx="2">
                  <c:v>26-45 (N=11,013)</c:v>
                </c:pt>
              </c:strCache>
            </c:strRef>
          </c:cat>
          <c:val>
            <c:numRef>
              <c:f>'Fig34'!$F$22:$F$24</c:f>
              <c:numCache>
                <c:formatCode>0%</c:formatCode>
                <c:ptCount val="3"/>
                <c:pt idx="0">
                  <c:v>0.1</c:v>
                </c:pt>
                <c:pt idx="1">
                  <c:v>0.1</c:v>
                </c:pt>
                <c:pt idx="2">
                  <c:v>7.0000000000000007E-2</c:v>
                </c:pt>
              </c:numCache>
            </c:numRef>
          </c:val>
        </c:ser>
        <c:dLbls>
          <c:showLegendKey val="0"/>
          <c:showVal val="0"/>
          <c:showCatName val="0"/>
          <c:showSerName val="0"/>
          <c:showPercent val="0"/>
          <c:showBubbleSize val="0"/>
        </c:dLbls>
        <c:gapWidth val="219"/>
        <c:overlap val="-20"/>
        <c:axId val="385562112"/>
        <c:axId val="385563648"/>
      </c:barChart>
      <c:catAx>
        <c:axId val="38556211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385563648"/>
        <c:crosses val="autoZero"/>
        <c:auto val="1"/>
        <c:lblAlgn val="ctr"/>
        <c:lblOffset val="100"/>
        <c:noMultiLvlLbl val="0"/>
      </c:catAx>
      <c:valAx>
        <c:axId val="385563648"/>
        <c:scaling>
          <c:orientation val="minMax"/>
        </c:scaling>
        <c:delete val="0"/>
        <c:axPos val="l"/>
        <c:numFmt formatCode="0%" sourceLinked="1"/>
        <c:majorTickMark val="none"/>
        <c:minorTickMark val="none"/>
        <c:tickLblPos val="nextTo"/>
        <c:txPr>
          <a:bodyPr rot="-60000000" vert="horz"/>
          <a:lstStyle/>
          <a:p>
            <a:pPr>
              <a:defRPr/>
            </a:pPr>
            <a:endParaRPr lang="en-US"/>
          </a:p>
        </c:txPr>
        <c:crossAx val="385562112"/>
        <c:crosses val="autoZero"/>
        <c:crossBetween val="between"/>
      </c:valAx>
    </c:plotArea>
    <c:legend>
      <c:legendPos val="b"/>
      <c:layout>
        <c:manualLayout>
          <c:xMode val="edge"/>
          <c:yMode val="edge"/>
          <c:x val="0.21434978167804"/>
          <c:y val="0.90348051430280074"/>
          <c:w val="0.59785330926749014"/>
          <c:h val="7.1203030000996717E-2"/>
        </c:manualLayout>
      </c:layout>
      <c:overlay val="0"/>
      <c:txPr>
        <a:bodyPr rot="0" vert="horz"/>
        <a:lstStyle/>
        <a:p>
          <a:pPr>
            <a:defRPr/>
          </a:pPr>
          <a:endParaRPr lang="en-US"/>
        </a:p>
      </c:txPr>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0.12457110636792534"/>
          <c:w val="0.90556780402449699"/>
          <c:h val="0.75944891129290915"/>
        </c:manualLayout>
      </c:layout>
      <c:barChart>
        <c:barDir val="col"/>
        <c:grouping val="stacked"/>
        <c:varyColors val="0"/>
        <c:ser>
          <c:idx val="0"/>
          <c:order val="0"/>
          <c:tx>
            <c:strRef>
              <c:f>'new Fig35'!$M$3</c:f>
              <c:strCache>
                <c:ptCount val="1"/>
                <c:pt idx="0">
                  <c:v>One PIP</c:v>
                </c:pt>
              </c:strCache>
            </c:strRef>
          </c:tx>
          <c:invertIfNegative val="0"/>
          <c:cat>
            <c:strRef>
              <c:f>'new Fig35'!$N$2:$T$2</c:f>
              <c:strCache>
                <c:ptCount val="7"/>
                <c:pt idx="0">
                  <c:v>18-29</c:v>
                </c:pt>
                <c:pt idx="1">
                  <c:v>30-39</c:v>
                </c:pt>
                <c:pt idx="2">
                  <c:v>40-49</c:v>
                </c:pt>
                <c:pt idx="3">
                  <c:v>50-59</c:v>
                </c:pt>
                <c:pt idx="4">
                  <c:v>60-69</c:v>
                </c:pt>
                <c:pt idx="5">
                  <c:v>70-79</c:v>
                </c:pt>
                <c:pt idx="6">
                  <c:v>80+</c:v>
                </c:pt>
              </c:strCache>
            </c:strRef>
          </c:cat>
          <c:val>
            <c:numRef>
              <c:f>'new Fig35'!$N$3:$T$3</c:f>
              <c:numCache>
                <c:formatCode>0.00%</c:formatCode>
                <c:ptCount val="7"/>
                <c:pt idx="0">
                  <c:v>1.72E-2</c:v>
                </c:pt>
                <c:pt idx="1">
                  <c:v>4.4800000000000006E-2</c:v>
                </c:pt>
                <c:pt idx="2">
                  <c:v>6.3399999999999998E-2</c:v>
                </c:pt>
                <c:pt idx="3">
                  <c:v>8.2899999999999988E-2</c:v>
                </c:pt>
                <c:pt idx="4">
                  <c:v>8.6599999999999996E-2</c:v>
                </c:pt>
                <c:pt idx="5">
                  <c:v>9.0800000000000006E-2</c:v>
                </c:pt>
                <c:pt idx="6">
                  <c:v>9.9000000000000005E-2</c:v>
                </c:pt>
              </c:numCache>
            </c:numRef>
          </c:val>
          <c:extLst xmlns:c16r2="http://schemas.microsoft.com/office/drawing/2015/06/chart">
            <c:ext xmlns:c16="http://schemas.microsoft.com/office/drawing/2014/chart" uri="{C3380CC4-5D6E-409C-BE32-E72D297353CC}">
              <c16:uniqueId val="{00000000-7EB4-4A17-9F96-746054E7439A}"/>
            </c:ext>
          </c:extLst>
        </c:ser>
        <c:ser>
          <c:idx val="1"/>
          <c:order val="1"/>
          <c:tx>
            <c:strRef>
              <c:f>'new Fig35'!$M$4</c:f>
              <c:strCache>
                <c:ptCount val="1"/>
                <c:pt idx="0">
                  <c:v>Two PIPs</c:v>
                </c:pt>
              </c:strCache>
            </c:strRef>
          </c:tx>
          <c:invertIfNegative val="0"/>
          <c:cat>
            <c:strRef>
              <c:f>'new Fig35'!$N$2:$T$2</c:f>
              <c:strCache>
                <c:ptCount val="7"/>
                <c:pt idx="0">
                  <c:v>18-29</c:v>
                </c:pt>
                <c:pt idx="1">
                  <c:v>30-39</c:v>
                </c:pt>
                <c:pt idx="2">
                  <c:v>40-49</c:v>
                </c:pt>
                <c:pt idx="3">
                  <c:v>50-59</c:v>
                </c:pt>
                <c:pt idx="4">
                  <c:v>60-69</c:v>
                </c:pt>
                <c:pt idx="5">
                  <c:v>70-79</c:v>
                </c:pt>
                <c:pt idx="6">
                  <c:v>80+</c:v>
                </c:pt>
              </c:strCache>
            </c:strRef>
          </c:cat>
          <c:val>
            <c:numRef>
              <c:f>'new Fig35'!$N$4:$T$4</c:f>
              <c:numCache>
                <c:formatCode>0.00%</c:formatCode>
                <c:ptCount val="7"/>
                <c:pt idx="0">
                  <c:v>4.6999999999999993E-3</c:v>
                </c:pt>
                <c:pt idx="1">
                  <c:v>1.7000000000000001E-2</c:v>
                </c:pt>
                <c:pt idx="2">
                  <c:v>2.52E-2</c:v>
                </c:pt>
                <c:pt idx="3">
                  <c:v>3.4500000000000003E-2</c:v>
                </c:pt>
                <c:pt idx="4">
                  <c:v>3.2799999999999996E-2</c:v>
                </c:pt>
                <c:pt idx="5">
                  <c:v>3.0499999999999999E-2</c:v>
                </c:pt>
                <c:pt idx="6">
                  <c:v>2.87E-2</c:v>
                </c:pt>
              </c:numCache>
            </c:numRef>
          </c:val>
          <c:extLst xmlns:c16r2="http://schemas.microsoft.com/office/drawing/2015/06/chart">
            <c:ext xmlns:c16="http://schemas.microsoft.com/office/drawing/2014/chart" uri="{C3380CC4-5D6E-409C-BE32-E72D297353CC}">
              <c16:uniqueId val="{00000001-7EB4-4A17-9F96-746054E7439A}"/>
            </c:ext>
          </c:extLst>
        </c:ser>
        <c:ser>
          <c:idx val="2"/>
          <c:order val="2"/>
          <c:tx>
            <c:strRef>
              <c:f>'new Fig35'!$M$5</c:f>
              <c:strCache>
                <c:ptCount val="1"/>
                <c:pt idx="0">
                  <c:v>3 or more PIPs</c:v>
                </c:pt>
              </c:strCache>
            </c:strRef>
          </c:tx>
          <c:invertIfNegative val="0"/>
          <c:cat>
            <c:strRef>
              <c:f>'new Fig35'!$N$2:$T$2</c:f>
              <c:strCache>
                <c:ptCount val="7"/>
                <c:pt idx="0">
                  <c:v>18-29</c:v>
                </c:pt>
                <c:pt idx="1">
                  <c:v>30-39</c:v>
                </c:pt>
                <c:pt idx="2">
                  <c:v>40-49</c:v>
                </c:pt>
                <c:pt idx="3">
                  <c:v>50-59</c:v>
                </c:pt>
                <c:pt idx="4">
                  <c:v>60-69</c:v>
                </c:pt>
                <c:pt idx="5">
                  <c:v>70-79</c:v>
                </c:pt>
                <c:pt idx="6">
                  <c:v>80+</c:v>
                </c:pt>
              </c:strCache>
            </c:strRef>
          </c:cat>
          <c:val>
            <c:numRef>
              <c:f>'new Fig35'!$N$5:$T$5</c:f>
              <c:numCache>
                <c:formatCode>General</c:formatCode>
                <c:ptCount val="7"/>
                <c:pt idx="0">
                  <c:v>2E-3</c:v>
                </c:pt>
                <c:pt idx="1">
                  <c:v>9.7999999999999997E-3</c:v>
                </c:pt>
                <c:pt idx="2">
                  <c:v>1.4800000000000001E-2</c:v>
                </c:pt>
                <c:pt idx="3">
                  <c:v>1.9E-2</c:v>
                </c:pt>
                <c:pt idx="4">
                  <c:v>1.5300000000000001E-2</c:v>
                </c:pt>
                <c:pt idx="5">
                  <c:v>1.2E-2</c:v>
                </c:pt>
                <c:pt idx="6" formatCode="0.00%">
                  <c:v>9.0000000000000011E-3</c:v>
                </c:pt>
              </c:numCache>
            </c:numRef>
          </c:val>
          <c:extLst xmlns:c16r2="http://schemas.microsoft.com/office/drawing/2015/06/chart">
            <c:ext xmlns:c16="http://schemas.microsoft.com/office/drawing/2014/chart" uri="{C3380CC4-5D6E-409C-BE32-E72D297353CC}">
              <c16:uniqueId val="{00000002-7EB4-4A17-9F96-746054E7439A}"/>
            </c:ext>
          </c:extLst>
        </c:ser>
        <c:dLbls>
          <c:showLegendKey val="0"/>
          <c:showVal val="0"/>
          <c:showCatName val="0"/>
          <c:showSerName val="0"/>
          <c:showPercent val="0"/>
          <c:showBubbleSize val="0"/>
        </c:dLbls>
        <c:gapWidth val="150"/>
        <c:overlap val="100"/>
        <c:axId val="385590784"/>
        <c:axId val="385592320"/>
      </c:barChart>
      <c:catAx>
        <c:axId val="385590784"/>
        <c:scaling>
          <c:orientation val="minMax"/>
        </c:scaling>
        <c:delete val="0"/>
        <c:axPos val="b"/>
        <c:numFmt formatCode="General" sourceLinked="1"/>
        <c:majorTickMark val="out"/>
        <c:minorTickMark val="none"/>
        <c:tickLblPos val="nextTo"/>
        <c:crossAx val="385592320"/>
        <c:crosses val="autoZero"/>
        <c:auto val="1"/>
        <c:lblAlgn val="ctr"/>
        <c:lblOffset val="100"/>
        <c:noMultiLvlLbl val="0"/>
      </c:catAx>
      <c:valAx>
        <c:axId val="385592320"/>
        <c:scaling>
          <c:orientation val="minMax"/>
          <c:max val="0.2"/>
        </c:scaling>
        <c:delete val="0"/>
        <c:axPos val="l"/>
        <c:numFmt formatCode="0%" sourceLinked="0"/>
        <c:majorTickMark val="out"/>
        <c:minorTickMark val="none"/>
        <c:tickLblPos val="nextTo"/>
        <c:crossAx val="385590784"/>
        <c:crosses val="autoZero"/>
        <c:crossBetween val="between"/>
      </c:valAx>
      <c:spPr>
        <a:noFill/>
        <a:ln w="25400">
          <a:noFill/>
        </a:ln>
      </c:spPr>
    </c:plotArea>
    <c:legend>
      <c:legendPos val="r"/>
      <c:layout>
        <c:manualLayout>
          <c:xMode val="edge"/>
          <c:yMode val="edge"/>
          <c:x val="0.23002257070807328"/>
          <c:y val="8.4348852366608537E-3"/>
          <c:w val="0.58633273781953721"/>
          <c:h val="0.12341876728496187"/>
        </c:manualLayout>
      </c:layout>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'Fig36'!$A$4</c:f>
              <c:strCache>
                <c:ptCount val="1"/>
                <c:pt idx="0">
                  <c:v>  11-20 years</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'Fig36'!$B$3:$F$3</c:f>
              <c:strCache>
                <c:ptCount val="5"/>
                <c:pt idx="0">
                  <c:v>Criminal Justice (N=46,884)</c:v>
                </c:pt>
                <c:pt idx="1">
                  <c:v>Unstable Housing (N=193,028)</c:v>
                </c:pt>
                <c:pt idx="2">
                  <c:v>Homeless (N=91,165)</c:v>
                </c:pt>
                <c:pt idx="4">
                  <c:v>Total MassHealth Members (N=1,955,546)</c:v>
                </c:pt>
              </c:strCache>
            </c:strRef>
          </c:cat>
          <c:val>
            <c:numRef>
              <c:f>'Fig36'!$B$4:$F$4</c:f>
              <c:numCache>
                <c:formatCode>0.0%</c:formatCode>
                <c:ptCount val="5"/>
                <c:pt idx="0">
                  <c:v>8.9999999999999993E-3</c:v>
                </c:pt>
                <c:pt idx="1">
                  <c:v>0.214</c:v>
                </c:pt>
                <c:pt idx="2">
                  <c:v>3.9E-2</c:v>
                </c:pt>
                <c:pt idx="4">
                  <c:v>0.20100000000000001</c:v>
                </c:pt>
              </c:numCache>
            </c:numRef>
          </c:val>
        </c:ser>
        <c:ser>
          <c:idx val="1"/>
          <c:order val="1"/>
          <c:tx>
            <c:strRef>
              <c:f>'Fig36'!$A$5</c:f>
              <c:strCache>
                <c:ptCount val="1"/>
                <c:pt idx="0">
                  <c:v>  21-34 years</c:v>
                </c:pt>
              </c:strCache>
            </c:strRef>
          </c:tx>
          <c:spPr>
            <a:solidFill>
              <a:srgbClr val="C0504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'Fig36'!$B$3:$F$3</c:f>
              <c:strCache>
                <c:ptCount val="5"/>
                <c:pt idx="0">
                  <c:v>Criminal Justice (N=46,884)</c:v>
                </c:pt>
                <c:pt idx="1">
                  <c:v>Unstable Housing (N=193,028)</c:v>
                </c:pt>
                <c:pt idx="2">
                  <c:v>Homeless (N=91,165)</c:v>
                </c:pt>
                <c:pt idx="4">
                  <c:v>Total MassHealth Members (N=1,955,546)</c:v>
                </c:pt>
              </c:strCache>
            </c:strRef>
          </c:cat>
          <c:val>
            <c:numRef>
              <c:f>'Fig36'!$B$5:$F$5</c:f>
              <c:numCache>
                <c:formatCode>0.0%</c:formatCode>
                <c:ptCount val="5"/>
                <c:pt idx="0">
                  <c:v>0.46200000000000002</c:v>
                </c:pt>
                <c:pt idx="1">
                  <c:v>0.38300000000000001</c:v>
                </c:pt>
                <c:pt idx="2">
                  <c:v>0.30599999999999999</c:v>
                </c:pt>
                <c:pt idx="4">
                  <c:v>0.318</c:v>
                </c:pt>
              </c:numCache>
            </c:numRef>
          </c:val>
        </c:ser>
        <c:ser>
          <c:idx val="2"/>
          <c:order val="2"/>
          <c:tx>
            <c:strRef>
              <c:f>'Fig36'!$A$6</c:f>
              <c:strCache>
                <c:ptCount val="1"/>
                <c:pt idx="0">
                  <c:v>  35-64 years</c:v>
                </c:pt>
              </c:strCache>
            </c:strRef>
          </c:tx>
          <c:spPr>
            <a:solidFill>
              <a:srgbClr val="9BBB59"/>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dLbls>
          <c:cat>
            <c:strRef>
              <c:f>'Fig36'!$B$3:$F$3</c:f>
              <c:strCache>
                <c:ptCount val="5"/>
                <c:pt idx="0">
                  <c:v>Criminal Justice (N=46,884)</c:v>
                </c:pt>
                <c:pt idx="1">
                  <c:v>Unstable Housing (N=193,028)</c:v>
                </c:pt>
                <c:pt idx="2">
                  <c:v>Homeless (N=91,165)</c:v>
                </c:pt>
                <c:pt idx="4">
                  <c:v>Total MassHealth Members (N=1,955,546)</c:v>
                </c:pt>
              </c:strCache>
            </c:strRef>
          </c:cat>
          <c:val>
            <c:numRef>
              <c:f>'Fig36'!$B$6:$F$6</c:f>
              <c:numCache>
                <c:formatCode>0.0%</c:formatCode>
                <c:ptCount val="5"/>
                <c:pt idx="0">
                  <c:v>0.52900000000000003</c:v>
                </c:pt>
                <c:pt idx="1">
                  <c:v>0.40300000000000002</c:v>
                </c:pt>
                <c:pt idx="2">
                  <c:v>0.65500000000000003</c:v>
                </c:pt>
                <c:pt idx="4">
                  <c:v>0.48099999999999998</c:v>
                </c:pt>
              </c:numCache>
            </c:numRef>
          </c:val>
        </c:ser>
        <c:dLbls>
          <c:showLegendKey val="0"/>
          <c:showVal val="0"/>
          <c:showCatName val="0"/>
          <c:showSerName val="0"/>
          <c:showPercent val="0"/>
          <c:showBubbleSize val="0"/>
        </c:dLbls>
        <c:gapWidth val="35"/>
        <c:overlap val="-20"/>
        <c:axId val="382281216"/>
        <c:axId val="382282752"/>
      </c:barChart>
      <c:catAx>
        <c:axId val="382281216"/>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282752"/>
        <c:crosses val="autoZero"/>
        <c:auto val="1"/>
        <c:lblAlgn val="ctr"/>
        <c:lblOffset val="100"/>
        <c:noMultiLvlLbl val="0"/>
      </c:catAx>
      <c:valAx>
        <c:axId val="382282752"/>
        <c:scaling>
          <c:orientation val="minMax"/>
          <c:max val="1"/>
        </c:scaling>
        <c:delete val="0"/>
        <c:axPos val="l"/>
        <c:numFmt formatCode="0%" sourceLinked="0"/>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2281216"/>
        <c:crosses val="autoZero"/>
        <c:crossBetween val="between"/>
      </c:valAx>
      <c:spPr>
        <a:noFill/>
        <a:ln w="25400">
          <a:noFill/>
        </a:ln>
      </c:spPr>
    </c:plotArea>
    <c:legend>
      <c:legendPos val="b"/>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43234416544831"/>
          <c:y val="7.0264186409013288E-2"/>
          <c:w val="0.62576487314085738"/>
          <c:h val="0.74894015977260486"/>
        </c:manualLayout>
      </c:layout>
      <c:barChart>
        <c:barDir val="bar"/>
        <c:grouping val="clustered"/>
        <c:varyColors val="0"/>
        <c:ser>
          <c:idx val="0"/>
          <c:order val="0"/>
          <c:tx>
            <c:strRef>
              <c:f>'new Fig4'!$A$10</c:f>
              <c:strCache>
                <c:ptCount val="1"/>
                <c:pt idx="0">
                  <c:v>Treatment</c:v>
                </c:pt>
              </c:strCache>
            </c:strRef>
          </c:tx>
          <c:invertIfNegative val="0"/>
          <c:dPt>
            <c:idx val="0"/>
            <c:invertIfNegative val="0"/>
            <c:bubble3D val="0"/>
            <c:spPr>
              <a:solidFill>
                <a:schemeClr val="accent3"/>
              </a:solidFill>
            </c:spPr>
          </c:dPt>
          <c:dPt>
            <c:idx val="1"/>
            <c:invertIfNegative val="0"/>
            <c:bubble3D val="0"/>
            <c:spPr>
              <a:solidFill>
                <a:schemeClr val="accent2"/>
              </a:solidFill>
            </c:spPr>
          </c:dPt>
          <c:dPt>
            <c:idx val="2"/>
            <c:invertIfNegative val="0"/>
            <c:bubble3D val="0"/>
          </c:dPt>
          <c:dPt>
            <c:idx val="4"/>
            <c:invertIfNegative val="0"/>
            <c:bubble3D val="0"/>
            <c:spPr>
              <a:solidFill>
                <a:schemeClr val="accent3"/>
              </a:solidFill>
            </c:spPr>
          </c:dPt>
          <c:dPt>
            <c:idx val="5"/>
            <c:invertIfNegative val="0"/>
            <c:bubble3D val="0"/>
            <c:spPr>
              <a:solidFill>
                <a:schemeClr val="accent2"/>
              </a:solidFill>
            </c:spPr>
          </c:dPt>
          <c:dPt>
            <c:idx val="6"/>
            <c:invertIfNegative val="0"/>
            <c:bubble3D val="0"/>
          </c:dPt>
          <c:dLbls>
            <c:showLegendKey val="0"/>
            <c:showVal val="1"/>
            <c:showCatName val="0"/>
            <c:showSerName val="0"/>
            <c:showPercent val="0"/>
            <c:showBubbleSize val="0"/>
            <c:showLeaderLines val="0"/>
          </c:dLbls>
          <c:cat>
            <c:multiLvlStrRef>
              <c:f>'new Fig4'!$B$8:$H$9</c:f>
              <c:multiLvlStrCache>
                <c:ptCount val="7"/>
                <c:lvl>
                  <c:pt idx="0">
                    <c:v>White non-Hispanic</c:v>
                  </c:pt>
                  <c:pt idx="1">
                    <c:v>Black non-Hispanic</c:v>
                  </c:pt>
                  <c:pt idx="2">
                    <c:v>Hispanic</c:v>
                  </c:pt>
                  <c:pt idx="4">
                    <c:v>White non-Hispanic</c:v>
                  </c:pt>
                  <c:pt idx="5">
                    <c:v>Black non-Hispanic</c:v>
                  </c:pt>
                  <c:pt idx="6">
                    <c:v>Hispanic</c:v>
                  </c:pt>
                </c:lvl>
                <c:lvl>
                  <c:pt idx="0">
                    <c:v>Boston</c:v>
                  </c:pt>
                  <c:pt idx="4">
                    <c:v>MA Total</c:v>
                  </c:pt>
                </c:lvl>
              </c:multiLvlStrCache>
            </c:multiLvlStrRef>
          </c:cat>
          <c:val>
            <c:numRef>
              <c:f>'new Fig4'!$B$10:$H$10</c:f>
              <c:numCache>
                <c:formatCode>General</c:formatCode>
                <c:ptCount val="7"/>
                <c:pt idx="0">
                  <c:v>1</c:v>
                </c:pt>
                <c:pt idx="1">
                  <c:v>0.47</c:v>
                </c:pt>
                <c:pt idx="2">
                  <c:v>0.66</c:v>
                </c:pt>
                <c:pt idx="4">
                  <c:v>1</c:v>
                </c:pt>
                <c:pt idx="5">
                  <c:v>0.76</c:v>
                </c:pt>
                <c:pt idx="6">
                  <c:v>0.78</c:v>
                </c:pt>
              </c:numCache>
            </c:numRef>
          </c:val>
        </c:ser>
        <c:dLbls>
          <c:showLegendKey val="0"/>
          <c:showVal val="0"/>
          <c:showCatName val="0"/>
          <c:showSerName val="0"/>
          <c:showPercent val="0"/>
          <c:showBubbleSize val="0"/>
        </c:dLbls>
        <c:gapWidth val="150"/>
        <c:axId val="382657664"/>
        <c:axId val="382659200"/>
      </c:barChart>
      <c:catAx>
        <c:axId val="382657664"/>
        <c:scaling>
          <c:orientation val="minMax"/>
        </c:scaling>
        <c:delete val="0"/>
        <c:axPos val="l"/>
        <c:numFmt formatCode="General" sourceLinked="1"/>
        <c:majorTickMark val="out"/>
        <c:minorTickMark val="none"/>
        <c:tickLblPos val="nextTo"/>
        <c:crossAx val="382659200"/>
        <c:crosses val="autoZero"/>
        <c:auto val="1"/>
        <c:lblAlgn val="ctr"/>
        <c:lblOffset val="100"/>
        <c:noMultiLvlLbl val="0"/>
      </c:catAx>
      <c:valAx>
        <c:axId val="382659200"/>
        <c:scaling>
          <c:orientation val="minMax"/>
        </c:scaling>
        <c:delete val="0"/>
        <c:axPos val="b"/>
        <c:title>
          <c:tx>
            <c:rich>
              <a:bodyPr/>
              <a:lstStyle/>
              <a:p>
                <a:pPr>
                  <a:defRPr/>
                </a:pPr>
                <a:r>
                  <a:rPr lang="en-US"/>
                  <a:t>Odds Ratio</a:t>
                </a:r>
              </a:p>
            </c:rich>
          </c:tx>
          <c:layout/>
          <c:overlay val="0"/>
        </c:title>
        <c:numFmt formatCode="General" sourceLinked="1"/>
        <c:majorTickMark val="out"/>
        <c:minorTickMark val="none"/>
        <c:tickLblPos val="nextTo"/>
        <c:crossAx val="382657664"/>
        <c:crosses val="autoZero"/>
        <c:crossBetween val="between"/>
      </c:valAx>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'Fig37'!$A$2</c:f>
              <c:strCache>
                <c:ptCount val="1"/>
                <c:pt idx="0">
                  <c:v>Filled Prescriptions at VHA Pharmacies Only</c:v>
                </c:pt>
              </c:strCache>
            </c:strRef>
          </c:tx>
          <c:invertIfNegative val="0"/>
          <c:dLbls>
            <c:showLegendKey val="0"/>
            <c:showVal val="1"/>
            <c:showCatName val="0"/>
            <c:showSerName val="0"/>
            <c:showPercent val="0"/>
            <c:showBubbleSize val="0"/>
            <c:showLeaderLines val="0"/>
          </c:dLbls>
          <c:cat>
            <c:strRef>
              <c:f>'Fig37'!$B$1:$D$1</c:f>
              <c:strCache>
                <c:ptCount val="3"/>
                <c:pt idx="0">
                  <c:v>Documented OUD</c:v>
                </c:pt>
                <c:pt idx="1">
                  <c:v>Concurrent Opioid and Benzo</c:v>
                </c:pt>
                <c:pt idx="2">
                  <c:v>High-dose opioid therapy (&gt;50 MME)</c:v>
                </c:pt>
              </c:strCache>
            </c:strRef>
          </c:cat>
          <c:val>
            <c:numRef>
              <c:f>'Fig37'!$B$2:$D$2</c:f>
              <c:numCache>
                <c:formatCode>0.0%</c:formatCode>
                <c:ptCount val="3"/>
                <c:pt idx="0">
                  <c:v>1.6E-2</c:v>
                </c:pt>
                <c:pt idx="1">
                  <c:v>8.199999999999999E-2</c:v>
                </c:pt>
                <c:pt idx="2">
                  <c:v>7.2999999999999995E-2</c:v>
                </c:pt>
              </c:numCache>
            </c:numRef>
          </c:val>
        </c:ser>
        <c:ser>
          <c:idx val="1"/>
          <c:order val="1"/>
          <c:tx>
            <c:strRef>
              <c:f>'Fig37'!$A$3</c:f>
              <c:strCache>
                <c:ptCount val="1"/>
                <c:pt idx="0">
                  <c:v>Filled Prescriptions at Both VHA and Non-VHA Pharmacies </c:v>
                </c:pt>
              </c:strCache>
            </c:strRef>
          </c:tx>
          <c:invertIfNegative val="0"/>
          <c:dLbls>
            <c:showLegendKey val="0"/>
            <c:showVal val="1"/>
            <c:showCatName val="0"/>
            <c:showSerName val="0"/>
            <c:showPercent val="0"/>
            <c:showBubbleSize val="0"/>
            <c:showLeaderLines val="0"/>
          </c:dLbls>
          <c:cat>
            <c:strRef>
              <c:f>'Fig37'!$B$1:$D$1</c:f>
              <c:strCache>
                <c:ptCount val="3"/>
                <c:pt idx="0">
                  <c:v>Documented OUD</c:v>
                </c:pt>
                <c:pt idx="1">
                  <c:v>Concurrent Opioid and Benzo</c:v>
                </c:pt>
                <c:pt idx="2">
                  <c:v>High-dose opioid therapy (&gt;50 MME)</c:v>
                </c:pt>
              </c:strCache>
            </c:strRef>
          </c:cat>
          <c:val>
            <c:numRef>
              <c:f>'Fig37'!$B$3:$D$3</c:f>
              <c:numCache>
                <c:formatCode>0.0%</c:formatCode>
                <c:ptCount val="3"/>
                <c:pt idx="0">
                  <c:v>6.8000000000000005E-2</c:v>
                </c:pt>
                <c:pt idx="1">
                  <c:v>0.34799999999999998</c:v>
                </c:pt>
                <c:pt idx="2">
                  <c:v>0.26300000000000001</c:v>
                </c:pt>
              </c:numCache>
            </c:numRef>
          </c:val>
        </c:ser>
        <c:dLbls>
          <c:showLegendKey val="0"/>
          <c:showVal val="0"/>
          <c:showCatName val="0"/>
          <c:showSerName val="0"/>
          <c:showPercent val="0"/>
          <c:showBubbleSize val="0"/>
        </c:dLbls>
        <c:gapWidth val="150"/>
        <c:overlap val="-20"/>
        <c:axId val="382333312"/>
        <c:axId val="382334848"/>
      </c:barChart>
      <c:catAx>
        <c:axId val="382333312"/>
        <c:scaling>
          <c:orientation val="minMax"/>
        </c:scaling>
        <c:delete val="0"/>
        <c:axPos val="b"/>
        <c:majorTickMark val="out"/>
        <c:minorTickMark val="none"/>
        <c:tickLblPos val="nextTo"/>
        <c:crossAx val="382334848"/>
        <c:crosses val="autoZero"/>
        <c:auto val="1"/>
        <c:lblAlgn val="ctr"/>
        <c:lblOffset val="100"/>
        <c:noMultiLvlLbl val="0"/>
      </c:catAx>
      <c:valAx>
        <c:axId val="382334848"/>
        <c:scaling>
          <c:orientation val="minMax"/>
        </c:scaling>
        <c:delete val="0"/>
        <c:axPos val="l"/>
        <c:majorGridlines>
          <c:spPr>
            <a:ln>
              <a:noFill/>
            </a:ln>
          </c:spPr>
        </c:majorGridlines>
        <c:numFmt formatCode="0.0%" sourceLinked="1"/>
        <c:majorTickMark val="out"/>
        <c:minorTickMark val="none"/>
        <c:tickLblPos val="nextTo"/>
        <c:crossAx val="382333312"/>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'Fig38'!$F$10</c:f>
              <c:strCache>
                <c:ptCount val="1"/>
                <c:pt idx="0">
                  <c:v>Veteran</c:v>
                </c:pt>
              </c:strCache>
            </c:strRef>
          </c:tx>
          <c:invertIfNegative val="0"/>
          <c:dLbls>
            <c:showLegendKey val="0"/>
            <c:showVal val="1"/>
            <c:showCatName val="0"/>
            <c:showSerName val="0"/>
            <c:showPercent val="0"/>
            <c:showBubbleSize val="0"/>
            <c:showLeaderLines val="0"/>
          </c:dLbls>
          <c:cat>
            <c:multiLvlStrRef>
              <c:f>'Fig38'!$G$8:$M$9</c:f>
              <c:multiLvlStrCache>
                <c:ptCount val="7"/>
                <c:lvl>
                  <c:pt idx="0">
                    <c:v>Opioid Prescription Prevalence</c:v>
                  </c:pt>
                  <c:pt idx="1">
                    <c:v>Concurrent Opioid and Benzo</c:v>
                  </c:pt>
                  <c:pt idx="2">
                    <c:v>3+ Months 120MME </c:v>
                  </c:pt>
                  <c:pt idx="4">
                    <c:v>Opioid Prescription Prevalence</c:v>
                  </c:pt>
                  <c:pt idx="5">
                    <c:v>Concurrent Opioid and Benzo</c:v>
                  </c:pt>
                  <c:pt idx="6">
                    <c:v>3+ Months 120MME </c:v>
                  </c:pt>
                </c:lvl>
                <c:lvl>
                  <c:pt idx="0">
                    <c:v>Homeless</c:v>
                  </c:pt>
                  <c:pt idx="4">
                    <c:v>Incarcerated</c:v>
                  </c:pt>
                </c:lvl>
              </c:multiLvlStrCache>
            </c:multiLvlStrRef>
          </c:cat>
          <c:val>
            <c:numRef>
              <c:f>'Fig38'!$G$10:$M$10</c:f>
              <c:numCache>
                <c:formatCode>0.0%</c:formatCode>
                <c:ptCount val="7"/>
                <c:pt idx="0">
                  <c:v>0.58099999999999996</c:v>
                </c:pt>
                <c:pt idx="1">
                  <c:v>0.193</c:v>
                </c:pt>
                <c:pt idx="2">
                  <c:v>0.06</c:v>
                </c:pt>
                <c:pt idx="4">
                  <c:v>0.55900000000000005</c:v>
                </c:pt>
                <c:pt idx="5">
                  <c:v>0.19800000000000001</c:v>
                </c:pt>
                <c:pt idx="6">
                  <c:v>5.0999999999999997E-2</c:v>
                </c:pt>
              </c:numCache>
            </c:numRef>
          </c:val>
        </c:ser>
        <c:ser>
          <c:idx val="1"/>
          <c:order val="1"/>
          <c:tx>
            <c:strRef>
              <c:f>'Fig38'!$F$11</c:f>
              <c:strCache>
                <c:ptCount val="1"/>
                <c:pt idx="0">
                  <c:v>Non-Veteran</c:v>
                </c:pt>
              </c:strCache>
            </c:strRef>
          </c:tx>
          <c:invertIfNegative val="0"/>
          <c:dLbls>
            <c:showLegendKey val="0"/>
            <c:showVal val="1"/>
            <c:showCatName val="0"/>
            <c:showSerName val="0"/>
            <c:showPercent val="0"/>
            <c:showBubbleSize val="0"/>
            <c:showLeaderLines val="0"/>
          </c:dLbls>
          <c:cat>
            <c:multiLvlStrRef>
              <c:f>'Fig38'!$G$8:$M$9</c:f>
              <c:multiLvlStrCache>
                <c:ptCount val="7"/>
                <c:lvl>
                  <c:pt idx="0">
                    <c:v>Opioid Prescription Prevalence</c:v>
                  </c:pt>
                  <c:pt idx="1">
                    <c:v>Concurrent Opioid and Benzo</c:v>
                  </c:pt>
                  <c:pt idx="2">
                    <c:v>3+ Months 120MME </c:v>
                  </c:pt>
                  <c:pt idx="4">
                    <c:v>Opioid Prescription Prevalence</c:v>
                  </c:pt>
                  <c:pt idx="5">
                    <c:v>Concurrent Opioid and Benzo</c:v>
                  </c:pt>
                  <c:pt idx="6">
                    <c:v>3+ Months 120MME </c:v>
                  </c:pt>
                </c:lvl>
                <c:lvl>
                  <c:pt idx="0">
                    <c:v>Homeless</c:v>
                  </c:pt>
                  <c:pt idx="4">
                    <c:v>Incarcerated</c:v>
                  </c:pt>
                </c:lvl>
              </c:multiLvlStrCache>
            </c:multiLvlStrRef>
          </c:cat>
          <c:val>
            <c:numRef>
              <c:f>'Fig38'!$G$11:$M$11</c:f>
              <c:numCache>
                <c:formatCode>0.0%</c:formatCode>
                <c:ptCount val="7"/>
                <c:pt idx="0">
                  <c:v>0.497</c:v>
                </c:pt>
                <c:pt idx="1">
                  <c:v>0.15</c:v>
                </c:pt>
                <c:pt idx="2">
                  <c:v>3.9E-2</c:v>
                </c:pt>
                <c:pt idx="4">
                  <c:v>0.42099999999999999</c:v>
                </c:pt>
                <c:pt idx="5">
                  <c:v>9.8000000000000004E-2</c:v>
                </c:pt>
                <c:pt idx="6">
                  <c:v>2.4E-2</c:v>
                </c:pt>
              </c:numCache>
            </c:numRef>
          </c:val>
        </c:ser>
        <c:dLbls>
          <c:showLegendKey val="0"/>
          <c:showVal val="0"/>
          <c:showCatName val="0"/>
          <c:showSerName val="0"/>
          <c:showPercent val="0"/>
          <c:showBubbleSize val="0"/>
        </c:dLbls>
        <c:gapWidth val="150"/>
        <c:overlap val="-20"/>
        <c:axId val="382258176"/>
        <c:axId val="382259968"/>
      </c:barChart>
      <c:catAx>
        <c:axId val="382258176"/>
        <c:scaling>
          <c:orientation val="minMax"/>
        </c:scaling>
        <c:delete val="0"/>
        <c:axPos val="b"/>
        <c:majorTickMark val="out"/>
        <c:minorTickMark val="none"/>
        <c:tickLblPos val="nextTo"/>
        <c:crossAx val="382259968"/>
        <c:crosses val="autoZero"/>
        <c:auto val="1"/>
        <c:lblAlgn val="ctr"/>
        <c:lblOffset val="100"/>
        <c:noMultiLvlLbl val="0"/>
      </c:catAx>
      <c:valAx>
        <c:axId val="382259968"/>
        <c:scaling>
          <c:orientation val="minMax"/>
        </c:scaling>
        <c:delete val="0"/>
        <c:axPos val="l"/>
        <c:majorGridlines>
          <c:spPr>
            <a:ln>
              <a:noFill/>
            </a:ln>
          </c:spPr>
        </c:majorGridlines>
        <c:numFmt formatCode="0.0%" sourceLinked="1"/>
        <c:majorTickMark val="out"/>
        <c:minorTickMark val="none"/>
        <c:tickLblPos val="nextTo"/>
        <c:crossAx val="3822581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'Fig38'!$F$4</c:f>
              <c:strCache>
                <c:ptCount val="1"/>
                <c:pt idx="0">
                  <c:v>Veteran</c:v>
                </c:pt>
              </c:strCache>
            </c:strRef>
          </c:tx>
          <c:invertIfNegative val="0"/>
          <c:dLbls>
            <c:dLbl>
              <c:idx val="0"/>
              <c:layout>
                <c:manualLayout>
                  <c:x val="-8.5744908896034297E-3"/>
                  <c:y val="0"/>
                </c:manualLayout>
              </c:layout>
              <c:showLegendKey val="0"/>
              <c:showVal val="1"/>
              <c:showCatName val="0"/>
              <c:showSerName val="0"/>
              <c:showPercent val="0"/>
              <c:showBubbleSize val="0"/>
            </c:dLbl>
            <c:dLbl>
              <c:idx val="1"/>
              <c:layout>
                <c:manualLayout>
                  <c:x val="-1.9292604501607719E-2"/>
                  <c:y val="4.3360426202261708E-3"/>
                </c:manualLayout>
              </c:layout>
              <c:showLegendKey val="0"/>
              <c:showVal val="1"/>
              <c:showCatName val="0"/>
              <c:showSerName val="0"/>
              <c:showPercent val="0"/>
              <c:showBubbleSize val="0"/>
            </c:dLbl>
            <c:dLbl>
              <c:idx val="2"/>
              <c:layout>
                <c:manualLayout>
                  <c:x val="-6.4308681672026113E-3"/>
                  <c:y val="0"/>
                </c:manualLayout>
              </c:layout>
              <c:showLegendKey val="0"/>
              <c:showVal val="1"/>
              <c:showCatName val="0"/>
              <c:showSerName val="0"/>
              <c:showPercent val="0"/>
              <c:showBubbleSize val="0"/>
            </c:dLbl>
            <c:dLbl>
              <c:idx val="4"/>
              <c:layout>
                <c:manualLayout>
                  <c:x val="-1.0718113612004365E-2"/>
                  <c:y val="0"/>
                </c:manualLayout>
              </c:layout>
              <c:showLegendKey val="0"/>
              <c:showVal val="1"/>
              <c:showCatName val="0"/>
              <c:showSerName val="0"/>
              <c:showPercent val="0"/>
              <c:showBubbleSize val="0"/>
            </c:dLbl>
            <c:dLbl>
              <c:idx val="5"/>
              <c:layout>
                <c:manualLayout>
                  <c:x val="-1.2861736334405145E-2"/>
                  <c:y val="0"/>
                </c:manualLayout>
              </c:layout>
              <c:showLegendKey val="0"/>
              <c:showVal val="1"/>
              <c:showCatName val="0"/>
              <c:showSerName val="0"/>
              <c:showPercent val="0"/>
              <c:showBubbleSize val="0"/>
            </c:dLbl>
            <c:dLbl>
              <c:idx val="6"/>
              <c:layout>
                <c:manualLayout>
                  <c:x val="-1.2861736334405145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'Fig38'!$G$2:$M$3</c:f>
              <c:multiLvlStrCache>
                <c:ptCount val="7"/>
                <c:lvl>
                  <c:pt idx="0">
                    <c:v>OUD prevalence</c:v>
                  </c:pt>
                  <c:pt idx="1">
                    <c:v>Non-Fatal Overdose</c:v>
                  </c:pt>
                  <c:pt idx="2">
                    <c:v>Fatal Overdose</c:v>
                  </c:pt>
                  <c:pt idx="4">
                    <c:v>OUD prevalence</c:v>
                  </c:pt>
                  <c:pt idx="5">
                    <c:v>Non-Fatal Overdose</c:v>
                  </c:pt>
                  <c:pt idx="6">
                    <c:v>Fatal Overdose</c:v>
                  </c:pt>
                </c:lvl>
                <c:lvl>
                  <c:pt idx="0">
                    <c:v>Homeless</c:v>
                  </c:pt>
                  <c:pt idx="4">
                    <c:v>Incarcerated</c:v>
                  </c:pt>
                </c:lvl>
              </c:multiLvlStrCache>
            </c:multiLvlStrRef>
          </c:cat>
          <c:val>
            <c:numRef>
              <c:f>'Fig38'!$G$4:$M$4</c:f>
              <c:numCache>
                <c:formatCode>0.0%</c:formatCode>
                <c:ptCount val="7"/>
                <c:pt idx="0">
                  <c:v>0.39800000000000002</c:v>
                </c:pt>
                <c:pt idx="1">
                  <c:v>0.15529999999999999</c:v>
                </c:pt>
                <c:pt idx="2">
                  <c:v>1.61E-2</c:v>
                </c:pt>
                <c:pt idx="4">
                  <c:v>0.52500000000000002</c:v>
                </c:pt>
                <c:pt idx="5">
                  <c:v>0.156</c:v>
                </c:pt>
                <c:pt idx="6">
                  <c:v>2.93E-2</c:v>
                </c:pt>
              </c:numCache>
            </c:numRef>
          </c:val>
        </c:ser>
        <c:ser>
          <c:idx val="1"/>
          <c:order val="1"/>
          <c:tx>
            <c:strRef>
              <c:f>'Fig38'!$F$5</c:f>
              <c:strCache>
                <c:ptCount val="1"/>
                <c:pt idx="0">
                  <c:v>Non-Veteran</c:v>
                </c:pt>
              </c:strCache>
            </c:strRef>
          </c:tx>
          <c:invertIfNegative val="0"/>
          <c:dLbls>
            <c:dLbl>
              <c:idx val="5"/>
              <c:layout>
                <c:manualLayout>
                  <c:x val="6.4308681672025723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'Fig38'!$G$2:$M$3</c:f>
              <c:multiLvlStrCache>
                <c:ptCount val="7"/>
                <c:lvl>
                  <c:pt idx="0">
                    <c:v>OUD prevalence</c:v>
                  </c:pt>
                  <c:pt idx="1">
                    <c:v>Non-Fatal Overdose</c:v>
                  </c:pt>
                  <c:pt idx="2">
                    <c:v>Fatal Overdose</c:v>
                  </c:pt>
                  <c:pt idx="4">
                    <c:v>OUD prevalence</c:v>
                  </c:pt>
                  <c:pt idx="5">
                    <c:v>Non-Fatal Overdose</c:v>
                  </c:pt>
                  <c:pt idx="6">
                    <c:v>Fatal Overdose</c:v>
                  </c:pt>
                </c:lvl>
                <c:lvl>
                  <c:pt idx="0">
                    <c:v>Homeless</c:v>
                  </c:pt>
                  <c:pt idx="4">
                    <c:v>Incarcerated</c:v>
                  </c:pt>
                </c:lvl>
              </c:multiLvlStrCache>
            </c:multiLvlStrRef>
          </c:cat>
          <c:val>
            <c:numRef>
              <c:f>'Fig38'!$G$5:$M$5</c:f>
              <c:numCache>
                <c:formatCode>0.0%</c:formatCode>
                <c:ptCount val="7"/>
                <c:pt idx="0">
                  <c:v>0.48110000000000003</c:v>
                </c:pt>
                <c:pt idx="1">
                  <c:v>0.13900000000000001</c:v>
                </c:pt>
                <c:pt idx="2">
                  <c:v>1.4999999999999999E-2</c:v>
                </c:pt>
                <c:pt idx="4">
                  <c:v>0.55100000000000005</c:v>
                </c:pt>
                <c:pt idx="5">
                  <c:v>0.128</c:v>
                </c:pt>
                <c:pt idx="6">
                  <c:v>1.5800000000000002E-2</c:v>
                </c:pt>
              </c:numCache>
            </c:numRef>
          </c:val>
        </c:ser>
        <c:dLbls>
          <c:showLegendKey val="0"/>
          <c:showVal val="0"/>
          <c:showCatName val="0"/>
          <c:showSerName val="0"/>
          <c:showPercent val="0"/>
          <c:showBubbleSize val="0"/>
        </c:dLbls>
        <c:gapWidth val="150"/>
        <c:overlap val="-20"/>
        <c:axId val="385398656"/>
        <c:axId val="385400192"/>
      </c:barChart>
      <c:catAx>
        <c:axId val="385398656"/>
        <c:scaling>
          <c:orientation val="minMax"/>
        </c:scaling>
        <c:delete val="0"/>
        <c:axPos val="b"/>
        <c:majorTickMark val="out"/>
        <c:minorTickMark val="none"/>
        <c:tickLblPos val="nextTo"/>
        <c:crossAx val="385400192"/>
        <c:crosses val="autoZero"/>
        <c:auto val="1"/>
        <c:lblAlgn val="ctr"/>
        <c:lblOffset val="100"/>
        <c:noMultiLvlLbl val="0"/>
      </c:catAx>
      <c:valAx>
        <c:axId val="385400192"/>
        <c:scaling>
          <c:orientation val="minMax"/>
        </c:scaling>
        <c:delete val="0"/>
        <c:axPos val="l"/>
        <c:majorGridlines>
          <c:spPr>
            <a:ln>
              <a:noFill/>
            </a:ln>
          </c:spPr>
        </c:majorGridlines>
        <c:numFmt formatCode="0.0%" sourceLinked="1"/>
        <c:majorTickMark val="out"/>
        <c:minorTickMark val="none"/>
        <c:tickLblPos val="nextTo"/>
        <c:crossAx val="3853986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'Fig39'!$A$4</c:f>
              <c:strCache>
                <c:ptCount val="1"/>
                <c:pt idx="0">
                  <c:v>Non-Veteran</c:v>
                </c:pt>
              </c:strCache>
            </c:strRef>
          </c:tx>
          <c:invertIfNegative val="0"/>
          <c:dLbls>
            <c:showLegendKey val="0"/>
            <c:showVal val="1"/>
            <c:showCatName val="0"/>
            <c:showSerName val="0"/>
            <c:showPercent val="0"/>
            <c:showBubbleSize val="0"/>
            <c:showLeaderLines val="0"/>
          </c:dLbls>
          <c:cat>
            <c:strRef>
              <c:f>'Fig39'!$B$3:$C$3</c:f>
              <c:strCache>
                <c:ptCount val="2"/>
                <c:pt idx="0">
                  <c:v>Fatal Opioid OD</c:v>
                </c:pt>
                <c:pt idx="1">
                  <c:v>Nonfatal Opioid OD</c:v>
                </c:pt>
              </c:strCache>
            </c:strRef>
          </c:cat>
          <c:val>
            <c:numRef>
              <c:f>'Fig39'!$B$4:$C$4</c:f>
              <c:numCache>
                <c:formatCode>General</c:formatCode>
                <c:ptCount val="2"/>
                <c:pt idx="0">
                  <c:v>1</c:v>
                </c:pt>
                <c:pt idx="1">
                  <c:v>1</c:v>
                </c:pt>
              </c:numCache>
            </c:numRef>
          </c:val>
        </c:ser>
        <c:ser>
          <c:idx val="1"/>
          <c:order val="1"/>
          <c:tx>
            <c:strRef>
              <c:f>'Fig39'!$A$5</c:f>
              <c:strCache>
                <c:ptCount val="1"/>
                <c:pt idx="0">
                  <c:v>Veteran</c:v>
                </c:pt>
              </c:strCache>
            </c:strRef>
          </c:tx>
          <c:invertIfNegative val="0"/>
          <c:dLbls>
            <c:showLegendKey val="0"/>
            <c:showVal val="1"/>
            <c:showCatName val="0"/>
            <c:showSerName val="0"/>
            <c:showPercent val="0"/>
            <c:showBubbleSize val="0"/>
            <c:showLeaderLines val="0"/>
          </c:dLbls>
          <c:cat>
            <c:strRef>
              <c:f>'Fig39'!$B$3:$C$3</c:f>
              <c:strCache>
                <c:ptCount val="2"/>
                <c:pt idx="0">
                  <c:v>Fatal Opioid OD</c:v>
                </c:pt>
                <c:pt idx="1">
                  <c:v>Nonfatal Opioid OD</c:v>
                </c:pt>
              </c:strCache>
            </c:strRef>
          </c:cat>
          <c:val>
            <c:numRef>
              <c:f>'Fig39'!$B$5:$C$5</c:f>
              <c:numCache>
                <c:formatCode>General</c:formatCode>
                <c:ptCount val="2"/>
                <c:pt idx="0">
                  <c:v>1.6</c:v>
                </c:pt>
                <c:pt idx="1">
                  <c:v>1.5</c:v>
                </c:pt>
              </c:numCache>
            </c:numRef>
          </c:val>
        </c:ser>
        <c:dLbls>
          <c:showLegendKey val="0"/>
          <c:showVal val="0"/>
          <c:showCatName val="0"/>
          <c:showSerName val="0"/>
          <c:showPercent val="0"/>
          <c:showBubbleSize val="0"/>
        </c:dLbls>
        <c:gapWidth val="150"/>
        <c:overlap val="-20"/>
        <c:axId val="382387328"/>
        <c:axId val="382388864"/>
      </c:barChart>
      <c:catAx>
        <c:axId val="382387328"/>
        <c:scaling>
          <c:orientation val="minMax"/>
        </c:scaling>
        <c:delete val="0"/>
        <c:axPos val="l"/>
        <c:majorTickMark val="out"/>
        <c:minorTickMark val="none"/>
        <c:tickLblPos val="nextTo"/>
        <c:crossAx val="382388864"/>
        <c:crosses val="autoZero"/>
        <c:auto val="1"/>
        <c:lblAlgn val="ctr"/>
        <c:lblOffset val="100"/>
        <c:noMultiLvlLbl val="0"/>
      </c:catAx>
      <c:valAx>
        <c:axId val="382388864"/>
        <c:scaling>
          <c:orientation val="minMax"/>
        </c:scaling>
        <c:delete val="0"/>
        <c:axPos val="b"/>
        <c:majorGridlines>
          <c:spPr>
            <a:ln>
              <a:noFill/>
            </a:ln>
          </c:spPr>
        </c:majorGridlines>
        <c:title>
          <c:tx>
            <c:rich>
              <a:bodyPr/>
              <a:lstStyle/>
              <a:p>
                <a:pPr>
                  <a:defRPr/>
                </a:pPr>
                <a:r>
                  <a:rPr lang="en-US" b="0"/>
                  <a:t>Odds Ratio</a:t>
                </a:r>
              </a:p>
            </c:rich>
          </c:tx>
          <c:overlay val="0"/>
        </c:title>
        <c:numFmt formatCode="General" sourceLinked="1"/>
        <c:majorTickMark val="out"/>
        <c:minorTickMark val="none"/>
        <c:tickLblPos val="nextTo"/>
        <c:crossAx val="3823873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979890329953761E-2"/>
          <c:y val="3.3147478186848267E-2"/>
          <c:w val="0.94602016073801776"/>
          <c:h val="0.607506359002422"/>
        </c:manualLayout>
      </c:layout>
      <c:barChart>
        <c:barDir val="col"/>
        <c:grouping val="clustered"/>
        <c:varyColors val="0"/>
        <c:ser>
          <c:idx val="0"/>
          <c:order val="0"/>
          <c:tx>
            <c:strRef>
              <c:f>'new Fig41'!$B$3</c:f>
              <c:strCache>
                <c:ptCount val="1"/>
                <c:pt idx="0">
                  <c:v>Number</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Fig41'!$A$4:$A$10</c:f>
              <c:strCache>
                <c:ptCount val="7"/>
                <c:pt idx="0">
                  <c:v>1 Non-Fatal
OD with No 
Subsequent
Fatal OD
(N=15,924)</c:v>
                </c:pt>
                <c:pt idx="1">
                  <c:v>2 Non-Fatal
ODs with No
Subsequent
Fatal OD
(N=3,485)</c:v>
                </c:pt>
                <c:pt idx="2">
                  <c:v>Fatal OD
Only
(N=2,884)</c:v>
                </c:pt>
                <c:pt idx="3">
                  <c:v>3+ Non-Fatal
ODs with No Subsequent Fatal OD
(N=2,590)</c:v>
                </c:pt>
                <c:pt idx="4">
                  <c:v>1 Non-Fatal
OD followed
by Fatal OD
(N=589)</c:v>
                </c:pt>
                <c:pt idx="5">
                  <c:v>2 Non-Fatal
ODs followed
by Fatal OD
(N=216)</c:v>
                </c:pt>
                <c:pt idx="6">
                  <c:v>3+ Non-Fatal
ODs followed
by Fatal OD
(N=182)</c:v>
                </c:pt>
              </c:strCache>
            </c:strRef>
          </c:cat>
          <c:val>
            <c:numRef>
              <c:f>'new Fig41'!$B$4:$B$10</c:f>
              <c:numCache>
                <c:formatCode>0.0%</c:formatCode>
                <c:ptCount val="7"/>
                <c:pt idx="0">
                  <c:v>0.61599999999999999</c:v>
                </c:pt>
                <c:pt idx="1">
                  <c:v>0.13500000000000001</c:v>
                </c:pt>
                <c:pt idx="2">
                  <c:v>0.111</c:v>
                </c:pt>
                <c:pt idx="3">
                  <c:v>0.1</c:v>
                </c:pt>
                <c:pt idx="4">
                  <c:v>2.3E-2</c:v>
                </c:pt>
                <c:pt idx="5">
                  <c:v>8.0000000000000002E-3</c:v>
                </c:pt>
                <c:pt idx="6">
                  <c:v>7.0000000000000001E-3</c:v>
                </c:pt>
              </c:numCache>
            </c:numRef>
          </c:val>
          <c:extLst xmlns:c16r2="http://schemas.microsoft.com/office/drawing/2015/06/chart">
            <c:ext xmlns:c16="http://schemas.microsoft.com/office/drawing/2014/chart" uri="{C3380CC4-5D6E-409C-BE32-E72D297353CC}">
              <c16:uniqueId val="{00000000-FA9E-4BE2-9769-915E16894E16}"/>
            </c:ext>
          </c:extLst>
        </c:ser>
        <c:dLbls>
          <c:showLegendKey val="0"/>
          <c:showVal val="0"/>
          <c:showCatName val="0"/>
          <c:showSerName val="0"/>
          <c:showPercent val="0"/>
          <c:showBubbleSize val="0"/>
        </c:dLbls>
        <c:gapWidth val="10"/>
        <c:overlap val="-27"/>
        <c:axId val="385637376"/>
        <c:axId val="385643264"/>
      </c:barChart>
      <c:catAx>
        <c:axId val="3856373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385643264"/>
        <c:crosses val="autoZero"/>
        <c:auto val="1"/>
        <c:lblAlgn val="ctr"/>
        <c:lblOffset val="100"/>
        <c:noMultiLvlLbl val="0"/>
      </c:catAx>
      <c:valAx>
        <c:axId val="385643264"/>
        <c:scaling>
          <c:orientation val="minMax"/>
          <c:max val="1"/>
        </c:scaling>
        <c:delete val="0"/>
        <c:axPos val="l"/>
        <c:numFmt formatCode="0%" sourceLinked="0"/>
        <c:majorTickMark val="none"/>
        <c:minorTickMark val="none"/>
        <c:tickLblPos val="nextTo"/>
        <c:spPr>
          <a:noFill/>
          <a:ln>
            <a:solidFill>
              <a:sysClr val="windowText" lastClr="000000">
                <a:lumMod val="50000"/>
                <a:lumOff val="50000"/>
              </a:sys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637376"/>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358879053161831E-2"/>
          <c:y val="3.9532794249775384E-2"/>
          <c:w val="0.93142165924911557"/>
          <c:h val="0.70716527406551244"/>
        </c:manualLayout>
      </c:layout>
      <c:barChart>
        <c:barDir val="col"/>
        <c:grouping val="stacked"/>
        <c:varyColors val="0"/>
        <c:ser>
          <c:idx val="0"/>
          <c:order val="0"/>
          <c:tx>
            <c:strRef>
              <c:f>'new Fig43'!$C$4</c:f>
              <c:strCache>
                <c:ptCount val="1"/>
                <c:pt idx="0">
                  <c:v>Non-Fatal</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'new Fig43'!$A$5:$B$14</c:f>
              <c:multiLvlStrCache>
                <c:ptCount val="10"/>
                <c:lvl>
                  <c:pt idx="0">
                    <c:v>SUD/SMI</c:v>
                  </c:pt>
                  <c:pt idx="1">
                    <c:v>SUD</c:v>
                  </c:pt>
                  <c:pt idx="2">
                    <c:v>SUD/SMI</c:v>
                  </c:pt>
                  <c:pt idx="3">
                    <c:v>SUD</c:v>
                  </c:pt>
                  <c:pt idx="4">
                    <c:v>SUD/SMI</c:v>
                  </c:pt>
                  <c:pt idx="5">
                    <c:v>SUD</c:v>
                  </c:pt>
                  <c:pt idx="6">
                    <c:v>SUD/SMI</c:v>
                  </c:pt>
                  <c:pt idx="7">
                    <c:v>SUD</c:v>
                  </c:pt>
                  <c:pt idx="8">
                    <c:v>SUD/SMI</c:v>
                  </c:pt>
                  <c:pt idx="9">
                    <c:v>SUD</c:v>
                  </c:pt>
                </c:lvl>
                <c:lvl>
                  <c:pt idx="0">
                    <c:v>Homeless Only
  (N=77,150)</c:v>
                  </c:pt>
                  <c:pt idx="2">
                    <c:v>CJ Only
(N=24,052)</c:v>
                  </c:pt>
                  <c:pt idx="4">
                    <c:v>Both Homeless and CJ
(N=14,015)</c:v>
                  </c:pt>
                  <c:pt idx="6">
                    <c:v>Neither Homeless or CJ
(N=1,221,043)</c:v>
                  </c:pt>
                  <c:pt idx="8">
                    <c:v>Total MassHealth
Population 
(N=1,955,546)</c:v>
                  </c:pt>
                </c:lvl>
              </c:multiLvlStrCache>
            </c:multiLvlStrRef>
          </c:cat>
          <c:val>
            <c:numRef>
              <c:f>'new Fig43'!$C$5:$C$14</c:f>
              <c:numCache>
                <c:formatCode>0.0%</c:formatCode>
                <c:ptCount val="10"/>
                <c:pt idx="0">
                  <c:v>0.107</c:v>
                </c:pt>
                <c:pt idx="1">
                  <c:v>0.129</c:v>
                </c:pt>
                <c:pt idx="2">
                  <c:v>4.9000000000000002E-2</c:v>
                </c:pt>
                <c:pt idx="3">
                  <c:v>5.5E-2</c:v>
                </c:pt>
                <c:pt idx="4">
                  <c:v>0.23799999999999999</c:v>
                </c:pt>
                <c:pt idx="5">
                  <c:v>0.255</c:v>
                </c:pt>
                <c:pt idx="6">
                  <c:v>0.02</c:v>
                </c:pt>
                <c:pt idx="7">
                  <c:v>2.1000000000000001E-2</c:v>
                </c:pt>
                <c:pt idx="8">
                  <c:v>7.2999999999999995E-2</c:v>
                </c:pt>
                <c:pt idx="9">
                  <c:v>3.5000000000000003E-2</c:v>
                </c:pt>
              </c:numCache>
            </c:numRef>
          </c:val>
          <c:extLst xmlns:c16r2="http://schemas.microsoft.com/office/drawing/2015/06/chart">
            <c:ext xmlns:c16="http://schemas.microsoft.com/office/drawing/2014/chart" uri="{C3380CC4-5D6E-409C-BE32-E72D297353CC}">
              <c16:uniqueId val="{00000000-A762-4082-BC26-9379ECD253B2}"/>
            </c:ext>
          </c:extLst>
        </c:ser>
        <c:ser>
          <c:idx val="1"/>
          <c:order val="1"/>
          <c:tx>
            <c:strRef>
              <c:f>'new Fig43'!$D$4</c:f>
              <c:strCache>
                <c:ptCount val="1"/>
                <c:pt idx="0">
                  <c:v>Fatal</c:v>
                </c:pt>
              </c:strCache>
            </c:strRef>
          </c:tx>
          <c:spPr>
            <a:solidFill>
              <a:srgbClr val="C0504D"/>
            </a:solidFill>
            <a:ln w="25400">
              <a:noFill/>
            </a:ln>
          </c:spPr>
          <c:invertIfNegative val="0"/>
          <c:dLbls>
            <c:dLbl>
              <c:idx val="0"/>
              <c:layout>
                <c:manualLayout>
                  <c:x val="0"/>
                  <c:y val="-3.4289498859371548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762-4082-BC26-9379ECD253B2}"/>
                </c:ext>
              </c:extLst>
            </c:dLbl>
            <c:dLbl>
              <c:idx val="1"/>
              <c:layout>
                <c:manualLayout>
                  <c:x val="-3.0252675821037609E-17"/>
                  <c:y val="-4.5807451151939384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762-4082-BC26-9379ECD253B2}"/>
                </c:ext>
              </c:extLst>
            </c:dLbl>
            <c:dLbl>
              <c:idx val="2"/>
              <c:layout>
                <c:manualLayout>
                  <c:x val="0"/>
                  <c:y val="-3.3115755390389287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762-4082-BC26-9379ECD253B2}"/>
                </c:ext>
              </c:extLst>
            </c:dLbl>
            <c:dLbl>
              <c:idx val="3"/>
              <c:layout>
                <c:manualLayout>
                  <c:x val="-6.0505351642075217E-17"/>
                  <c:y val="-3.4853925969534183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762-4082-BC26-9379ECD253B2}"/>
                </c:ext>
              </c:extLst>
            </c:dLbl>
            <c:dLbl>
              <c:idx val="4"/>
              <c:layout>
                <c:manualLayout>
                  <c:x val="-1.6501650165016502E-3"/>
                  <c:y val="-4.9329250510352869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762-4082-BC26-9379ECD253B2}"/>
                </c:ext>
              </c:extLst>
            </c:dLbl>
            <c:dLbl>
              <c:idx val="5"/>
              <c:layout>
                <c:manualLayout>
                  <c:x val="0"/>
                  <c:y val="-4.4474329727475656E-2"/>
                </c:manualLayout>
              </c:layout>
              <c:spPr>
                <a:noFill/>
                <a:ln w="25400">
                  <a:noFill/>
                </a:ln>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A762-4082-BC26-9379ECD253B2}"/>
                </c:ext>
              </c:extLst>
            </c:dLbl>
            <c:dLbl>
              <c:idx val="8"/>
              <c:layout>
                <c:manualLayout>
                  <c:x val="0"/>
                  <c:y val="-2.8826501827458485E-2"/>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762-4082-BC26-9379ECD253B2}"/>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'new Fig43'!$A$5:$B$14</c:f>
              <c:multiLvlStrCache>
                <c:ptCount val="10"/>
                <c:lvl>
                  <c:pt idx="0">
                    <c:v>SUD/SMI</c:v>
                  </c:pt>
                  <c:pt idx="1">
                    <c:v>SUD</c:v>
                  </c:pt>
                  <c:pt idx="2">
                    <c:v>SUD/SMI</c:v>
                  </c:pt>
                  <c:pt idx="3">
                    <c:v>SUD</c:v>
                  </c:pt>
                  <c:pt idx="4">
                    <c:v>SUD/SMI</c:v>
                  </c:pt>
                  <c:pt idx="5">
                    <c:v>SUD</c:v>
                  </c:pt>
                  <c:pt idx="6">
                    <c:v>SUD/SMI</c:v>
                  </c:pt>
                  <c:pt idx="7">
                    <c:v>SUD</c:v>
                  </c:pt>
                  <c:pt idx="8">
                    <c:v>SUD/SMI</c:v>
                  </c:pt>
                  <c:pt idx="9">
                    <c:v>SUD</c:v>
                  </c:pt>
                </c:lvl>
                <c:lvl>
                  <c:pt idx="0">
                    <c:v>Homeless Only
  (N=77,150)</c:v>
                  </c:pt>
                  <c:pt idx="2">
                    <c:v>CJ Only
(N=24,052)</c:v>
                  </c:pt>
                  <c:pt idx="4">
                    <c:v>Both Homeless and CJ
(N=14,015)</c:v>
                  </c:pt>
                  <c:pt idx="6">
                    <c:v>Neither Homeless or CJ
(N=1,221,043)</c:v>
                  </c:pt>
                  <c:pt idx="8">
                    <c:v>Total MassHealth
Population 
(N=1,955,546)</c:v>
                  </c:pt>
                </c:lvl>
              </c:multiLvlStrCache>
            </c:multiLvlStrRef>
          </c:cat>
          <c:val>
            <c:numRef>
              <c:f>'new Fig43'!$D$5:$D$14</c:f>
              <c:numCache>
                <c:formatCode>0.0%</c:formatCode>
                <c:ptCount val="10"/>
                <c:pt idx="0">
                  <c:v>1.6E-2</c:v>
                </c:pt>
                <c:pt idx="1">
                  <c:v>0.02</c:v>
                </c:pt>
                <c:pt idx="2">
                  <c:v>1.4E-2</c:v>
                </c:pt>
                <c:pt idx="3">
                  <c:v>8.9999999999999993E-3</c:v>
                </c:pt>
                <c:pt idx="4">
                  <c:v>2.8000000000000001E-2</c:v>
                </c:pt>
                <c:pt idx="5">
                  <c:v>2.5999999999999999E-2</c:v>
                </c:pt>
                <c:pt idx="6">
                  <c:v>6.0000000000000001E-3</c:v>
                </c:pt>
                <c:pt idx="7">
                  <c:v>4.0000000000000001E-3</c:v>
                </c:pt>
                <c:pt idx="8">
                  <c:v>1.2E-2</c:v>
                </c:pt>
                <c:pt idx="9">
                  <c:v>6.0000000000000001E-3</c:v>
                </c:pt>
              </c:numCache>
            </c:numRef>
          </c:val>
          <c:extLst xmlns:c16r2="http://schemas.microsoft.com/office/drawing/2015/06/chart">
            <c:ext xmlns:c16="http://schemas.microsoft.com/office/drawing/2014/chart" uri="{C3380CC4-5D6E-409C-BE32-E72D297353CC}">
              <c16:uniqueId val="{00000008-A762-4082-BC26-9379ECD253B2}"/>
            </c:ext>
          </c:extLst>
        </c:ser>
        <c:dLbls>
          <c:showLegendKey val="0"/>
          <c:showVal val="0"/>
          <c:showCatName val="0"/>
          <c:showSerName val="0"/>
          <c:showPercent val="0"/>
          <c:showBubbleSize val="0"/>
        </c:dLbls>
        <c:gapWidth val="35"/>
        <c:overlap val="100"/>
        <c:axId val="385681280"/>
        <c:axId val="385682816"/>
      </c:barChart>
      <c:catAx>
        <c:axId val="385681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682816"/>
        <c:crosses val="autoZero"/>
        <c:auto val="1"/>
        <c:lblAlgn val="ctr"/>
        <c:lblOffset val="100"/>
        <c:noMultiLvlLbl val="0"/>
      </c:catAx>
      <c:valAx>
        <c:axId val="385682816"/>
        <c:scaling>
          <c:orientation val="minMax"/>
        </c:scaling>
        <c:delete val="0"/>
        <c:axPos val="l"/>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681280"/>
        <c:crosses val="autoZero"/>
        <c:crossBetween val="between"/>
      </c:valAx>
      <c:spPr>
        <a:noFill/>
        <a:ln w="25400">
          <a:noFill/>
        </a:ln>
      </c:spPr>
    </c:plotArea>
    <c:legend>
      <c:legendPos val="b"/>
      <c:layout>
        <c:manualLayout>
          <c:xMode val="edge"/>
          <c:yMode val="edge"/>
          <c:x val="0.69611046445281299"/>
          <c:y val="6.576769646913401E-2"/>
          <c:w val="0.17532521478293475"/>
          <c:h val="5.5147326767640281E-2"/>
        </c:manualLayout>
      </c:layout>
      <c:overlay val="0"/>
      <c:spPr>
        <a:noFill/>
        <a:ln w="25400">
          <a:noFill/>
        </a:ln>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243959889629184E-2"/>
          <c:y val="3.7944868290427425E-2"/>
          <c:w val="0.89125176660609728"/>
          <c:h val="0.76044333836508782"/>
        </c:manualLayout>
      </c:layout>
      <c:barChart>
        <c:barDir val="col"/>
        <c:grouping val="clustered"/>
        <c:varyColors val="0"/>
        <c:ser>
          <c:idx val="0"/>
          <c:order val="0"/>
          <c:spPr>
            <a:solidFill>
              <a:srgbClr val="4F81BD"/>
            </a:solidFill>
            <a:ln w="25400">
              <a:noFill/>
            </a:ln>
          </c:spPr>
          <c:invertIfNegative val="0"/>
          <c:dPt>
            <c:idx val="0"/>
            <c:invertIfNegative val="0"/>
            <c:bubble3D val="0"/>
            <c:spPr>
              <a:solidFill>
                <a:srgbClr val="C0504D"/>
              </a:solidFill>
              <a:ln w="25400">
                <a:noFill/>
              </a:ln>
            </c:spPr>
            <c:extLst xmlns:c16r2="http://schemas.microsoft.com/office/drawing/2015/06/chart">
              <c:ext xmlns:c16="http://schemas.microsoft.com/office/drawing/2014/chart" uri="{C3380CC4-5D6E-409C-BE32-E72D297353CC}">
                <c16:uniqueId val="{00000001-7369-41E8-8D49-19B5770525D9}"/>
              </c:ext>
            </c:extLst>
          </c:dPt>
          <c:dPt>
            <c:idx val="2"/>
            <c:invertIfNegative val="0"/>
            <c:bubble3D val="0"/>
            <c:spPr>
              <a:solidFill>
                <a:srgbClr val="9BBB59"/>
              </a:solidFill>
              <a:ln w="25400">
                <a:noFill/>
              </a:ln>
            </c:spPr>
            <c:extLst xmlns:c16r2="http://schemas.microsoft.com/office/drawing/2015/06/chart">
              <c:ext xmlns:c16="http://schemas.microsoft.com/office/drawing/2014/chart" uri="{C3380CC4-5D6E-409C-BE32-E72D297353CC}">
                <c16:uniqueId val="{00000003-7369-41E8-8D49-19B5770525D9}"/>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Fig44'!$A$4:$A$6</c:f>
              <c:strCache>
                <c:ptCount val="3"/>
                <c:pt idx="0">
                  <c:v>Fatal Overdose
 (N=3,871)</c:v>
                </c:pt>
                <c:pt idx="1">
                  <c:v>Non-Fatal Overdose 
(N=21,999)</c:v>
                </c:pt>
                <c:pt idx="2">
                  <c:v>Total Members 
(N=1,955,546)</c:v>
                </c:pt>
              </c:strCache>
            </c:strRef>
          </c:cat>
          <c:val>
            <c:numRef>
              <c:f>'new Fig44'!$B$4:$B$6</c:f>
              <c:numCache>
                <c:formatCode>_("$"* #,##0_);_("$"* \(#,##0\);_("$"* "-"??_);_(@_)</c:formatCode>
                <c:ptCount val="3"/>
                <c:pt idx="0">
                  <c:v>1112.1962702425676</c:v>
                </c:pt>
                <c:pt idx="1">
                  <c:v>1422.3590037793906</c:v>
                </c:pt>
                <c:pt idx="2">
                  <c:v>428.29531477852254</c:v>
                </c:pt>
              </c:numCache>
            </c:numRef>
          </c:val>
          <c:extLst xmlns:c16r2="http://schemas.microsoft.com/office/drawing/2015/06/chart">
            <c:ext xmlns:c16="http://schemas.microsoft.com/office/drawing/2014/chart" uri="{C3380CC4-5D6E-409C-BE32-E72D297353CC}">
              <c16:uniqueId val="{00000004-7369-41E8-8D49-19B5770525D9}"/>
            </c:ext>
          </c:extLst>
        </c:ser>
        <c:dLbls>
          <c:showLegendKey val="0"/>
          <c:showVal val="0"/>
          <c:showCatName val="0"/>
          <c:showSerName val="0"/>
          <c:showPercent val="0"/>
          <c:showBubbleSize val="0"/>
        </c:dLbls>
        <c:gapWidth val="219"/>
        <c:overlap val="-27"/>
        <c:axId val="385729664"/>
        <c:axId val="385731200"/>
      </c:barChart>
      <c:catAx>
        <c:axId val="38572966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731200"/>
        <c:crosses val="autoZero"/>
        <c:auto val="1"/>
        <c:lblAlgn val="ctr"/>
        <c:lblOffset val="100"/>
        <c:noMultiLvlLbl val="0"/>
      </c:catAx>
      <c:valAx>
        <c:axId val="385731200"/>
        <c:scaling>
          <c:orientation val="minMax"/>
          <c:min val="0"/>
        </c:scaling>
        <c:delete val="0"/>
        <c:axPos val="l"/>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729664"/>
        <c:crosses val="autoZero"/>
        <c:crossBetween val="between"/>
        <c:majorUnit val="500"/>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932262075050473E-2"/>
          <c:y val="3.2707257359263692E-2"/>
          <c:w val="0.86604796537837347"/>
          <c:h val="0.67215196038639502"/>
        </c:manualLayout>
      </c:layout>
      <c:barChart>
        <c:barDir val="col"/>
        <c:grouping val="clustered"/>
        <c:varyColors val="0"/>
        <c:ser>
          <c:idx val="0"/>
          <c:order val="0"/>
          <c:tx>
            <c:strRef>
              <c:f>'Fig45'!$C$5</c:f>
              <c:strCache>
                <c:ptCount val="1"/>
                <c:pt idx="0">
                  <c:v>Opioid Overdose</c:v>
                </c:pt>
              </c:strCache>
            </c:strRef>
          </c:tx>
          <c:invertIfNegative val="0"/>
          <c:dLbls>
            <c:showLegendKey val="0"/>
            <c:showVal val="1"/>
            <c:showCatName val="0"/>
            <c:showSerName val="0"/>
            <c:showPercent val="0"/>
            <c:showBubbleSize val="0"/>
            <c:showLeaderLines val="0"/>
          </c:dLbls>
          <c:cat>
            <c:strRef>
              <c:f>'Fig45'!$B$6:$B$11</c:f>
              <c:strCache>
                <c:ptCount val="6"/>
                <c:pt idx="0">
                  <c:v>All MassHealth Members (N=1,933,443)</c:v>
                </c:pt>
                <c:pt idx="2">
                  <c:v>Neither UH or CJ (N=1,479,862)</c:v>
                </c:pt>
                <c:pt idx="3">
                  <c:v>UH Only
 (N=407,226)</c:v>
                </c:pt>
                <c:pt idx="4">
                  <c:v>CJ Only
(N=20,951)</c:v>
                </c:pt>
                <c:pt idx="5">
                  <c:v>Both UH and CJ (N=25,404)</c:v>
                </c:pt>
              </c:strCache>
            </c:strRef>
          </c:cat>
          <c:val>
            <c:numRef>
              <c:f>'Fig45'!$C$6:$C$11</c:f>
              <c:numCache>
                <c:formatCode>General</c:formatCode>
                <c:ptCount val="6"/>
                <c:pt idx="0" formatCode="&quot;$&quot;#,##0_);[Red]\(&quot;$&quot;#,##0\)">
                  <c:v>59155</c:v>
                </c:pt>
                <c:pt idx="2" formatCode="&quot;$&quot;#,##0_);[Red]\(&quot;$&quot;#,##0\)">
                  <c:v>44142</c:v>
                </c:pt>
                <c:pt idx="3" formatCode="&quot;$&quot;#,##0_);[Red]\(&quot;$&quot;#,##0\)">
                  <c:v>75168</c:v>
                </c:pt>
                <c:pt idx="4" formatCode="&quot;$&quot;#,##0_);[Red]\(&quot;$&quot;#,##0\)">
                  <c:v>41826</c:v>
                </c:pt>
                <c:pt idx="5" formatCode="&quot;$&quot;#,##0_);[Red]\(&quot;$&quot;#,##0\)">
                  <c:v>78688</c:v>
                </c:pt>
              </c:numCache>
            </c:numRef>
          </c:val>
        </c:ser>
        <c:ser>
          <c:idx val="1"/>
          <c:order val="1"/>
          <c:tx>
            <c:strRef>
              <c:f>'Fig45'!$D$5</c:f>
              <c:strCache>
                <c:ptCount val="1"/>
                <c:pt idx="0">
                  <c:v>No Opioid Overdose</c:v>
                </c:pt>
              </c:strCache>
            </c:strRef>
          </c:tx>
          <c:invertIfNegative val="0"/>
          <c:dLbls>
            <c:dLbl>
              <c:idx val="0"/>
              <c:layout>
                <c:manualLayout>
                  <c:x val="5.454545454545455E-3"/>
                  <c:y val="0"/>
                </c:manualLayout>
              </c:layout>
              <c:spPr/>
              <c:txPr>
                <a:bodyPr/>
                <a:lstStyle/>
                <a:p>
                  <a:pPr>
                    <a:defRPr/>
                  </a:pPr>
                  <a:endParaRPr lang="en-US"/>
                </a:p>
              </c:txPr>
              <c:dLblPos val="outEnd"/>
              <c:showLegendKey val="0"/>
              <c:showVal val="1"/>
              <c:showCatName val="0"/>
              <c:showSerName val="0"/>
              <c:showPercent val="0"/>
              <c:showBubbleSize val="0"/>
            </c:dLbl>
            <c:dLbl>
              <c:idx val="2"/>
              <c:layout>
                <c:manualLayout>
                  <c:x val="1.3582342954159655E-2"/>
                  <c:y val="-3.322260005299981E-3"/>
                </c:manualLayout>
              </c:layout>
              <c:spPr/>
              <c:txPr>
                <a:bodyPr/>
                <a:lstStyle/>
                <a:p>
                  <a:pPr>
                    <a:defRPr/>
                  </a:pPr>
                  <a:endParaRPr lang="en-US"/>
                </a:p>
              </c:txPr>
              <c:dLblPos val="outEnd"/>
              <c:showLegendKey val="0"/>
              <c:showVal val="1"/>
              <c:showCatName val="0"/>
              <c:showSerName val="0"/>
              <c:showPercent val="0"/>
              <c:showBubbleSize val="0"/>
            </c:dLbl>
            <c:dLbl>
              <c:idx val="3"/>
              <c:layout>
                <c:manualLayout>
                  <c:x val="1.5280135823429542E-2"/>
                  <c:y val="-2.6159527600786775E-7"/>
                </c:manualLayout>
              </c:layout>
              <c:spPr/>
              <c:txPr>
                <a:bodyPr/>
                <a:lstStyle/>
                <a:p>
                  <a:pPr>
                    <a:defRPr/>
                  </a:pPr>
                  <a:endParaRPr lang="en-US"/>
                </a:p>
              </c:txPr>
              <c:dLblPos val="outEnd"/>
              <c:showLegendKey val="0"/>
              <c:showVal val="1"/>
              <c:showCatName val="0"/>
              <c:showSerName val="0"/>
              <c:showPercent val="0"/>
              <c:showBubbleSize val="0"/>
            </c:dLbl>
            <c:dLbl>
              <c:idx val="4"/>
              <c:layout>
                <c:manualLayout>
                  <c:x val="1.1884550084889643E-2"/>
                  <c:y val="-3.3222600052999203E-3"/>
                </c:manualLayout>
              </c:layout>
              <c:spPr/>
              <c:txPr>
                <a:bodyPr/>
                <a:lstStyle/>
                <a:p>
                  <a:pPr>
                    <a:defRPr/>
                  </a:pPr>
                  <a:endParaRPr lang="en-US"/>
                </a:p>
              </c:txPr>
              <c:dLblPos val="outEnd"/>
              <c:showLegendKey val="0"/>
              <c:showVal val="1"/>
              <c:showCatName val="0"/>
              <c:showSerName val="0"/>
              <c:showPercent val="0"/>
              <c:showBubbleSize val="0"/>
            </c:dLbl>
            <c:dLbl>
              <c:idx val="5"/>
              <c:layout>
                <c:manualLayout>
                  <c:x val="8.4889643463497456E-3"/>
                  <c:y val="-3.3222600052999203E-3"/>
                </c:manualLayout>
              </c:layout>
              <c:spPr/>
              <c:txPr>
                <a:bodyPr/>
                <a:lstStyle/>
                <a:p>
                  <a:pPr>
                    <a:defRPr/>
                  </a:pPr>
                  <a:endParaRPr lang="en-US"/>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'Fig45'!$B$6:$B$11</c:f>
              <c:strCache>
                <c:ptCount val="6"/>
                <c:pt idx="0">
                  <c:v>All MassHealth Members (N=1,933,443)</c:v>
                </c:pt>
                <c:pt idx="2">
                  <c:v>Neither UH or CJ (N=1,479,862)</c:v>
                </c:pt>
                <c:pt idx="3">
                  <c:v>UH Only
 (N=407,226)</c:v>
                </c:pt>
                <c:pt idx="4">
                  <c:v>CJ Only
(N=20,951)</c:v>
                </c:pt>
                <c:pt idx="5">
                  <c:v>Both UH and CJ (N=25,404)</c:v>
                </c:pt>
              </c:strCache>
            </c:strRef>
          </c:cat>
          <c:val>
            <c:numRef>
              <c:f>'Fig45'!$D$6:$D$11</c:f>
              <c:numCache>
                <c:formatCode>General</c:formatCode>
                <c:ptCount val="6"/>
                <c:pt idx="0" formatCode="&quot;$&quot;#,##0_);[Red]\(&quot;$&quot;#,##0\)">
                  <c:v>16349</c:v>
                </c:pt>
                <c:pt idx="2" formatCode="&quot;$&quot;#,##0_);[Red]\(&quot;$&quot;#,##0\)">
                  <c:v>14018</c:v>
                </c:pt>
                <c:pt idx="3" formatCode="&quot;$&quot;#,##0_);[Red]\(&quot;$&quot;#,##0\)">
                  <c:v>23748</c:v>
                </c:pt>
                <c:pt idx="4" formatCode="&quot;$&quot;#,##0_);[Red]\(&quot;$&quot;#,##0\)">
                  <c:v>17266</c:v>
                </c:pt>
                <c:pt idx="5" formatCode="&quot;$&quot;#,##0_);[Red]\(&quot;$&quot;#,##0\)">
                  <c:v>36541</c:v>
                </c:pt>
              </c:numCache>
            </c:numRef>
          </c:val>
        </c:ser>
        <c:dLbls>
          <c:showLegendKey val="0"/>
          <c:showVal val="0"/>
          <c:showCatName val="0"/>
          <c:showSerName val="0"/>
          <c:showPercent val="0"/>
          <c:showBubbleSize val="0"/>
        </c:dLbls>
        <c:gapWidth val="150"/>
        <c:overlap val="-20"/>
        <c:axId val="385771008"/>
        <c:axId val="385772544"/>
      </c:barChart>
      <c:catAx>
        <c:axId val="385771008"/>
        <c:scaling>
          <c:orientation val="minMax"/>
        </c:scaling>
        <c:delete val="0"/>
        <c:axPos val="b"/>
        <c:numFmt formatCode="General" sourceLinked="1"/>
        <c:majorTickMark val="out"/>
        <c:minorTickMark val="none"/>
        <c:tickLblPos val="nextTo"/>
        <c:crossAx val="385772544"/>
        <c:crosses val="autoZero"/>
        <c:auto val="1"/>
        <c:lblAlgn val="ctr"/>
        <c:lblOffset val="100"/>
        <c:noMultiLvlLbl val="0"/>
      </c:catAx>
      <c:valAx>
        <c:axId val="385772544"/>
        <c:scaling>
          <c:orientation val="minMax"/>
          <c:max val="100000"/>
        </c:scaling>
        <c:delete val="0"/>
        <c:axPos val="l"/>
        <c:numFmt formatCode="&quot;$&quot;#,##0_);[Red]\(&quot;$&quot;#,##0\)" sourceLinked="1"/>
        <c:majorTickMark val="out"/>
        <c:minorTickMark val="none"/>
        <c:tickLblPos val="nextTo"/>
        <c:crossAx val="385771008"/>
        <c:crosses val="autoZero"/>
        <c:crossBetween val="between"/>
        <c:majorUnit val="20000"/>
      </c:valAx>
    </c:plotArea>
    <c:legend>
      <c:legendPos val="b"/>
      <c:overlay val="0"/>
    </c:legend>
    <c:plotVisOnly val="1"/>
    <c:dispBlanksAs val="gap"/>
    <c:showDLblsOverMax val="0"/>
  </c:chart>
  <c:spPr>
    <a:ln>
      <a:noFill/>
    </a:ln>
  </c:spPr>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034053001439335"/>
          <c:y val="1.0459001903112644E-3"/>
          <c:w val="0.63154076708153428"/>
          <c:h val="0.79772275888194388"/>
        </c:manualLayout>
      </c:layout>
      <c:barChart>
        <c:barDir val="bar"/>
        <c:grouping val="clustered"/>
        <c:varyColors val="0"/>
        <c:ser>
          <c:idx val="0"/>
          <c:order val="0"/>
          <c:spPr>
            <a:solidFill>
              <a:schemeClr val="accent1"/>
            </a:solidFill>
          </c:spPr>
          <c:invertIfNegative val="0"/>
          <c:errBars>
            <c:errBarType val="both"/>
            <c:errValType val="cust"/>
            <c:noEndCap val="0"/>
            <c:plus>
              <c:numRef>
                <c:f>'new Fig47'!$H$1:$H$10</c:f>
                <c:numCache>
                  <c:formatCode>General</c:formatCode>
                  <c:ptCount val="10"/>
                  <c:pt idx="0">
                    <c:v>0.29106249916094917</c:v>
                  </c:pt>
                  <c:pt idx="1">
                    <c:v>0.21710511013715994</c:v>
                  </c:pt>
                  <c:pt idx="2">
                    <c:v>0.345014164139263</c:v>
                  </c:pt>
                  <c:pt idx="3">
                    <c:v>1.3504909971962498</c:v>
                  </c:pt>
                  <c:pt idx="4">
                    <c:v>1.9872924741413946</c:v>
                  </c:pt>
                  <c:pt idx="5">
                    <c:v>1.0849453864666181</c:v>
                  </c:pt>
                  <c:pt idx="6">
                    <c:v>3.5717323257481137</c:v>
                  </c:pt>
                  <c:pt idx="7">
                    <c:v>2.2982689114323307</c:v>
                  </c:pt>
                  <c:pt idx="8">
                    <c:v>0.36408534777590162</c:v>
                  </c:pt>
                  <c:pt idx="9">
                    <c:v>0.18250541396191977</c:v>
                  </c:pt>
                </c:numCache>
              </c:numRef>
            </c:plus>
            <c:minus>
              <c:numRef>
                <c:f>'new Fig47'!$H$1:$H$10</c:f>
                <c:numCache>
                  <c:formatCode>General</c:formatCode>
                  <c:ptCount val="10"/>
                  <c:pt idx="0">
                    <c:v>0.29106249916094917</c:v>
                  </c:pt>
                  <c:pt idx="1">
                    <c:v>0.21710511013715994</c:v>
                  </c:pt>
                  <c:pt idx="2">
                    <c:v>0.345014164139263</c:v>
                  </c:pt>
                  <c:pt idx="3">
                    <c:v>1.3504909971962498</c:v>
                  </c:pt>
                  <c:pt idx="4">
                    <c:v>1.9872924741413946</c:v>
                  </c:pt>
                  <c:pt idx="5">
                    <c:v>1.0849453864666181</c:v>
                  </c:pt>
                  <c:pt idx="6">
                    <c:v>3.5717323257481137</c:v>
                  </c:pt>
                  <c:pt idx="7">
                    <c:v>2.2982689114323307</c:v>
                  </c:pt>
                  <c:pt idx="8">
                    <c:v>0.36408534777590162</c:v>
                  </c:pt>
                  <c:pt idx="9">
                    <c:v>0.18250541396191977</c:v>
                  </c:pt>
                </c:numCache>
              </c:numRef>
            </c:minus>
            <c:spPr>
              <a:ln>
                <a:solidFill>
                  <a:schemeClr val="tx2"/>
                </a:solidFill>
              </a:ln>
            </c:spPr>
          </c:errBars>
          <c:cat>
            <c:strRef>
              <c:f>'new Fig47'!$C$1:$C$10</c:f>
              <c:strCache>
                <c:ptCount val="10"/>
                <c:pt idx="0">
                  <c:v>Residential to NOKA</c:v>
                </c:pt>
                <c:pt idx="1">
                  <c:v>Post-detox to NOKA</c:v>
                </c:pt>
                <c:pt idx="2">
                  <c:v>Detox to NOKA</c:v>
                </c:pt>
                <c:pt idx="3">
                  <c:v>Detox to residential</c:v>
                </c:pt>
                <c:pt idx="4">
                  <c:v>Residential to detox</c:v>
                </c:pt>
                <c:pt idx="5">
                  <c:v>Post-detox to detox</c:v>
                </c:pt>
                <c:pt idx="6">
                  <c:v>Post-detox to Residential</c:v>
                </c:pt>
                <c:pt idx="7">
                  <c:v>Detox to Post-detox</c:v>
                </c:pt>
                <c:pt idx="8">
                  <c:v>Detox to Detox</c:v>
                </c:pt>
                <c:pt idx="9">
                  <c:v>Overall</c:v>
                </c:pt>
              </c:strCache>
            </c:strRef>
          </c:cat>
          <c:val>
            <c:numRef>
              <c:f>'new Fig47'!$D$1:$D$10</c:f>
              <c:numCache>
                <c:formatCode>General</c:formatCode>
                <c:ptCount val="10"/>
                <c:pt idx="0">
                  <c:v>2.3573846594596488</c:v>
                </c:pt>
                <c:pt idx="1">
                  <c:v>2.4115881729859443</c:v>
                </c:pt>
                <c:pt idx="2">
                  <c:v>10.004194224874981</c:v>
                </c:pt>
                <c:pt idx="3">
                  <c:v>13.307302763931144</c:v>
                </c:pt>
                <c:pt idx="4">
                  <c:v>19.29123367972289</c:v>
                </c:pt>
                <c:pt idx="5">
                  <c:v>15.46953726463302</c:v>
                </c:pt>
                <c:pt idx="6">
                  <c:v>14.1155712395236</c:v>
                </c:pt>
                <c:pt idx="7">
                  <c:v>28.093168060743455</c:v>
                </c:pt>
                <c:pt idx="8">
                  <c:v>12.838809379829335</c:v>
                </c:pt>
                <c:pt idx="9">
                  <c:v>9.7139082111691799</c:v>
                </c:pt>
              </c:numCache>
            </c:numRef>
          </c:val>
          <c:extLst xmlns:c16r2="http://schemas.microsoft.com/office/drawing/2015/06/chart">
            <c:ext xmlns:c16="http://schemas.microsoft.com/office/drawing/2014/chart" uri="{C3380CC4-5D6E-409C-BE32-E72D297353CC}">
              <c16:uniqueId val="{00000000-8B9A-44E2-85A0-8EC60A73BA6C}"/>
            </c:ext>
          </c:extLst>
        </c:ser>
        <c:dLbls>
          <c:showLegendKey val="0"/>
          <c:showVal val="0"/>
          <c:showCatName val="0"/>
          <c:showSerName val="0"/>
          <c:showPercent val="0"/>
          <c:showBubbleSize val="0"/>
        </c:dLbls>
        <c:gapWidth val="310"/>
        <c:axId val="396308864"/>
        <c:axId val="396310400"/>
      </c:barChart>
      <c:catAx>
        <c:axId val="396308864"/>
        <c:scaling>
          <c:orientation val="minMax"/>
        </c:scaling>
        <c:delete val="0"/>
        <c:axPos val="l"/>
        <c:numFmt formatCode="General" sourceLinked="1"/>
        <c:majorTickMark val="none"/>
        <c:minorTickMark val="none"/>
        <c:tickLblPos val="nextTo"/>
        <c:txPr>
          <a:bodyPr/>
          <a:lstStyle/>
          <a:p>
            <a:pPr>
              <a:defRPr sz="1000"/>
            </a:pPr>
            <a:endParaRPr lang="en-US"/>
          </a:p>
        </c:txPr>
        <c:crossAx val="396310400"/>
        <c:crosses val="autoZero"/>
        <c:auto val="1"/>
        <c:lblAlgn val="ctr"/>
        <c:lblOffset val="100"/>
        <c:noMultiLvlLbl val="0"/>
      </c:catAx>
      <c:valAx>
        <c:axId val="396310400"/>
        <c:scaling>
          <c:orientation val="minMax"/>
        </c:scaling>
        <c:delete val="0"/>
        <c:axPos val="b"/>
        <c:title>
          <c:tx>
            <c:rich>
              <a:bodyPr/>
              <a:lstStyle/>
              <a:p>
                <a:pPr>
                  <a:defRPr b="0"/>
                </a:pPr>
                <a:r>
                  <a:rPr lang="en-US" b="0"/>
                  <a:t>Overdose rate per 100 person-years</a:t>
                </a:r>
              </a:p>
            </c:rich>
          </c:tx>
          <c:layout/>
          <c:overlay val="0"/>
        </c:title>
        <c:numFmt formatCode="General" sourceLinked="1"/>
        <c:majorTickMark val="out"/>
        <c:minorTickMark val="none"/>
        <c:tickLblPos val="nextTo"/>
        <c:crossAx val="396308864"/>
        <c:crosses val="autoZero"/>
        <c:crossBetween val="between"/>
        <c:majorUnit val="5"/>
      </c:valAx>
    </c:plotArea>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10463186971364"/>
          <c:y val="1.0459001903112644E-3"/>
          <c:w val="0.74463292116608615"/>
          <c:h val="0.79772275888194388"/>
        </c:manualLayout>
      </c:layout>
      <c:barChart>
        <c:barDir val="bar"/>
        <c:grouping val="clustered"/>
        <c:varyColors val="0"/>
        <c:ser>
          <c:idx val="0"/>
          <c:order val="0"/>
          <c:tx>
            <c:strRef>
              <c:f>Fig38x!$B$3</c:f>
              <c:strCache>
                <c:ptCount val="1"/>
                <c:pt idx="0">
                  <c:v>Overdose rate per 100 person-years</c:v>
                </c:pt>
              </c:strCache>
            </c:strRef>
          </c:tx>
          <c:spPr>
            <a:solidFill>
              <a:schemeClr val="accent1"/>
            </a:solidFill>
          </c:spPr>
          <c:invertIfNegative val="0"/>
          <c:errBars>
            <c:errBarType val="both"/>
            <c:errValType val="cust"/>
            <c:noEndCap val="0"/>
            <c:plus>
              <c:numRef>
                <c:f>Fig38x!$E$4:$E$12</c:f>
                <c:numCache>
                  <c:formatCode>General</c:formatCode>
                  <c:ptCount val="9"/>
                  <c:pt idx="0">
                    <c:v>0.30000000000000071</c:v>
                  </c:pt>
                  <c:pt idx="1">
                    <c:v>0.30000000000000071</c:v>
                  </c:pt>
                  <c:pt idx="2">
                    <c:v>0.5</c:v>
                  </c:pt>
                  <c:pt idx="3">
                    <c:v>0.70000000000000018</c:v>
                  </c:pt>
                  <c:pt idx="4">
                    <c:v>0.30000000000000071</c:v>
                  </c:pt>
                  <c:pt idx="5">
                    <c:v>0.69999999999999929</c:v>
                  </c:pt>
                  <c:pt idx="6">
                    <c:v>0.20000000000000107</c:v>
                  </c:pt>
                  <c:pt idx="7">
                    <c:v>0.20000000000000107</c:v>
                  </c:pt>
                  <c:pt idx="8">
                    <c:v>0.36859720279274022</c:v>
                  </c:pt>
                </c:numCache>
              </c:numRef>
            </c:plus>
            <c:minus>
              <c:numRef>
                <c:f>Fig38x!$E$4:$E$12</c:f>
                <c:numCache>
                  <c:formatCode>General</c:formatCode>
                  <c:ptCount val="9"/>
                  <c:pt idx="0">
                    <c:v>0.30000000000000071</c:v>
                  </c:pt>
                  <c:pt idx="1">
                    <c:v>0.30000000000000071</c:v>
                  </c:pt>
                  <c:pt idx="2">
                    <c:v>0.5</c:v>
                  </c:pt>
                  <c:pt idx="3">
                    <c:v>0.70000000000000018</c:v>
                  </c:pt>
                  <c:pt idx="4">
                    <c:v>0.30000000000000071</c:v>
                  </c:pt>
                  <c:pt idx="5">
                    <c:v>0.69999999999999929</c:v>
                  </c:pt>
                  <c:pt idx="6">
                    <c:v>0.20000000000000107</c:v>
                  </c:pt>
                  <c:pt idx="7">
                    <c:v>0.20000000000000107</c:v>
                  </c:pt>
                  <c:pt idx="8">
                    <c:v>0.36859720279274022</c:v>
                  </c:pt>
                </c:numCache>
              </c:numRef>
            </c:minus>
            <c:spPr>
              <a:ln>
                <a:solidFill>
                  <a:schemeClr val="tx2"/>
                </a:solidFill>
              </a:ln>
            </c:spPr>
          </c:errBars>
          <c:cat>
            <c:strRef>
              <c:f>Fig38x!$A$4:$A$12</c:f>
              <c:strCache>
                <c:ptCount val="9"/>
                <c:pt idx="0">
                  <c:v>Emerging adults</c:v>
                </c:pt>
                <c:pt idx="1">
                  <c:v>Mental health diagnosis</c:v>
                </c:pt>
                <c:pt idx="2">
                  <c:v>Hispanic</c:v>
                </c:pt>
                <c:pt idx="3">
                  <c:v>Black non-Hispanic</c:v>
                </c:pt>
                <c:pt idx="4">
                  <c:v>White non-Hispanic</c:v>
                </c:pt>
                <c:pt idx="5">
                  <c:v>Homeless</c:v>
                </c:pt>
                <c:pt idx="6">
                  <c:v>Female</c:v>
                </c:pt>
                <c:pt idx="7">
                  <c:v>Male</c:v>
                </c:pt>
                <c:pt idx="8">
                  <c:v>Overall</c:v>
                </c:pt>
              </c:strCache>
            </c:strRef>
          </c:cat>
          <c:val>
            <c:numRef>
              <c:f>Fig38x!$B$4:$B$12</c:f>
              <c:numCache>
                <c:formatCode>General</c:formatCode>
                <c:ptCount val="9"/>
                <c:pt idx="0">
                  <c:v>11</c:v>
                </c:pt>
                <c:pt idx="1">
                  <c:v>10.199999999999999</c:v>
                </c:pt>
                <c:pt idx="2">
                  <c:v>8.6999999999999993</c:v>
                </c:pt>
                <c:pt idx="3">
                  <c:v>4.5999999999999996</c:v>
                </c:pt>
                <c:pt idx="4">
                  <c:v>10.199999999999999</c:v>
                </c:pt>
                <c:pt idx="5">
                  <c:v>12.3</c:v>
                </c:pt>
                <c:pt idx="6">
                  <c:v>10.1</c:v>
                </c:pt>
                <c:pt idx="7">
                  <c:v>9.6999999999999993</c:v>
                </c:pt>
                <c:pt idx="8">
                  <c:v>9.9</c:v>
                </c:pt>
              </c:numCache>
            </c:numRef>
          </c:val>
          <c:extLst xmlns:c16r2="http://schemas.microsoft.com/office/drawing/2015/06/chart">
            <c:ext xmlns:c16="http://schemas.microsoft.com/office/drawing/2014/chart" uri="{C3380CC4-5D6E-409C-BE32-E72D297353CC}">
              <c16:uniqueId val="{00000000-1051-44B5-902A-682909806B18}"/>
            </c:ext>
          </c:extLst>
        </c:ser>
        <c:dLbls>
          <c:showLegendKey val="0"/>
          <c:showVal val="0"/>
          <c:showCatName val="0"/>
          <c:showSerName val="0"/>
          <c:showPercent val="0"/>
          <c:showBubbleSize val="0"/>
        </c:dLbls>
        <c:gapWidth val="180"/>
        <c:axId val="396327168"/>
        <c:axId val="396349440"/>
      </c:barChart>
      <c:catAx>
        <c:axId val="396327168"/>
        <c:scaling>
          <c:orientation val="minMax"/>
        </c:scaling>
        <c:delete val="0"/>
        <c:axPos val="l"/>
        <c:numFmt formatCode="General" sourceLinked="0"/>
        <c:majorTickMark val="none"/>
        <c:minorTickMark val="none"/>
        <c:tickLblPos val="nextTo"/>
        <c:txPr>
          <a:bodyPr/>
          <a:lstStyle/>
          <a:p>
            <a:pPr>
              <a:defRPr sz="1000"/>
            </a:pPr>
            <a:endParaRPr lang="en-US"/>
          </a:p>
        </c:txPr>
        <c:crossAx val="396349440"/>
        <c:crosses val="autoZero"/>
        <c:auto val="1"/>
        <c:lblAlgn val="ctr"/>
        <c:lblOffset val="100"/>
        <c:noMultiLvlLbl val="0"/>
      </c:catAx>
      <c:valAx>
        <c:axId val="396349440"/>
        <c:scaling>
          <c:orientation val="minMax"/>
          <c:max val="20"/>
        </c:scaling>
        <c:delete val="0"/>
        <c:axPos val="b"/>
        <c:title>
          <c:tx>
            <c:rich>
              <a:bodyPr/>
              <a:lstStyle/>
              <a:p>
                <a:pPr>
                  <a:defRPr b="0"/>
                </a:pPr>
                <a:r>
                  <a:rPr lang="en-US" b="0"/>
                  <a:t>Overdose rate per 100 person-years</a:t>
                </a:r>
              </a:p>
            </c:rich>
          </c:tx>
          <c:layout/>
          <c:overlay val="0"/>
        </c:title>
        <c:numFmt formatCode="General" sourceLinked="1"/>
        <c:majorTickMark val="out"/>
        <c:minorTickMark val="none"/>
        <c:tickLblPos val="nextTo"/>
        <c:crossAx val="396327168"/>
        <c:crosses val="autoZero"/>
        <c:crossBetween val="between"/>
        <c:majorUnit val="5"/>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'newFig 5'!$B$2</c:f>
              <c:strCache>
                <c:ptCount val="1"/>
                <c:pt idx="0">
                  <c:v>White non-Hispanic</c:v>
                </c:pt>
              </c:strCache>
            </c:strRef>
          </c:tx>
          <c:invertIfNegative val="0"/>
          <c:dLbls>
            <c:numFmt formatCode="0.0%" sourceLinked="0"/>
            <c:showLegendKey val="0"/>
            <c:showVal val="1"/>
            <c:showCatName val="0"/>
            <c:showSerName val="0"/>
            <c:showPercent val="0"/>
            <c:showBubbleSize val="0"/>
            <c:showLeaderLines val="0"/>
          </c:dLbls>
          <c:cat>
            <c:strRef>
              <c:f>'newFig 5'!$C$1:$E$1</c:f>
              <c:strCache>
                <c:ptCount val="3"/>
                <c:pt idx="0">
                  <c:v>Overdose in the Year Before or After Delivery</c:v>
                </c:pt>
                <c:pt idx="1">
                  <c:v>No Overdose in the Year Before or After Delivery</c:v>
                </c:pt>
                <c:pt idx="2">
                  <c:v>No Diagnosis of OUD in the year prior</c:v>
                </c:pt>
              </c:strCache>
            </c:strRef>
          </c:cat>
          <c:val>
            <c:numRef>
              <c:f>'newFig 5'!$C$2:$E$2</c:f>
              <c:numCache>
                <c:formatCode>General</c:formatCode>
                <c:ptCount val="3"/>
                <c:pt idx="0">
                  <c:v>0.87</c:v>
                </c:pt>
                <c:pt idx="1">
                  <c:v>0.84099999999999997</c:v>
                </c:pt>
                <c:pt idx="2">
                  <c:v>0.62450000000000006</c:v>
                </c:pt>
              </c:numCache>
            </c:numRef>
          </c:val>
        </c:ser>
        <c:dLbls>
          <c:showLegendKey val="0"/>
          <c:showVal val="0"/>
          <c:showCatName val="0"/>
          <c:showSerName val="0"/>
          <c:showPercent val="0"/>
          <c:showBubbleSize val="0"/>
        </c:dLbls>
        <c:gapWidth val="150"/>
        <c:axId val="380603008"/>
        <c:axId val="380608896"/>
      </c:barChart>
      <c:catAx>
        <c:axId val="380603008"/>
        <c:scaling>
          <c:orientation val="minMax"/>
        </c:scaling>
        <c:delete val="0"/>
        <c:axPos val="b"/>
        <c:numFmt formatCode="General" sourceLinked="1"/>
        <c:majorTickMark val="out"/>
        <c:minorTickMark val="none"/>
        <c:tickLblPos val="nextTo"/>
        <c:crossAx val="380608896"/>
        <c:crosses val="autoZero"/>
        <c:auto val="1"/>
        <c:lblAlgn val="ctr"/>
        <c:lblOffset val="100"/>
        <c:noMultiLvlLbl val="0"/>
      </c:catAx>
      <c:valAx>
        <c:axId val="380608896"/>
        <c:scaling>
          <c:orientation val="minMax"/>
        </c:scaling>
        <c:delete val="0"/>
        <c:axPos val="l"/>
        <c:numFmt formatCode="0%" sourceLinked="0"/>
        <c:majorTickMark val="out"/>
        <c:minorTickMark val="none"/>
        <c:tickLblPos val="nextTo"/>
        <c:crossAx val="380603008"/>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39338997099046"/>
          <c:y val="0.1162153689122193"/>
          <c:w val="0.87944001243265646"/>
          <c:h val="0.62874489647127441"/>
        </c:manualLayout>
      </c:layout>
      <c:barChart>
        <c:barDir val="col"/>
        <c:grouping val="clustered"/>
        <c:varyColors val="0"/>
        <c:ser>
          <c:idx val="0"/>
          <c:order val="0"/>
          <c:tx>
            <c:strRef>
              <c:f>'Fig49'!$A$2</c:f>
              <c:strCache>
                <c:ptCount val="1"/>
                <c:pt idx="0">
                  <c:v>Likely homeless</c:v>
                </c:pt>
              </c:strCache>
            </c:strRef>
          </c:tx>
          <c:invertIfNegative val="0"/>
          <c:dLbls>
            <c:showLegendKey val="0"/>
            <c:showVal val="1"/>
            <c:showCatName val="0"/>
            <c:showSerName val="0"/>
            <c:showPercent val="0"/>
            <c:showBubbleSize val="0"/>
            <c:showLeaderLines val="0"/>
          </c:dLbls>
          <c:cat>
            <c:strRef>
              <c:f>'Fig49'!$B$1:$F$1</c:f>
              <c:strCache>
                <c:ptCount val="5"/>
                <c:pt idx="0">
                  <c:v>Buprenorphine</c:v>
                </c:pt>
                <c:pt idx="1">
                  <c:v>Methadone</c:v>
                </c:pt>
                <c:pt idx="2">
                  <c:v>Naltrexone</c:v>
                </c:pt>
                <c:pt idx="3">
                  <c:v>Short-term residential</c:v>
                </c:pt>
                <c:pt idx="4">
                  <c:v>Long-term residential</c:v>
                </c:pt>
              </c:strCache>
            </c:strRef>
          </c:cat>
          <c:val>
            <c:numRef>
              <c:f>'Fig49'!$B$2:$F$2</c:f>
              <c:numCache>
                <c:formatCode>0%</c:formatCode>
                <c:ptCount val="5"/>
                <c:pt idx="0">
                  <c:v>0.3</c:v>
                </c:pt>
                <c:pt idx="1">
                  <c:v>0.26</c:v>
                </c:pt>
                <c:pt idx="2">
                  <c:v>0.1</c:v>
                </c:pt>
                <c:pt idx="3">
                  <c:v>0.39</c:v>
                </c:pt>
                <c:pt idx="4">
                  <c:v>0.25</c:v>
                </c:pt>
              </c:numCache>
            </c:numRef>
          </c:val>
        </c:ser>
        <c:ser>
          <c:idx val="1"/>
          <c:order val="1"/>
          <c:tx>
            <c:strRef>
              <c:f>'Fig49'!$A$3</c:f>
              <c:strCache>
                <c:ptCount val="1"/>
                <c:pt idx="0">
                  <c:v>Less likely homeless</c:v>
                </c:pt>
              </c:strCache>
            </c:strRef>
          </c:tx>
          <c:invertIfNegative val="0"/>
          <c:dLbls>
            <c:showLegendKey val="0"/>
            <c:showVal val="1"/>
            <c:showCatName val="0"/>
            <c:showSerName val="0"/>
            <c:showPercent val="0"/>
            <c:showBubbleSize val="0"/>
            <c:showLeaderLines val="0"/>
          </c:dLbls>
          <c:cat>
            <c:strRef>
              <c:f>'Fig49'!$B$1:$F$1</c:f>
              <c:strCache>
                <c:ptCount val="5"/>
                <c:pt idx="0">
                  <c:v>Buprenorphine</c:v>
                </c:pt>
                <c:pt idx="1">
                  <c:v>Methadone</c:v>
                </c:pt>
                <c:pt idx="2">
                  <c:v>Naltrexone</c:v>
                </c:pt>
                <c:pt idx="3">
                  <c:v>Short-term residential</c:v>
                </c:pt>
                <c:pt idx="4">
                  <c:v>Long-term residential</c:v>
                </c:pt>
              </c:strCache>
            </c:strRef>
          </c:cat>
          <c:val>
            <c:numRef>
              <c:f>'Fig49'!$B$3:$F$3</c:f>
              <c:numCache>
                <c:formatCode>0%</c:formatCode>
                <c:ptCount val="5"/>
                <c:pt idx="0">
                  <c:v>0.24</c:v>
                </c:pt>
                <c:pt idx="1">
                  <c:v>0.23</c:v>
                </c:pt>
                <c:pt idx="2">
                  <c:v>0.09</c:v>
                </c:pt>
                <c:pt idx="3">
                  <c:v>0.22</c:v>
                </c:pt>
                <c:pt idx="4">
                  <c:v>0.15</c:v>
                </c:pt>
              </c:numCache>
            </c:numRef>
          </c:val>
        </c:ser>
        <c:dLbls>
          <c:showLegendKey val="0"/>
          <c:showVal val="0"/>
          <c:showCatName val="0"/>
          <c:showSerName val="0"/>
          <c:showPercent val="0"/>
          <c:showBubbleSize val="0"/>
        </c:dLbls>
        <c:gapWidth val="150"/>
        <c:overlap val="-20"/>
        <c:axId val="396379264"/>
        <c:axId val="396380800"/>
      </c:barChart>
      <c:catAx>
        <c:axId val="396379264"/>
        <c:scaling>
          <c:orientation val="minMax"/>
        </c:scaling>
        <c:delete val="0"/>
        <c:axPos val="b"/>
        <c:numFmt formatCode="General" sourceLinked="1"/>
        <c:majorTickMark val="out"/>
        <c:minorTickMark val="none"/>
        <c:tickLblPos val="nextTo"/>
        <c:crossAx val="396380800"/>
        <c:crosses val="autoZero"/>
        <c:auto val="1"/>
        <c:lblAlgn val="ctr"/>
        <c:lblOffset val="100"/>
        <c:noMultiLvlLbl val="0"/>
      </c:catAx>
      <c:valAx>
        <c:axId val="396380800"/>
        <c:scaling>
          <c:orientation val="minMax"/>
        </c:scaling>
        <c:delete val="0"/>
        <c:axPos val="l"/>
        <c:title>
          <c:tx>
            <c:rich>
              <a:bodyPr rot="-5400000" vert="horz"/>
              <a:lstStyle/>
              <a:p>
                <a:pPr>
                  <a:defRPr b="0"/>
                </a:pPr>
                <a:r>
                  <a:rPr lang="en-US" b="0"/>
                  <a:t>% Receiving Treatment/Service</a:t>
                </a:r>
              </a:p>
            </c:rich>
          </c:tx>
          <c:layout>
            <c:manualLayout>
              <c:xMode val="edge"/>
              <c:yMode val="edge"/>
              <c:x val="5.7292098356126536E-3"/>
              <c:y val="0.15421041119860016"/>
            </c:manualLayout>
          </c:layout>
          <c:overlay val="0"/>
        </c:title>
        <c:numFmt formatCode="0%" sourceLinked="1"/>
        <c:majorTickMark val="out"/>
        <c:minorTickMark val="none"/>
        <c:tickLblPos val="nextTo"/>
        <c:crossAx val="396379264"/>
        <c:crosses val="autoZero"/>
        <c:crossBetween val="between"/>
      </c:valAx>
    </c:plotArea>
    <c:legend>
      <c:legendPos val="b"/>
      <c:layout/>
      <c:overlay val="0"/>
    </c:legend>
    <c:plotVisOnly val="1"/>
    <c:dispBlanksAs val="gap"/>
    <c:showDLblsOverMax val="0"/>
  </c:chart>
  <c:spPr>
    <a:ln>
      <a:noFill/>
    </a:ln>
  </c:spPr>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002456423716255E-2"/>
          <c:y val="3.6062552348511655E-2"/>
          <c:w val="0.85550568155028528"/>
          <c:h val="0.79200690010566543"/>
        </c:manualLayout>
      </c:layout>
      <c:barChart>
        <c:barDir val="col"/>
        <c:grouping val="clustered"/>
        <c:varyColors val="0"/>
        <c:ser>
          <c:idx val="0"/>
          <c:order val="0"/>
          <c:tx>
            <c:strRef>
              <c:f>'Fig50'!$B$5</c:f>
              <c:strCache>
                <c:ptCount val="1"/>
                <c:pt idx="0">
                  <c:v>Likely Homeless</c:v>
                </c:pt>
              </c:strCache>
            </c:strRef>
          </c:tx>
          <c:invertIfNegative val="0"/>
          <c:dLbls>
            <c:showLegendKey val="0"/>
            <c:showVal val="1"/>
            <c:showCatName val="0"/>
            <c:showSerName val="0"/>
            <c:showPercent val="0"/>
            <c:showBubbleSize val="0"/>
            <c:showLeaderLines val="0"/>
          </c:dLbls>
          <c:cat>
            <c:numRef>
              <c:f>'Fig50'!$C$4:$D$4</c:f>
              <c:numCache>
                <c:formatCode>General</c:formatCode>
                <c:ptCount val="2"/>
              </c:numCache>
            </c:numRef>
          </c:cat>
          <c:val>
            <c:numRef>
              <c:f>'Fig50'!$C$5:$D$5</c:f>
              <c:numCache>
                <c:formatCode>0%</c:formatCode>
                <c:ptCount val="2"/>
                <c:pt idx="0">
                  <c:v>-0.4</c:v>
                </c:pt>
                <c:pt idx="1">
                  <c:v>-0.5</c:v>
                </c:pt>
              </c:numCache>
            </c:numRef>
          </c:val>
        </c:ser>
        <c:ser>
          <c:idx val="1"/>
          <c:order val="1"/>
          <c:tx>
            <c:strRef>
              <c:f>'Fig50'!$B$6</c:f>
              <c:strCache>
                <c:ptCount val="1"/>
                <c:pt idx="0">
                  <c:v>Less likely Homeless</c:v>
                </c:pt>
              </c:strCache>
            </c:strRef>
          </c:tx>
          <c:invertIfNegative val="0"/>
          <c:dLbls>
            <c:showLegendKey val="0"/>
            <c:showVal val="1"/>
            <c:showCatName val="0"/>
            <c:showSerName val="0"/>
            <c:showPercent val="0"/>
            <c:showBubbleSize val="0"/>
            <c:showLeaderLines val="0"/>
          </c:dLbls>
          <c:cat>
            <c:numRef>
              <c:f>'Fig50'!$C$4:$D$4</c:f>
              <c:numCache>
                <c:formatCode>General</c:formatCode>
                <c:ptCount val="2"/>
              </c:numCache>
            </c:numRef>
          </c:cat>
          <c:val>
            <c:numRef>
              <c:f>'Fig50'!$C$6:$D$6</c:f>
              <c:numCache>
                <c:formatCode>0%</c:formatCode>
                <c:ptCount val="2"/>
                <c:pt idx="0">
                  <c:v>-0.43</c:v>
                </c:pt>
                <c:pt idx="1">
                  <c:v>-0.61</c:v>
                </c:pt>
              </c:numCache>
            </c:numRef>
          </c:val>
        </c:ser>
        <c:dLbls>
          <c:showLegendKey val="0"/>
          <c:showVal val="0"/>
          <c:showCatName val="0"/>
          <c:showSerName val="0"/>
          <c:showPercent val="0"/>
          <c:showBubbleSize val="0"/>
        </c:dLbls>
        <c:gapWidth val="150"/>
        <c:overlap val="-20"/>
        <c:axId val="396399744"/>
        <c:axId val="396401280"/>
      </c:barChart>
      <c:catAx>
        <c:axId val="396399744"/>
        <c:scaling>
          <c:orientation val="minMax"/>
        </c:scaling>
        <c:delete val="0"/>
        <c:axPos val="b"/>
        <c:numFmt formatCode="General" sourceLinked="1"/>
        <c:majorTickMark val="out"/>
        <c:minorTickMark val="none"/>
        <c:tickLblPos val="nextTo"/>
        <c:crossAx val="396401280"/>
        <c:crosses val="autoZero"/>
        <c:auto val="1"/>
        <c:lblAlgn val="ctr"/>
        <c:lblOffset val="100"/>
        <c:noMultiLvlLbl val="0"/>
      </c:catAx>
      <c:valAx>
        <c:axId val="396401280"/>
        <c:scaling>
          <c:orientation val="minMax"/>
          <c:max val="1"/>
          <c:min val="-1"/>
        </c:scaling>
        <c:delete val="0"/>
        <c:axPos val="l"/>
        <c:numFmt formatCode="0%" sourceLinked="1"/>
        <c:majorTickMark val="out"/>
        <c:minorTickMark val="none"/>
        <c:tickLblPos val="nextTo"/>
        <c:crossAx val="396399744"/>
        <c:crosses val="autoZero"/>
        <c:crossBetween val="between"/>
        <c:majorUnit val="0.2"/>
        <c:minorUnit val="0.2"/>
      </c:valAx>
    </c:plotArea>
    <c:legend>
      <c:legendPos val="r"/>
      <c:layout>
        <c:manualLayout>
          <c:xMode val="edge"/>
          <c:yMode val="edge"/>
          <c:x val="0.18071218473256453"/>
          <c:y val="0.84825934392609526"/>
          <c:w val="0.61310388237669389"/>
          <c:h val="0.10724917449834903"/>
        </c:manualLayout>
      </c:layout>
      <c:overlay val="0"/>
    </c:legend>
    <c:plotVisOnly val="1"/>
    <c:dispBlanksAs val="gap"/>
    <c:showDLblsOverMax val="0"/>
  </c:chart>
  <c:spPr>
    <a:ln>
      <a:noFill/>
    </a:ln>
  </c:spPr>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20777184731103"/>
          <c:y val="9.0352709895326844E-2"/>
          <c:w val="0.85996917331642264"/>
          <c:h val="0.63308655813041159"/>
        </c:manualLayout>
      </c:layout>
      <c:barChart>
        <c:barDir val="col"/>
        <c:grouping val="clustered"/>
        <c:varyColors val="0"/>
        <c:ser>
          <c:idx val="0"/>
          <c:order val="0"/>
          <c:tx>
            <c:strRef>
              <c:f>'Fig52'!$B$1</c:f>
              <c:strCache>
                <c:ptCount val="1"/>
                <c:pt idx="0">
                  <c:v>Postpartum </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'Fig52'!$A$2:$A$7</c:f>
              <c:strCache>
                <c:ptCount val="6"/>
                <c:pt idx="0">
                  <c:v>West</c:v>
                </c:pt>
                <c:pt idx="1">
                  <c:v>Central</c:v>
                </c:pt>
                <c:pt idx="2">
                  <c:v>Northeast</c:v>
                </c:pt>
                <c:pt idx="3">
                  <c:v>Metrowest</c:v>
                </c:pt>
                <c:pt idx="4">
                  <c:v>Southeast</c:v>
                </c:pt>
                <c:pt idx="5">
                  <c:v>Boston </c:v>
                </c:pt>
              </c:strCache>
            </c:strRef>
          </c:cat>
          <c:val>
            <c:numRef>
              <c:f>'Fig52'!$B$2:$B$7</c:f>
              <c:numCache>
                <c:formatCode>General</c:formatCode>
                <c:ptCount val="6"/>
                <c:pt idx="0">
                  <c:v>1.3</c:v>
                </c:pt>
                <c:pt idx="1">
                  <c:v>1</c:v>
                </c:pt>
                <c:pt idx="2">
                  <c:v>1.1000000000000001</c:v>
                </c:pt>
                <c:pt idx="3">
                  <c:v>0.6</c:v>
                </c:pt>
                <c:pt idx="4">
                  <c:v>1.9</c:v>
                </c:pt>
                <c:pt idx="5">
                  <c:v>0.4</c:v>
                </c:pt>
              </c:numCache>
            </c:numRef>
          </c:val>
        </c:ser>
        <c:ser>
          <c:idx val="1"/>
          <c:order val="1"/>
          <c:tx>
            <c:strRef>
              <c:f>'Fig52'!$C$1</c:f>
              <c:strCache>
                <c:ptCount val="1"/>
                <c:pt idx="0">
                  <c:v>All</c:v>
                </c:pt>
              </c:strCache>
            </c:strRef>
          </c:tx>
          <c:spPr>
            <a:solidFill>
              <a:schemeClr val="accent2"/>
            </a:solidFill>
          </c:spPr>
          <c:invertIfNegative val="0"/>
          <c:dLbls>
            <c:showLegendKey val="0"/>
            <c:showVal val="1"/>
            <c:showCatName val="0"/>
            <c:showSerName val="0"/>
            <c:showPercent val="0"/>
            <c:showBubbleSize val="0"/>
            <c:showLeaderLines val="0"/>
          </c:dLbls>
          <c:cat>
            <c:strRef>
              <c:f>'Fig52'!$A$2:$A$7</c:f>
              <c:strCache>
                <c:ptCount val="6"/>
                <c:pt idx="0">
                  <c:v>West</c:v>
                </c:pt>
                <c:pt idx="1">
                  <c:v>Central</c:v>
                </c:pt>
                <c:pt idx="2">
                  <c:v>Northeast</c:v>
                </c:pt>
                <c:pt idx="3">
                  <c:v>Metrowest</c:v>
                </c:pt>
                <c:pt idx="4">
                  <c:v>Southeast</c:v>
                </c:pt>
                <c:pt idx="5">
                  <c:v>Boston </c:v>
                </c:pt>
              </c:strCache>
            </c:strRef>
          </c:cat>
          <c:val>
            <c:numRef>
              <c:f>'Fig52'!$C$2:$C$7</c:f>
              <c:numCache>
                <c:formatCode>General</c:formatCode>
                <c:ptCount val="6"/>
                <c:pt idx="0">
                  <c:v>4.8</c:v>
                </c:pt>
                <c:pt idx="1">
                  <c:v>5.7</c:v>
                </c:pt>
                <c:pt idx="2">
                  <c:v>5</c:v>
                </c:pt>
                <c:pt idx="3">
                  <c:v>3.2</c:v>
                </c:pt>
                <c:pt idx="4">
                  <c:v>6.5</c:v>
                </c:pt>
                <c:pt idx="5">
                  <c:v>4.2</c:v>
                </c:pt>
              </c:numCache>
            </c:numRef>
          </c:val>
        </c:ser>
        <c:dLbls>
          <c:showLegendKey val="0"/>
          <c:showVal val="0"/>
          <c:showCatName val="0"/>
          <c:showSerName val="0"/>
          <c:showPercent val="0"/>
          <c:showBubbleSize val="0"/>
        </c:dLbls>
        <c:gapWidth val="75"/>
        <c:overlap val="-20"/>
        <c:axId val="397629312"/>
        <c:axId val="397630848"/>
      </c:barChart>
      <c:catAx>
        <c:axId val="397629312"/>
        <c:scaling>
          <c:orientation val="minMax"/>
        </c:scaling>
        <c:delete val="0"/>
        <c:axPos val="b"/>
        <c:numFmt formatCode="General" sourceLinked="1"/>
        <c:majorTickMark val="none"/>
        <c:minorTickMark val="none"/>
        <c:tickLblPos val="nextTo"/>
        <c:crossAx val="397630848"/>
        <c:crosses val="autoZero"/>
        <c:auto val="1"/>
        <c:lblAlgn val="ctr"/>
        <c:lblOffset val="100"/>
        <c:noMultiLvlLbl val="0"/>
      </c:catAx>
      <c:valAx>
        <c:axId val="397630848"/>
        <c:scaling>
          <c:orientation val="minMax"/>
          <c:max val="25"/>
        </c:scaling>
        <c:delete val="0"/>
        <c:axPos val="l"/>
        <c:title>
          <c:tx>
            <c:rich>
              <a:bodyPr rot="-5400000" vert="horz"/>
              <a:lstStyle/>
              <a:p>
                <a:pPr>
                  <a:defRPr b="0"/>
                </a:pPr>
                <a:r>
                  <a:rPr lang="en-US" b="0"/>
                  <a:t>Opioid</a:t>
                </a:r>
                <a:r>
                  <a:rPr lang="en-US" b="0" baseline="0"/>
                  <a:t> Overdoses per 1,000 Residents</a:t>
                </a:r>
                <a:endParaRPr lang="en-US" b="0"/>
              </a:p>
            </c:rich>
          </c:tx>
          <c:overlay val="0"/>
        </c:title>
        <c:numFmt formatCode="General" sourceLinked="1"/>
        <c:majorTickMark val="none"/>
        <c:minorTickMark val="none"/>
        <c:tickLblPos val="nextTo"/>
        <c:crossAx val="3976293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259668672272202E-2"/>
          <c:y val="5.7956407622960171E-2"/>
          <c:w val="0.88204595894439752"/>
          <c:h val="0.66138537030697253"/>
        </c:manualLayout>
      </c:layout>
      <c:barChart>
        <c:barDir val="col"/>
        <c:grouping val="clustered"/>
        <c:varyColors val="0"/>
        <c:ser>
          <c:idx val="0"/>
          <c:order val="0"/>
          <c:tx>
            <c:strRef>
              <c:f>'Fig54'!$B$20</c:f>
              <c:strCache>
                <c:ptCount val="1"/>
                <c:pt idx="0">
                  <c:v>All-Cause Mortality</c:v>
                </c:pt>
              </c:strCache>
            </c:strRef>
          </c:tx>
          <c:invertIfNegative val="0"/>
          <c:dLbls>
            <c:numFmt formatCode="#,##0.0" sourceLinked="0"/>
            <c:showLegendKey val="0"/>
            <c:showVal val="1"/>
            <c:showCatName val="0"/>
            <c:showSerName val="0"/>
            <c:showPercent val="0"/>
            <c:showBubbleSize val="0"/>
            <c:showLeaderLines val="0"/>
          </c:dLbls>
          <c:errBars>
            <c:errBarType val="both"/>
            <c:errValType val="cust"/>
            <c:noEndCap val="0"/>
            <c:plus>
              <c:numRef>
                <c:f>'Fig54'!$B$30:$B$35</c:f>
                <c:numCache>
                  <c:formatCode>General</c:formatCode>
                  <c:ptCount val="6"/>
                  <c:pt idx="0">
                    <c:v>4.0000000000000036E-2</c:v>
                  </c:pt>
                  <c:pt idx="1">
                    <c:v>2.0000000000000018E-2</c:v>
                  </c:pt>
                  <c:pt idx="2">
                    <c:v>3.0000000000000027E-2</c:v>
                  </c:pt>
                  <c:pt idx="3">
                    <c:v>6.0000000000000053E-2</c:v>
                  </c:pt>
                  <c:pt idx="4">
                    <c:v>3.0000000000000027E-2</c:v>
                  </c:pt>
                  <c:pt idx="5">
                    <c:v>4.0000000000000036E-2</c:v>
                  </c:pt>
                </c:numCache>
              </c:numRef>
            </c:plus>
            <c:minus>
              <c:numRef>
                <c:f>'Fig54'!$B$40:$B$45</c:f>
                <c:numCache>
                  <c:formatCode>General</c:formatCode>
                  <c:ptCount val="6"/>
                  <c:pt idx="0">
                    <c:v>4.9999999999999822E-2</c:v>
                  </c:pt>
                  <c:pt idx="1">
                    <c:v>3.0000000000000027E-2</c:v>
                  </c:pt>
                  <c:pt idx="2">
                    <c:v>2.9999999999999805E-2</c:v>
                  </c:pt>
                  <c:pt idx="3">
                    <c:v>6.0000000000000053E-2</c:v>
                  </c:pt>
                  <c:pt idx="4">
                    <c:v>2.0000000000000018E-2</c:v>
                  </c:pt>
                  <c:pt idx="5">
                    <c:v>4.0000000000000036E-2</c:v>
                  </c:pt>
                </c:numCache>
              </c:numRef>
            </c:minus>
          </c:errBars>
          <c:cat>
            <c:strRef>
              <c:f>'Fig54'!$A$21:$A$26</c:f>
              <c:strCache>
                <c:ptCount val="6"/>
                <c:pt idx="0">
                  <c:v>&gt;100 MME 3+ months</c:v>
                </c:pt>
                <c:pt idx="1">
                  <c:v>Benzo overlap 3+ months</c:v>
                </c:pt>
                <c:pt idx="2">
                  <c:v>4+ prescribers</c:v>
                </c:pt>
                <c:pt idx="3">
                  <c:v>4+ pharmacies</c:v>
                </c:pt>
                <c:pt idx="4">
                  <c:v>3+ cash payments</c:v>
                </c:pt>
                <c:pt idx="5">
                  <c:v>No pain diagnosis</c:v>
                </c:pt>
              </c:strCache>
            </c:strRef>
          </c:cat>
          <c:val>
            <c:numRef>
              <c:f>'Fig54'!$B$21:$B$26</c:f>
              <c:numCache>
                <c:formatCode>General</c:formatCode>
                <c:ptCount val="6"/>
                <c:pt idx="0">
                  <c:v>2.1800000000000002</c:v>
                </c:pt>
                <c:pt idx="1">
                  <c:v>1.4</c:v>
                </c:pt>
                <c:pt idx="2">
                  <c:v>1.37</c:v>
                </c:pt>
                <c:pt idx="3">
                  <c:v>1.5</c:v>
                </c:pt>
                <c:pt idx="4">
                  <c:v>1.3</c:v>
                </c:pt>
                <c:pt idx="5">
                  <c:v>2.0499999999999998</c:v>
                </c:pt>
              </c:numCache>
            </c:numRef>
          </c:val>
        </c:ser>
        <c:ser>
          <c:idx val="1"/>
          <c:order val="1"/>
          <c:tx>
            <c:strRef>
              <c:f>'Fig54'!$C$20</c:f>
              <c:strCache>
                <c:ptCount val="1"/>
                <c:pt idx="0">
                  <c:v>Fatal Opioid Overdose*</c:v>
                </c:pt>
              </c:strCache>
            </c:strRef>
          </c:tx>
          <c:invertIfNegative val="0"/>
          <c:dLbls>
            <c:numFmt formatCode="#,##0.0" sourceLinked="0"/>
            <c:showLegendKey val="0"/>
            <c:showVal val="1"/>
            <c:showCatName val="0"/>
            <c:showSerName val="0"/>
            <c:showPercent val="0"/>
            <c:showBubbleSize val="0"/>
            <c:showLeaderLines val="0"/>
          </c:dLbls>
          <c:errBars>
            <c:errBarType val="both"/>
            <c:errValType val="cust"/>
            <c:noEndCap val="0"/>
            <c:plus>
              <c:numRef>
                <c:f>'Fig54'!$C$30:$C$35</c:f>
                <c:numCache>
                  <c:formatCode>General</c:formatCode>
                  <c:ptCount val="6"/>
                  <c:pt idx="0">
                    <c:v>0.2300000000000002</c:v>
                  </c:pt>
                  <c:pt idx="1">
                    <c:v>0.38000000000000034</c:v>
                  </c:pt>
                  <c:pt idx="2">
                    <c:v>0.14000000000000012</c:v>
                  </c:pt>
                  <c:pt idx="3">
                    <c:v>0.17000000000000015</c:v>
                  </c:pt>
                  <c:pt idx="4">
                    <c:v>0.12</c:v>
                  </c:pt>
                  <c:pt idx="5">
                    <c:v>0.3400000000000003</c:v>
                  </c:pt>
                </c:numCache>
              </c:numRef>
            </c:plus>
            <c:minus>
              <c:numRef>
                <c:f>'Fig54'!$C$40:$C$45</c:f>
                <c:numCache>
                  <c:formatCode>General</c:formatCode>
                  <c:ptCount val="6"/>
                  <c:pt idx="0">
                    <c:v>0.25999999999999979</c:v>
                  </c:pt>
                  <c:pt idx="1">
                    <c:v>0.41999999999999993</c:v>
                  </c:pt>
                  <c:pt idx="2">
                    <c:v>0.15999999999999992</c:v>
                  </c:pt>
                  <c:pt idx="3">
                    <c:v>0.18999999999999995</c:v>
                  </c:pt>
                  <c:pt idx="4">
                    <c:v>0.1399999999999999</c:v>
                  </c:pt>
                  <c:pt idx="5">
                    <c:v>0.38999999999999968</c:v>
                  </c:pt>
                </c:numCache>
              </c:numRef>
            </c:minus>
          </c:errBars>
          <c:cat>
            <c:strRef>
              <c:f>'Fig54'!$A$21:$A$26</c:f>
              <c:strCache>
                <c:ptCount val="6"/>
                <c:pt idx="0">
                  <c:v>&gt;100 MME 3+ months</c:v>
                </c:pt>
                <c:pt idx="1">
                  <c:v>Benzo overlap 3+ months</c:v>
                </c:pt>
                <c:pt idx="2">
                  <c:v>4+ prescribers</c:v>
                </c:pt>
                <c:pt idx="3">
                  <c:v>4+ pharmacies</c:v>
                </c:pt>
                <c:pt idx="4">
                  <c:v>3+ cash payments</c:v>
                </c:pt>
                <c:pt idx="5">
                  <c:v>No pain diagnosis</c:v>
                </c:pt>
              </c:strCache>
            </c:strRef>
          </c:cat>
          <c:val>
            <c:numRef>
              <c:f>'Fig54'!$C$21:$C$26</c:f>
              <c:numCache>
                <c:formatCode>General</c:formatCode>
                <c:ptCount val="6"/>
                <c:pt idx="0">
                  <c:v>2.2200000000000002</c:v>
                </c:pt>
                <c:pt idx="1">
                  <c:v>4.2300000000000004</c:v>
                </c:pt>
                <c:pt idx="2">
                  <c:v>1.32</c:v>
                </c:pt>
                <c:pt idx="3">
                  <c:v>1.34</c:v>
                </c:pt>
                <c:pt idx="4">
                  <c:v>1.03</c:v>
                </c:pt>
                <c:pt idx="5">
                  <c:v>2.74</c:v>
                </c:pt>
              </c:numCache>
            </c:numRef>
          </c:val>
        </c:ser>
        <c:ser>
          <c:idx val="2"/>
          <c:order val="2"/>
          <c:tx>
            <c:strRef>
              <c:f>'Fig54'!$D$20</c:f>
              <c:strCache>
                <c:ptCount val="1"/>
                <c:pt idx="0">
                  <c:v>Non-Fatal Opioid Overdose † </c:v>
                </c:pt>
              </c:strCache>
            </c:strRef>
          </c:tx>
          <c:invertIfNegative val="0"/>
          <c:dLbls>
            <c:numFmt formatCode="#,##0.0" sourceLinked="0"/>
            <c:showLegendKey val="0"/>
            <c:showVal val="1"/>
            <c:showCatName val="0"/>
            <c:showSerName val="0"/>
            <c:showPercent val="0"/>
            <c:showBubbleSize val="0"/>
            <c:showLeaderLines val="0"/>
          </c:dLbls>
          <c:errBars>
            <c:errBarType val="both"/>
            <c:errValType val="cust"/>
            <c:noEndCap val="0"/>
            <c:plus>
              <c:numRef>
                <c:f>'Fig54'!$D$30:$D$35</c:f>
                <c:numCache>
                  <c:formatCode>General</c:formatCode>
                  <c:ptCount val="6"/>
                  <c:pt idx="0">
                    <c:v>8.9999999999999858E-2</c:v>
                  </c:pt>
                  <c:pt idx="1">
                    <c:v>5.9999999999999831E-2</c:v>
                  </c:pt>
                  <c:pt idx="2">
                    <c:v>5.0000000000000044E-2</c:v>
                  </c:pt>
                  <c:pt idx="3">
                    <c:v>9.000000000000008E-2</c:v>
                  </c:pt>
                  <c:pt idx="4">
                    <c:v>5.9999999999999942E-2</c:v>
                  </c:pt>
                  <c:pt idx="5">
                    <c:v>0.19</c:v>
                  </c:pt>
                </c:numCache>
              </c:numRef>
            </c:plus>
            <c:minus>
              <c:numRef>
                <c:f>'Fig54'!$D$40:$D$45</c:f>
                <c:numCache>
                  <c:formatCode>General</c:formatCode>
                  <c:ptCount val="6"/>
                  <c:pt idx="0">
                    <c:v>8.0000000000000071E-2</c:v>
                  </c:pt>
                  <c:pt idx="1">
                    <c:v>5.0000000000000044E-2</c:v>
                  </c:pt>
                  <c:pt idx="2">
                    <c:v>5.0000000000000044E-2</c:v>
                  </c:pt>
                  <c:pt idx="3">
                    <c:v>7.9999999999999849E-2</c:v>
                  </c:pt>
                  <c:pt idx="4">
                    <c:v>5.0000000000000044E-2</c:v>
                  </c:pt>
                  <c:pt idx="5">
                    <c:v>0.20000000000000018</c:v>
                  </c:pt>
                </c:numCache>
              </c:numRef>
            </c:minus>
          </c:errBars>
          <c:cat>
            <c:strRef>
              <c:f>'Fig54'!$A$21:$A$26</c:f>
              <c:strCache>
                <c:ptCount val="6"/>
                <c:pt idx="0">
                  <c:v>&gt;100 MME 3+ months</c:v>
                </c:pt>
                <c:pt idx="1">
                  <c:v>Benzo overlap 3+ months</c:v>
                </c:pt>
                <c:pt idx="2">
                  <c:v>4+ prescribers</c:v>
                </c:pt>
                <c:pt idx="3">
                  <c:v>4+ pharmacies</c:v>
                </c:pt>
                <c:pt idx="4">
                  <c:v>3+ cash payments</c:v>
                </c:pt>
                <c:pt idx="5">
                  <c:v>No pain diagnosis</c:v>
                </c:pt>
              </c:strCache>
            </c:strRef>
          </c:cat>
          <c:val>
            <c:numRef>
              <c:f>'Fig54'!$D$21:$D$26</c:f>
              <c:numCache>
                <c:formatCode>General</c:formatCode>
                <c:ptCount val="6"/>
                <c:pt idx="0">
                  <c:v>1.68</c:v>
                </c:pt>
                <c:pt idx="1">
                  <c:v>1.4</c:v>
                </c:pt>
                <c:pt idx="2">
                  <c:v>1.01</c:v>
                </c:pt>
                <c:pt idx="3">
                  <c:v>1.3</c:v>
                </c:pt>
                <c:pt idx="4">
                  <c:v>0.96</c:v>
                </c:pt>
                <c:pt idx="5">
                  <c:v>2.21</c:v>
                </c:pt>
              </c:numCache>
            </c:numRef>
          </c:val>
        </c:ser>
        <c:dLbls>
          <c:showLegendKey val="0"/>
          <c:showVal val="0"/>
          <c:showCatName val="0"/>
          <c:showSerName val="0"/>
          <c:showPercent val="0"/>
          <c:showBubbleSize val="0"/>
        </c:dLbls>
        <c:gapWidth val="150"/>
        <c:overlap val="-20"/>
        <c:axId val="397365248"/>
        <c:axId val="397366784"/>
      </c:barChart>
      <c:catAx>
        <c:axId val="397365248"/>
        <c:scaling>
          <c:orientation val="minMax"/>
        </c:scaling>
        <c:delete val="0"/>
        <c:axPos val="b"/>
        <c:numFmt formatCode="General" sourceLinked="1"/>
        <c:majorTickMark val="out"/>
        <c:minorTickMark val="none"/>
        <c:tickLblPos val="nextTo"/>
        <c:crossAx val="397366784"/>
        <c:crosses val="autoZero"/>
        <c:auto val="1"/>
        <c:lblAlgn val="ctr"/>
        <c:lblOffset val="100"/>
        <c:noMultiLvlLbl val="0"/>
      </c:catAx>
      <c:valAx>
        <c:axId val="397366784"/>
        <c:scaling>
          <c:orientation val="minMax"/>
          <c:max val="10"/>
        </c:scaling>
        <c:delete val="0"/>
        <c:axPos val="l"/>
        <c:title>
          <c:tx>
            <c:rich>
              <a:bodyPr rot="-5400000" vert="horz"/>
              <a:lstStyle/>
              <a:p>
                <a:pPr>
                  <a:defRPr b="0"/>
                </a:pPr>
                <a:r>
                  <a:rPr lang="en-US" b="0"/>
                  <a:t>Adjusted Hazard Ratio</a:t>
                </a:r>
              </a:p>
            </c:rich>
          </c:tx>
          <c:overlay val="0"/>
        </c:title>
        <c:numFmt formatCode="General" sourceLinked="1"/>
        <c:majorTickMark val="out"/>
        <c:minorTickMark val="none"/>
        <c:tickLblPos val="nextTo"/>
        <c:crossAx val="397365248"/>
        <c:crosses val="autoZero"/>
        <c:crossBetween val="between"/>
      </c:valAx>
    </c:plotArea>
    <c:legend>
      <c:legendPos val="b"/>
      <c:layout>
        <c:manualLayout>
          <c:xMode val="edge"/>
          <c:yMode val="edge"/>
          <c:x val="5.4888249890265424E-2"/>
          <c:y val="0.89517151660390282"/>
          <c:w val="0.89022350021946917"/>
          <c:h val="0.10482848339609722"/>
        </c:manualLayout>
      </c:layout>
      <c:overlay val="0"/>
    </c:legend>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99771596975021"/>
          <c:y val="6.5192446720614319E-2"/>
          <c:w val="0.88306701264594945"/>
          <c:h val="0.71687254283088031"/>
        </c:manualLayout>
      </c:layout>
      <c:barChart>
        <c:barDir val="col"/>
        <c:grouping val="clustered"/>
        <c:varyColors val="0"/>
        <c:ser>
          <c:idx val="0"/>
          <c:order val="0"/>
          <c:tx>
            <c:strRef>
              <c:f>'Fig55'!$C$14</c:f>
              <c:strCache>
                <c:ptCount val="1"/>
                <c:pt idx="0">
                  <c:v>All-cause mortality</c:v>
                </c:pt>
              </c:strCache>
            </c:strRef>
          </c:tx>
          <c:spPr>
            <a:solidFill>
              <a:schemeClr val="accent1"/>
            </a:solidFill>
          </c:spPr>
          <c:invertIfNegative val="0"/>
          <c:dLbls>
            <c:dLbl>
              <c:idx val="0"/>
              <c:layout>
                <c:manualLayout>
                  <c:x val="2.3515160152492252E-3"/>
                  <c:y val="8.4199918048218761E-2"/>
                </c:manualLayout>
              </c:layout>
              <c:dLblPos val="outEnd"/>
              <c:showLegendKey val="0"/>
              <c:showVal val="1"/>
              <c:showCatName val="0"/>
              <c:showSerName val="0"/>
              <c:showPercent val="0"/>
              <c:showBubbleSize val="0"/>
            </c:dLbl>
            <c:dLbl>
              <c:idx val="2"/>
              <c:layout>
                <c:manualLayout>
                  <c:x val="-8.6222825804809745E-17"/>
                  <c:y val="9.2863022769799033E-2"/>
                </c:manualLayout>
              </c:layout>
              <c:dLblPos val="outEnd"/>
              <c:showLegendKey val="0"/>
              <c:showVal val="1"/>
              <c:showCatName val="0"/>
              <c:showSerName val="0"/>
              <c:showPercent val="0"/>
              <c:showBubbleSize val="0"/>
            </c:dLbl>
            <c:dLbl>
              <c:idx val="3"/>
              <c:layout>
                <c:manualLayout>
                  <c:x val="5.7172756160747326E-4"/>
                  <c:y val="8.8164882526309857E-2"/>
                </c:manualLayout>
              </c:layout>
              <c:dLblPos val="outEnd"/>
              <c:showLegendKey val="0"/>
              <c:showVal val="1"/>
              <c:showCatName val="0"/>
              <c:showSerName val="0"/>
              <c:showPercent val="0"/>
              <c:showBubbleSize val="0"/>
            </c:dLbl>
            <c:numFmt formatCode="#,##0.0" sourceLinked="0"/>
            <c:txPr>
              <a:bodyPr/>
              <a:lstStyle/>
              <a:p>
                <a:pPr>
                  <a:defRPr sz="900">
                    <a:solidFill>
                      <a:schemeClr val="bg1"/>
                    </a:solidFill>
                  </a:defRPr>
                </a:pPr>
                <a:endParaRPr lang="en-US"/>
              </a:p>
            </c:txPr>
            <c:dLblPos val="ctr"/>
            <c:showLegendKey val="0"/>
            <c:showVal val="1"/>
            <c:showCatName val="0"/>
            <c:showSerName val="0"/>
            <c:showPercent val="0"/>
            <c:showBubbleSize val="0"/>
            <c:showLeaderLines val="0"/>
          </c:dLbls>
          <c:errBars>
            <c:errBarType val="both"/>
            <c:errValType val="cust"/>
            <c:noEndCap val="0"/>
            <c:plus>
              <c:numRef>
                <c:f>'Fig55'!$F$22:$F$25</c:f>
                <c:numCache>
                  <c:formatCode>General</c:formatCode>
                  <c:ptCount val="4"/>
                  <c:pt idx="0">
                    <c:v>1.9999999999999796E-2</c:v>
                  </c:pt>
                  <c:pt idx="1">
                    <c:v>4.9999999999999822E-2</c:v>
                  </c:pt>
                  <c:pt idx="2">
                    <c:v>0.11000000000000032</c:v>
                  </c:pt>
                  <c:pt idx="3">
                    <c:v>0.17999999999999972</c:v>
                  </c:pt>
                </c:numCache>
              </c:numRef>
            </c:plus>
            <c:minus>
              <c:numRef>
                <c:f>'Fig55'!$E$22:$E$25</c:f>
                <c:numCache>
                  <c:formatCode>General</c:formatCode>
                  <c:ptCount val="4"/>
                  <c:pt idx="0">
                    <c:v>3.0000000000000027E-2</c:v>
                  </c:pt>
                  <c:pt idx="1">
                    <c:v>5.0000000000000266E-2</c:v>
                  </c:pt>
                  <c:pt idx="2">
                    <c:v>9.9999999999999645E-2</c:v>
                  </c:pt>
                  <c:pt idx="3">
                    <c:v>0.17999999999999972</c:v>
                  </c:pt>
                </c:numCache>
              </c:numRef>
            </c:minus>
            <c:spPr>
              <a:ln>
                <a:solidFill>
                  <a:schemeClr val="tx2"/>
                </a:solidFill>
              </a:ln>
            </c:spPr>
          </c:errBars>
          <c:cat>
            <c:strRef>
              <c:f>'Fig55'!$B$15:$B$18</c:f>
              <c:strCache>
                <c:ptCount val="4"/>
                <c:pt idx="0">
                  <c:v>1 PIP</c:v>
                </c:pt>
                <c:pt idx="1">
                  <c:v>2 PIP</c:v>
                </c:pt>
                <c:pt idx="2">
                  <c:v>3 PIP</c:v>
                </c:pt>
                <c:pt idx="3">
                  <c:v>4+ PIP</c:v>
                </c:pt>
              </c:strCache>
            </c:strRef>
          </c:cat>
          <c:val>
            <c:numRef>
              <c:f>'Fig55'!$C$15:$C$18</c:f>
              <c:numCache>
                <c:formatCode>General</c:formatCode>
                <c:ptCount val="4"/>
                <c:pt idx="0">
                  <c:v>1.86</c:v>
                </c:pt>
                <c:pt idx="1">
                  <c:v>2.81</c:v>
                </c:pt>
                <c:pt idx="2">
                  <c:v>4.0999999999999996</c:v>
                </c:pt>
                <c:pt idx="3">
                  <c:v>5.37</c:v>
                </c:pt>
              </c:numCache>
            </c:numRef>
          </c:val>
        </c:ser>
        <c:ser>
          <c:idx val="1"/>
          <c:order val="1"/>
          <c:tx>
            <c:strRef>
              <c:f>'Fig55'!$D$14</c:f>
              <c:strCache>
                <c:ptCount val="1"/>
                <c:pt idx="0">
                  <c:v>Fatal opioid  overdose</c:v>
                </c:pt>
              </c:strCache>
            </c:strRef>
          </c:tx>
          <c:invertIfNegative val="0"/>
          <c:dLbls>
            <c:dLbl>
              <c:idx val="0"/>
              <c:layout>
                <c:manualLayout>
                  <c:x val="2.1610194653270149E-3"/>
                  <c:y val="0.10493194679778951"/>
                </c:manualLayout>
              </c:layout>
              <c:dLblPos val="outEnd"/>
              <c:showLegendKey val="0"/>
              <c:showVal val="1"/>
              <c:showCatName val="0"/>
              <c:showSerName val="0"/>
              <c:showPercent val="0"/>
              <c:showBubbleSize val="0"/>
            </c:dLbl>
            <c:dLbl>
              <c:idx val="1"/>
              <c:layout>
                <c:manualLayout>
                  <c:x val="0"/>
                  <c:y val="0.10875199842123254"/>
                </c:manualLayout>
              </c:layout>
              <c:dLblPos val="outEnd"/>
              <c:showLegendKey val="0"/>
              <c:showVal val="1"/>
              <c:showCatName val="0"/>
              <c:showSerName val="0"/>
              <c:showPercent val="0"/>
              <c:showBubbleSize val="0"/>
            </c:dLbl>
            <c:dLbl>
              <c:idx val="2"/>
              <c:layout>
                <c:manualLayout>
                  <c:x val="7.9235533430788936E-17"/>
                  <c:y val="0.13717509870233302"/>
                </c:manualLayout>
              </c:layout>
              <c:dLblPos val="outEnd"/>
              <c:showLegendKey val="0"/>
              <c:showVal val="1"/>
              <c:showCatName val="0"/>
              <c:showSerName val="0"/>
              <c:showPercent val="0"/>
              <c:showBubbleSize val="0"/>
            </c:dLbl>
            <c:dLbl>
              <c:idx val="3"/>
              <c:layout>
                <c:manualLayout>
                  <c:x val="2.1609940572663426E-3"/>
                  <c:y val="0.16260423800389293"/>
                </c:manualLayout>
              </c:layout>
              <c:dLblPos val="outEnd"/>
              <c:showLegendKey val="0"/>
              <c:showVal val="1"/>
              <c:showCatName val="0"/>
              <c:showSerName val="0"/>
              <c:showPercent val="0"/>
              <c:showBubbleSize val="0"/>
            </c:dLbl>
            <c:numFmt formatCode="#,##0.0" sourceLinked="0"/>
            <c:txPr>
              <a:bodyPr/>
              <a:lstStyle/>
              <a:p>
                <a:pPr>
                  <a:defRPr>
                    <a:solidFill>
                      <a:schemeClr val="bg1"/>
                    </a:solidFill>
                  </a:defRPr>
                </a:pPr>
                <a:endParaRPr lang="en-US"/>
              </a:p>
            </c:txPr>
            <c:dLblPos val="ctr"/>
            <c:showLegendKey val="0"/>
            <c:showVal val="1"/>
            <c:showCatName val="0"/>
            <c:showSerName val="0"/>
            <c:showPercent val="0"/>
            <c:showBubbleSize val="0"/>
            <c:showLeaderLines val="0"/>
          </c:dLbls>
          <c:errBars>
            <c:errBarType val="both"/>
            <c:errValType val="cust"/>
            <c:noEndCap val="0"/>
            <c:plus>
              <c:numRef>
                <c:f>'Fig55'!$F$28:$F$31</c:f>
                <c:numCache>
                  <c:formatCode>General</c:formatCode>
                  <c:ptCount val="4"/>
                  <c:pt idx="0">
                    <c:v>0.41999999999999993</c:v>
                  </c:pt>
                  <c:pt idx="1">
                    <c:v>0.8100000000000005</c:v>
                  </c:pt>
                  <c:pt idx="2">
                    <c:v>1.3900000000000006</c:v>
                  </c:pt>
                  <c:pt idx="3">
                    <c:v>2.0499999999999989</c:v>
                  </c:pt>
                </c:numCache>
              </c:numRef>
            </c:plus>
            <c:minus>
              <c:numRef>
                <c:f>'Fig55'!$E$28:$E$31</c:f>
                <c:numCache>
                  <c:formatCode>General</c:formatCode>
                  <c:ptCount val="4"/>
                  <c:pt idx="0">
                    <c:v>0.38000000000000034</c:v>
                  </c:pt>
                  <c:pt idx="1">
                    <c:v>0.72999999999999954</c:v>
                  </c:pt>
                  <c:pt idx="2">
                    <c:v>1.2199999999999989</c:v>
                  </c:pt>
                  <c:pt idx="3">
                    <c:v>1.7699999999999996</c:v>
                  </c:pt>
                </c:numCache>
              </c:numRef>
            </c:minus>
          </c:errBars>
          <c:cat>
            <c:strRef>
              <c:f>'Fig55'!$B$15:$B$18</c:f>
              <c:strCache>
                <c:ptCount val="4"/>
                <c:pt idx="0">
                  <c:v>1 PIP</c:v>
                </c:pt>
                <c:pt idx="1">
                  <c:v>2 PIP</c:v>
                </c:pt>
                <c:pt idx="2">
                  <c:v>3 PIP</c:v>
                </c:pt>
                <c:pt idx="3">
                  <c:v>4+ PIP</c:v>
                </c:pt>
              </c:strCache>
            </c:strRef>
          </c:cat>
          <c:val>
            <c:numRef>
              <c:f>'Fig55'!$D$15:$D$18</c:f>
              <c:numCache>
                <c:formatCode>General</c:formatCode>
                <c:ptCount val="4"/>
                <c:pt idx="0">
                  <c:v>4.24</c:v>
                </c:pt>
                <c:pt idx="1">
                  <c:v>7.05</c:v>
                </c:pt>
                <c:pt idx="2">
                  <c:v>10.28</c:v>
                </c:pt>
                <c:pt idx="3">
                  <c:v>12.99</c:v>
                </c:pt>
              </c:numCache>
            </c:numRef>
          </c:val>
        </c:ser>
        <c:ser>
          <c:idx val="2"/>
          <c:order val="2"/>
          <c:tx>
            <c:strRef>
              <c:f>'Fig55'!$E$14</c:f>
              <c:strCache>
                <c:ptCount val="1"/>
                <c:pt idx="0">
                  <c:v>Non-fatal opioid overdose</c:v>
                </c:pt>
              </c:strCache>
            </c:strRef>
          </c:tx>
          <c:invertIfNegative val="0"/>
          <c:dLbls>
            <c:numFmt formatCode="#,##0.0" sourceLinked="0"/>
            <c:showLegendKey val="0"/>
            <c:showVal val="1"/>
            <c:showCatName val="0"/>
            <c:showSerName val="0"/>
            <c:showPercent val="0"/>
            <c:showBubbleSize val="0"/>
            <c:showLeaderLines val="0"/>
          </c:dLbls>
          <c:errBars>
            <c:errBarType val="both"/>
            <c:errValType val="cust"/>
            <c:noEndCap val="0"/>
            <c:plus>
              <c:numRef>
                <c:f>'Fig55'!$F$35:$F$38</c:f>
                <c:numCache>
                  <c:formatCode>General</c:formatCode>
                  <c:ptCount val="4"/>
                  <c:pt idx="0">
                    <c:v>6.0000000000000053E-2</c:v>
                  </c:pt>
                  <c:pt idx="1">
                    <c:v>0.10000000000000009</c:v>
                  </c:pt>
                  <c:pt idx="2">
                    <c:v>0.13999999999999968</c:v>
                  </c:pt>
                  <c:pt idx="3">
                    <c:v>0.17999999999999972</c:v>
                  </c:pt>
                </c:numCache>
              </c:numRef>
            </c:plus>
            <c:minus>
              <c:numRef>
                <c:f>'Fig55'!$E$35:$E$38</c:f>
                <c:numCache>
                  <c:formatCode>General</c:formatCode>
                  <c:ptCount val="4"/>
                  <c:pt idx="0">
                    <c:v>7.0000000000000062E-2</c:v>
                  </c:pt>
                  <c:pt idx="1">
                    <c:v>9.000000000000008E-2</c:v>
                  </c:pt>
                  <c:pt idx="2">
                    <c:v>0.14000000000000012</c:v>
                  </c:pt>
                  <c:pt idx="3">
                    <c:v>0.16000000000000014</c:v>
                  </c:pt>
                </c:numCache>
              </c:numRef>
            </c:minus>
          </c:errBars>
          <c:cat>
            <c:strRef>
              <c:f>'Fig55'!$B$15:$B$18</c:f>
              <c:strCache>
                <c:ptCount val="4"/>
                <c:pt idx="0">
                  <c:v>1 PIP</c:v>
                </c:pt>
                <c:pt idx="1">
                  <c:v>2 PIP</c:v>
                </c:pt>
                <c:pt idx="2">
                  <c:v>3 PIP</c:v>
                </c:pt>
                <c:pt idx="3">
                  <c:v>4+ PIP</c:v>
                </c:pt>
              </c:strCache>
            </c:strRef>
          </c:cat>
          <c:val>
            <c:numRef>
              <c:f>'Fig55'!$E$15:$E$18</c:f>
              <c:numCache>
                <c:formatCode>General</c:formatCode>
                <c:ptCount val="4"/>
                <c:pt idx="0">
                  <c:v>1.54</c:v>
                </c:pt>
                <c:pt idx="1">
                  <c:v>1.98</c:v>
                </c:pt>
                <c:pt idx="2">
                  <c:v>2.2200000000000002</c:v>
                </c:pt>
                <c:pt idx="3">
                  <c:v>2.1800000000000002</c:v>
                </c:pt>
              </c:numCache>
            </c:numRef>
          </c:val>
        </c:ser>
        <c:dLbls>
          <c:showLegendKey val="0"/>
          <c:showVal val="0"/>
          <c:showCatName val="0"/>
          <c:showSerName val="0"/>
          <c:showPercent val="0"/>
          <c:showBubbleSize val="0"/>
        </c:dLbls>
        <c:gapWidth val="310"/>
        <c:overlap val="-20"/>
        <c:axId val="397403648"/>
        <c:axId val="397405184"/>
      </c:barChart>
      <c:catAx>
        <c:axId val="397403648"/>
        <c:scaling>
          <c:orientation val="minMax"/>
        </c:scaling>
        <c:delete val="0"/>
        <c:axPos val="b"/>
        <c:numFmt formatCode="General" sourceLinked="1"/>
        <c:majorTickMark val="none"/>
        <c:minorTickMark val="none"/>
        <c:tickLblPos val="nextTo"/>
        <c:txPr>
          <a:bodyPr/>
          <a:lstStyle/>
          <a:p>
            <a:pPr>
              <a:defRPr sz="1000"/>
            </a:pPr>
            <a:endParaRPr lang="en-US"/>
          </a:p>
        </c:txPr>
        <c:crossAx val="397405184"/>
        <c:crosses val="autoZero"/>
        <c:auto val="1"/>
        <c:lblAlgn val="ctr"/>
        <c:lblOffset val="100"/>
        <c:noMultiLvlLbl val="0"/>
      </c:catAx>
      <c:valAx>
        <c:axId val="397405184"/>
        <c:scaling>
          <c:orientation val="minMax"/>
          <c:max val="20"/>
        </c:scaling>
        <c:delete val="0"/>
        <c:axPos val="l"/>
        <c:title>
          <c:tx>
            <c:rich>
              <a:bodyPr/>
              <a:lstStyle/>
              <a:p>
                <a:pPr>
                  <a:defRPr b="1"/>
                </a:pPr>
                <a:r>
                  <a:rPr lang="en-US" sz="1000" b="0" i="0" u="none" strike="noStrike" baseline="0" smtClean="0"/>
                  <a:t>Adjusted hazard ratio </a:t>
                </a:r>
                <a:endParaRPr lang="en-US" b="0"/>
              </a:p>
            </c:rich>
          </c:tx>
          <c:layout>
            <c:manualLayout>
              <c:xMode val="edge"/>
              <c:yMode val="edge"/>
              <c:x val="1.7562623403192427E-2"/>
              <c:y val="0.13283453492364089"/>
            </c:manualLayout>
          </c:layout>
          <c:overlay val="0"/>
        </c:title>
        <c:numFmt formatCode="General" sourceLinked="1"/>
        <c:majorTickMark val="out"/>
        <c:minorTickMark val="none"/>
        <c:tickLblPos val="nextTo"/>
        <c:crossAx val="397403648"/>
        <c:crosses val="autoZero"/>
        <c:crossBetween val="between"/>
        <c:majorUnit val="5"/>
      </c:valAx>
    </c:plotArea>
    <c:legend>
      <c:legendPos val="b"/>
      <c:layout/>
      <c:overlay val="0"/>
      <c:spPr>
        <a:ln>
          <a:noFill/>
        </a:ln>
      </c:spPr>
    </c:legend>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0333779032339"/>
          <c:y val="3.3075987452787912E-2"/>
          <c:w val="0.83779666220967663"/>
          <c:h val="0.70473721272645795"/>
        </c:manualLayout>
      </c:layout>
      <c:barChart>
        <c:barDir val="col"/>
        <c:grouping val="clustered"/>
        <c:varyColors val="0"/>
        <c:ser>
          <c:idx val="0"/>
          <c:order val="0"/>
          <c:tx>
            <c:strRef>
              <c:f>'Fig52'!$C$15</c:f>
              <c:strCache>
                <c:ptCount val="1"/>
                <c:pt idx="0">
                  <c:v>% With Opioid Rx 4-6 Months After Injury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'Fig52'!$B$16:$B$19</c:f>
              <c:strCache>
                <c:ptCount val="4"/>
                <c:pt idx="0">
                  <c:v>20-40</c:v>
                </c:pt>
                <c:pt idx="1">
                  <c:v>40-60</c:v>
                </c:pt>
                <c:pt idx="2">
                  <c:v>60-80</c:v>
                </c:pt>
                <c:pt idx="3">
                  <c:v>80-100</c:v>
                </c:pt>
              </c:strCache>
            </c:strRef>
          </c:cat>
          <c:val>
            <c:numRef>
              <c:f>'Fig52'!$C$16:$C$19</c:f>
              <c:numCache>
                <c:formatCode>0.0%</c:formatCode>
                <c:ptCount val="4"/>
                <c:pt idx="0">
                  <c:v>0.14000000000000001</c:v>
                </c:pt>
                <c:pt idx="1">
                  <c:v>0.16</c:v>
                </c:pt>
                <c:pt idx="2">
                  <c:v>0.18</c:v>
                </c:pt>
                <c:pt idx="3">
                  <c:v>0.24</c:v>
                </c:pt>
              </c:numCache>
            </c:numRef>
          </c:val>
          <c:extLst xmlns:c16r2="http://schemas.microsoft.com/office/drawing/2015/06/chart">
            <c:ext xmlns:c16="http://schemas.microsoft.com/office/drawing/2014/chart" uri="{C3380CC4-5D6E-409C-BE32-E72D297353CC}">
              <c16:uniqueId val="{00000000-7187-446A-B88B-5537833C3C91}"/>
            </c:ext>
          </c:extLst>
        </c:ser>
        <c:dLbls>
          <c:showLegendKey val="0"/>
          <c:showVal val="0"/>
          <c:showCatName val="0"/>
          <c:showSerName val="0"/>
          <c:showPercent val="0"/>
          <c:showBubbleSize val="0"/>
        </c:dLbls>
        <c:gapWidth val="150"/>
        <c:axId val="397524992"/>
        <c:axId val="397526912"/>
      </c:barChart>
      <c:catAx>
        <c:axId val="397524992"/>
        <c:scaling>
          <c:orientation val="minMax"/>
        </c:scaling>
        <c:delete val="0"/>
        <c:axPos val="b"/>
        <c:title>
          <c:tx>
            <c:rich>
              <a:bodyPr/>
              <a:lstStyle/>
              <a:p>
                <a:pPr>
                  <a:defRPr b="0"/>
                </a:pPr>
                <a:r>
                  <a:rPr lang="en-US" b="0"/>
                  <a:t>Average # Pills Prescribed by the Resident</a:t>
                </a:r>
              </a:p>
            </c:rich>
          </c:tx>
          <c:layout>
            <c:manualLayout>
              <c:xMode val="edge"/>
              <c:yMode val="edge"/>
              <c:x val="0.39109622660803761"/>
              <c:y val="0.89527473699933846"/>
            </c:manualLayout>
          </c:layout>
          <c:overlay val="0"/>
        </c:title>
        <c:numFmt formatCode="General" sourceLinked="0"/>
        <c:majorTickMark val="out"/>
        <c:minorTickMark val="none"/>
        <c:tickLblPos val="nextTo"/>
        <c:crossAx val="397526912"/>
        <c:crosses val="autoZero"/>
        <c:auto val="1"/>
        <c:lblAlgn val="ctr"/>
        <c:lblOffset val="100"/>
        <c:noMultiLvlLbl val="0"/>
      </c:catAx>
      <c:valAx>
        <c:axId val="397526912"/>
        <c:scaling>
          <c:orientation val="minMax"/>
          <c:max val="0.30000000000000004"/>
        </c:scaling>
        <c:delete val="0"/>
        <c:axPos val="l"/>
        <c:title>
          <c:tx>
            <c:rich>
              <a:bodyPr rot="-5400000" vert="horz"/>
              <a:lstStyle/>
              <a:p>
                <a:pPr>
                  <a:defRPr b="0"/>
                </a:pPr>
                <a:r>
                  <a:rPr lang="en-US" b="0"/>
                  <a:t>% With Opioid Rx 4-6 Months After Injury</a:t>
                </a:r>
              </a:p>
            </c:rich>
          </c:tx>
          <c:layout>
            <c:manualLayout>
              <c:xMode val="edge"/>
              <c:yMode val="edge"/>
              <c:x val="1.0062893081761006E-2"/>
              <c:y val="7.659207967197916E-2"/>
            </c:manualLayout>
          </c:layout>
          <c:overlay val="0"/>
        </c:title>
        <c:numFmt formatCode="0%" sourceLinked="0"/>
        <c:majorTickMark val="out"/>
        <c:minorTickMark val="none"/>
        <c:tickLblPos val="nextTo"/>
        <c:crossAx val="397524992"/>
        <c:crosses val="autoZero"/>
        <c:crossBetween val="between"/>
      </c:valAx>
    </c:plotArea>
    <c:plotVisOnly val="1"/>
    <c:dispBlanksAs val="gap"/>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0333779032339"/>
          <c:y val="6.0298804133445773E-2"/>
          <c:w val="0.83779666220967663"/>
          <c:h val="0.65959616058822979"/>
        </c:manualLayout>
      </c:layout>
      <c:barChart>
        <c:barDir val="col"/>
        <c:grouping val="clustered"/>
        <c:varyColors val="0"/>
        <c:ser>
          <c:idx val="0"/>
          <c:order val="0"/>
          <c:tx>
            <c:strRef>
              <c:f>'Fig53'!$C$15</c:f>
              <c:strCache>
                <c:ptCount val="1"/>
                <c:pt idx="0">
                  <c:v>%3+ New Opioid Prescribers 4-6 Months After Injury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'Fig53'!$B$16:$B$19</c:f>
              <c:strCache>
                <c:ptCount val="4"/>
                <c:pt idx="0">
                  <c:v>20-40</c:v>
                </c:pt>
                <c:pt idx="1">
                  <c:v>40-60</c:v>
                </c:pt>
                <c:pt idx="2">
                  <c:v>60-80</c:v>
                </c:pt>
                <c:pt idx="3">
                  <c:v>80-100</c:v>
                </c:pt>
              </c:strCache>
            </c:strRef>
          </c:cat>
          <c:val>
            <c:numRef>
              <c:f>'Fig53'!$C$16:$C$19</c:f>
              <c:numCache>
                <c:formatCode>0.0%</c:formatCode>
                <c:ptCount val="4"/>
                <c:pt idx="0">
                  <c:v>4.0000000000000001E-3</c:v>
                </c:pt>
                <c:pt idx="1">
                  <c:v>1.8000000000000002E-2</c:v>
                </c:pt>
                <c:pt idx="2">
                  <c:v>1.2E-2</c:v>
                </c:pt>
                <c:pt idx="3">
                  <c:v>8.199999999999999E-2</c:v>
                </c:pt>
              </c:numCache>
            </c:numRef>
          </c:val>
          <c:extLst xmlns:c16r2="http://schemas.microsoft.com/office/drawing/2015/06/chart">
            <c:ext xmlns:c16="http://schemas.microsoft.com/office/drawing/2014/chart" uri="{C3380CC4-5D6E-409C-BE32-E72D297353CC}">
              <c16:uniqueId val="{00000000-148F-431F-889E-A206E71E137C}"/>
            </c:ext>
          </c:extLst>
        </c:ser>
        <c:dLbls>
          <c:showLegendKey val="0"/>
          <c:showVal val="0"/>
          <c:showCatName val="0"/>
          <c:showSerName val="0"/>
          <c:showPercent val="0"/>
          <c:showBubbleSize val="0"/>
        </c:dLbls>
        <c:gapWidth val="150"/>
        <c:axId val="397543680"/>
        <c:axId val="397562240"/>
      </c:barChart>
      <c:catAx>
        <c:axId val="397543680"/>
        <c:scaling>
          <c:orientation val="minMax"/>
        </c:scaling>
        <c:delete val="0"/>
        <c:axPos val="b"/>
        <c:title>
          <c:tx>
            <c:rich>
              <a:bodyPr/>
              <a:lstStyle/>
              <a:p>
                <a:pPr>
                  <a:defRPr b="0"/>
                </a:pPr>
                <a:r>
                  <a:rPr lang="en-US" b="0"/>
                  <a:t>Average # Pills Prescribed by the Resident</a:t>
                </a:r>
              </a:p>
            </c:rich>
          </c:tx>
          <c:layout/>
          <c:overlay val="0"/>
        </c:title>
        <c:numFmt formatCode="General" sourceLinked="0"/>
        <c:majorTickMark val="out"/>
        <c:minorTickMark val="none"/>
        <c:tickLblPos val="nextTo"/>
        <c:crossAx val="397562240"/>
        <c:crosses val="autoZero"/>
        <c:auto val="1"/>
        <c:lblAlgn val="ctr"/>
        <c:lblOffset val="100"/>
        <c:noMultiLvlLbl val="0"/>
      </c:catAx>
      <c:valAx>
        <c:axId val="397562240"/>
        <c:scaling>
          <c:orientation val="minMax"/>
          <c:max val="0.25"/>
        </c:scaling>
        <c:delete val="0"/>
        <c:axPos val="l"/>
        <c:title>
          <c:tx>
            <c:rich>
              <a:bodyPr rot="-5400000" vert="horz"/>
              <a:lstStyle/>
              <a:p>
                <a:pPr>
                  <a:defRPr b="0"/>
                </a:pPr>
                <a:r>
                  <a:rPr lang="en-US" b="0"/>
                  <a:t>%3+ New Opioid Prescribers 4-6 Months After Injury</a:t>
                </a:r>
              </a:p>
            </c:rich>
          </c:tx>
          <c:layout>
            <c:manualLayout>
              <c:xMode val="edge"/>
              <c:yMode val="edge"/>
              <c:x val="1.0062893081761006E-2"/>
              <c:y val="7.659207967197916E-2"/>
            </c:manualLayout>
          </c:layout>
          <c:overlay val="0"/>
        </c:title>
        <c:numFmt formatCode="0%" sourceLinked="0"/>
        <c:majorTickMark val="out"/>
        <c:minorTickMark val="none"/>
        <c:tickLblPos val="nextTo"/>
        <c:crossAx val="397543680"/>
        <c:crosses val="autoZero"/>
        <c:crossBetween val="between"/>
      </c:valAx>
    </c:plotArea>
    <c:plotVisOnly val="1"/>
    <c:dispBlanksAs val="gap"/>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3287711182221"/>
          <c:y val="3.6342635867772234E-2"/>
          <c:w val="0.86351159230096242"/>
          <c:h val="0.72809845126975026"/>
        </c:manualLayout>
      </c:layout>
      <c:barChart>
        <c:barDir val="col"/>
        <c:grouping val="clustered"/>
        <c:varyColors val="0"/>
        <c:ser>
          <c:idx val="0"/>
          <c:order val="0"/>
          <c:tx>
            <c:strRef>
              <c:f>'new Fig61'!$B$1</c:f>
              <c:strCache>
                <c:ptCount val="1"/>
                <c:pt idx="0">
                  <c:v>MOUDs in the 12 Months After Index Nonfatal Opioid Overdose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'new Fig61'!$A$2:$A$6</c:f>
              <c:strCache>
                <c:ptCount val="5"/>
                <c:pt idx="0">
                  <c:v>No MOUDs</c:v>
                </c:pt>
                <c:pt idx="1">
                  <c:v>Methadone maintenance treatment (MMT)</c:v>
                </c:pt>
                <c:pt idx="2">
                  <c:v>Buprenorphine</c:v>
                </c:pt>
                <c:pt idx="3">
                  <c:v>Naltrexone</c:v>
                </c:pt>
                <c:pt idx="4">
                  <c:v>Multiple MOUDs</c:v>
                </c:pt>
              </c:strCache>
            </c:strRef>
          </c:cat>
          <c:val>
            <c:numRef>
              <c:f>'new Fig61'!$B$2:$B$6</c:f>
              <c:numCache>
                <c:formatCode>0.0%</c:formatCode>
                <c:ptCount val="5"/>
                <c:pt idx="0">
                  <c:v>0.69985200364298727</c:v>
                </c:pt>
                <c:pt idx="1">
                  <c:v>8.060109289617487E-2</c:v>
                </c:pt>
                <c:pt idx="2">
                  <c:v>0.12682149362477232</c:v>
                </c:pt>
                <c:pt idx="3">
                  <c:v>4.3943533697632056E-2</c:v>
                </c:pt>
                <c:pt idx="4">
                  <c:v>4.8781876138433516E-2</c:v>
                </c:pt>
              </c:numCache>
            </c:numRef>
          </c:val>
          <c:extLst xmlns:c16r2="http://schemas.microsoft.com/office/drawing/2015/06/chart">
            <c:ext xmlns:c16="http://schemas.microsoft.com/office/drawing/2014/chart" uri="{C3380CC4-5D6E-409C-BE32-E72D297353CC}">
              <c16:uniqueId val="{00000000-D7F1-472A-A4D4-566107215DB3}"/>
            </c:ext>
          </c:extLst>
        </c:ser>
        <c:dLbls>
          <c:showLegendKey val="0"/>
          <c:showVal val="0"/>
          <c:showCatName val="0"/>
          <c:showSerName val="0"/>
          <c:showPercent val="0"/>
          <c:showBubbleSize val="0"/>
        </c:dLbls>
        <c:gapWidth val="150"/>
        <c:axId val="397591296"/>
        <c:axId val="397592832"/>
      </c:barChart>
      <c:catAx>
        <c:axId val="397591296"/>
        <c:scaling>
          <c:orientation val="minMax"/>
        </c:scaling>
        <c:delete val="0"/>
        <c:axPos val="b"/>
        <c:numFmt formatCode="General" sourceLinked="1"/>
        <c:majorTickMark val="out"/>
        <c:minorTickMark val="none"/>
        <c:tickLblPos val="nextTo"/>
        <c:crossAx val="397592832"/>
        <c:crosses val="autoZero"/>
        <c:auto val="1"/>
        <c:lblAlgn val="ctr"/>
        <c:lblOffset val="100"/>
        <c:noMultiLvlLbl val="0"/>
      </c:catAx>
      <c:valAx>
        <c:axId val="397592832"/>
        <c:scaling>
          <c:orientation val="minMax"/>
          <c:max val="1"/>
        </c:scaling>
        <c:delete val="0"/>
        <c:axPos val="l"/>
        <c:numFmt formatCode="0%" sourceLinked="0"/>
        <c:majorTickMark val="out"/>
        <c:minorTickMark val="none"/>
        <c:tickLblPos val="nextTo"/>
        <c:crossAx val="397591296"/>
        <c:crosses val="autoZero"/>
        <c:crossBetween val="between"/>
      </c:valAx>
    </c:plotArea>
    <c:plotVisOnly val="1"/>
    <c:dispBlanksAs val="gap"/>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9.9550231599316932E-2"/>
          <c:y val="9.3492086216495685E-2"/>
          <c:w val="0.89672670558546064"/>
          <c:h val="0.82017497812773399"/>
        </c:manualLayout>
      </c:layout>
      <c:barChart>
        <c:barDir val="col"/>
        <c:grouping val="clustered"/>
        <c:varyColors val="0"/>
        <c:ser>
          <c:idx val="0"/>
          <c:order val="0"/>
          <c:tx>
            <c:strRef>
              <c:f>'Fig60'!$A$3</c:f>
              <c:strCache>
                <c:ptCount val="1"/>
              </c:strCache>
            </c:strRef>
          </c:tx>
          <c:spPr>
            <a:solidFill>
              <a:schemeClr val="accent1"/>
            </a:solidFill>
            <a:ln w="12700">
              <a:solidFill>
                <a:srgbClr val="000000"/>
              </a:solidFill>
              <a:prstDash val="solid"/>
            </a:ln>
          </c:spPr>
          <c:invertIfNegative val="0"/>
          <c:dPt>
            <c:idx val="0"/>
            <c:invertIfNegative val="0"/>
            <c:bubble3D val="0"/>
          </c:dPt>
          <c:dLbls>
            <c:dLbl>
              <c:idx val="0"/>
              <c:layout>
                <c:manualLayout>
                  <c:x val="-5.3547523427041497E-3"/>
                  <c:y val="-2.4024024024024024E-2"/>
                </c:manualLayout>
              </c:layout>
              <c:dLblPos val="outEnd"/>
              <c:showLegendKey val="0"/>
              <c:showVal val="1"/>
              <c:showCatName val="0"/>
              <c:showSerName val="0"/>
              <c:showPercent val="0"/>
              <c:showBubbleSize val="0"/>
            </c:dLbl>
            <c:dLbl>
              <c:idx val="1"/>
              <c:layout>
                <c:manualLayout>
                  <c:x val="1.0431106291354298E-3"/>
                  <c:y val="-1.2644135775162919E-2"/>
                </c:manualLayout>
              </c:layout>
              <c:dLblPos val="outEnd"/>
              <c:showLegendKey val="0"/>
              <c:showVal val="1"/>
              <c:showCatName val="0"/>
              <c:showSerName val="0"/>
              <c:showPercent val="0"/>
              <c:showBubbleSize val="0"/>
            </c:dLbl>
            <c:dLbl>
              <c:idx val="2"/>
              <c:layout>
                <c:manualLayout>
                  <c:x val="2.2944037084772933E-3"/>
                  <c:y val="-2.3527240913067647E-2"/>
                </c:manualLayout>
              </c:layout>
              <c:dLblPos val="outEnd"/>
              <c:showLegendKey val="0"/>
              <c:showVal val="1"/>
              <c:showCatName val="0"/>
              <c:showSerName val="0"/>
              <c:showPercent val="0"/>
              <c:showBubbleSize val="0"/>
            </c:dLbl>
            <c:dLbl>
              <c:idx val="3"/>
              <c:layout>
                <c:manualLayout>
                  <c:x val="0"/>
                  <c:y val="-6.7796610169491525E-2"/>
                </c:manualLayout>
              </c:layout>
              <c:dLblPos val="outEnd"/>
              <c:showLegendKey val="0"/>
              <c:showVal val="1"/>
              <c:showCatName val="0"/>
              <c:showSerName val="0"/>
              <c:showPercent val="0"/>
              <c:showBubbleSize val="0"/>
            </c:dLbl>
            <c:dLbl>
              <c:idx val="5"/>
              <c:layout>
                <c:manualLayout>
                  <c:x val="1.6025641025641025E-3"/>
                  <c:y val="-3.2897914677528749E-2"/>
                </c:manualLayout>
              </c:layout>
              <c:dLblPos val="outEnd"/>
              <c:showLegendKey val="0"/>
              <c:showVal val="1"/>
              <c:showCatName val="0"/>
              <c:showSerName val="0"/>
              <c:showPercent val="0"/>
              <c:showBubbleSize val="0"/>
            </c:dLbl>
            <c:numFmt formatCode="#,##0.0" sourceLinked="0"/>
            <c:spPr>
              <a:noFill/>
              <a:ln w="25400">
                <a:noFill/>
              </a:ln>
            </c:spPr>
            <c:txPr>
              <a:bodyPr/>
              <a:lstStyle/>
              <a:p>
                <a:pPr>
                  <a:defRPr sz="1000" b="0" i="0" u="none" strike="noStrike" baseline="0">
                    <a:solidFill>
                      <a:srgbClr val="000000"/>
                    </a:solidFill>
                    <a:latin typeface="+mn-lt"/>
                    <a:ea typeface="Arial"/>
                    <a:cs typeface="Arial"/>
                  </a:defRPr>
                </a:pPr>
                <a:endParaRPr lang="en-US"/>
              </a:p>
            </c:txPr>
            <c:showLegendKey val="0"/>
            <c:showVal val="1"/>
            <c:showCatName val="0"/>
            <c:showSerName val="0"/>
            <c:showPercent val="0"/>
            <c:showBubbleSize val="0"/>
            <c:showLeaderLines val="0"/>
          </c:dLbls>
          <c:errBars>
            <c:errBarType val="both"/>
            <c:errValType val="cust"/>
            <c:noEndCap val="0"/>
            <c:plus>
              <c:numRef>
                <c:f>[2]Sheet2!$B$6:$C$6</c:f>
                <c:numCache>
                  <c:formatCode>General</c:formatCode>
                  <c:ptCount val="2"/>
                  <c:pt idx="0">
                    <c:v>0.29999999999999982</c:v>
                  </c:pt>
                  <c:pt idx="1">
                    <c:v>0.20000000000000018</c:v>
                  </c:pt>
                </c:numCache>
              </c:numRef>
            </c:plus>
            <c:minus>
              <c:numRef>
                <c:f>[2]Sheet2!$B$6:$C$6</c:f>
                <c:numCache>
                  <c:formatCode>General</c:formatCode>
                  <c:ptCount val="2"/>
                  <c:pt idx="0">
                    <c:v>0.29999999999999982</c:v>
                  </c:pt>
                  <c:pt idx="1">
                    <c:v>0.20000000000000018</c:v>
                  </c:pt>
                </c:numCache>
              </c:numRef>
            </c:minus>
            <c:spPr>
              <a:ln w="12700">
                <a:solidFill>
                  <a:srgbClr val="000000"/>
                </a:solidFill>
                <a:prstDash val="solid"/>
              </a:ln>
            </c:spPr>
          </c:errBars>
          <c:cat>
            <c:strRef>
              <c:f>'Fig60'!$B$2:$C$2</c:f>
              <c:strCache>
                <c:ptCount val="2"/>
                <c:pt idx="0">
                  <c:v>All Cause Mortality</c:v>
                </c:pt>
                <c:pt idx="1">
                  <c:v>Fatal Opioid</c:v>
                </c:pt>
              </c:strCache>
            </c:strRef>
          </c:cat>
          <c:val>
            <c:numRef>
              <c:f>'Fig60'!$B$3:$C$3</c:f>
              <c:numCache>
                <c:formatCode>General</c:formatCode>
                <c:ptCount val="2"/>
                <c:pt idx="0">
                  <c:v>4.7</c:v>
                </c:pt>
                <c:pt idx="1">
                  <c:v>2.1</c:v>
                </c:pt>
              </c:numCache>
            </c:numRef>
          </c:val>
        </c:ser>
        <c:dLbls>
          <c:showLegendKey val="0"/>
          <c:showVal val="0"/>
          <c:showCatName val="0"/>
          <c:showSerName val="0"/>
          <c:showPercent val="0"/>
          <c:showBubbleSize val="0"/>
        </c:dLbls>
        <c:gapWidth val="150"/>
        <c:axId val="398149888"/>
        <c:axId val="398163968"/>
      </c:barChart>
      <c:catAx>
        <c:axId val="398149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n-lt"/>
                <a:ea typeface="Arial"/>
                <a:cs typeface="Arial"/>
              </a:defRPr>
            </a:pPr>
            <a:endParaRPr lang="en-US"/>
          </a:p>
        </c:txPr>
        <c:crossAx val="398163968"/>
        <c:crossesAt val="0"/>
        <c:auto val="1"/>
        <c:lblAlgn val="ctr"/>
        <c:lblOffset val="100"/>
        <c:tickLblSkip val="1"/>
        <c:tickMarkSkip val="1"/>
        <c:noMultiLvlLbl val="0"/>
      </c:catAx>
      <c:valAx>
        <c:axId val="398163968"/>
        <c:scaling>
          <c:orientation val="minMax"/>
        </c:scaling>
        <c:delete val="0"/>
        <c:axPos val="l"/>
        <c:title>
          <c:tx>
            <c:rich>
              <a:bodyPr rot="-5400000" vert="horz"/>
              <a:lstStyle/>
              <a:p>
                <a:pPr>
                  <a:defRPr/>
                </a:pPr>
                <a:r>
                  <a:rPr lang="en-US" sz="1150" b="0" i="0" u="none" strike="noStrike" baseline="0">
                    <a:effectLst/>
                  </a:rPr>
                  <a:t>Deaths per 100 person-years</a:t>
                </a:r>
                <a:endParaRPr lang="en-US"/>
              </a:p>
            </c:rich>
          </c:tx>
          <c:layout>
            <c:manualLayout>
              <c:xMode val="edge"/>
              <c:yMode val="edge"/>
              <c:x val="1.397321895973457E-2"/>
              <c:y val="0.19057949574485009"/>
            </c:manualLayout>
          </c:layout>
          <c:overlay val="0"/>
        </c:title>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mn-lt"/>
                <a:ea typeface="Arial"/>
                <a:cs typeface="Arial"/>
              </a:defRPr>
            </a:pPr>
            <a:endParaRPr lang="en-US"/>
          </a:p>
        </c:txPr>
        <c:crossAx val="398149888"/>
        <c:crosses val="autoZero"/>
        <c:crossBetween val="between"/>
        <c:majorUnit val="0.5"/>
      </c:valAx>
    </c:plotArea>
    <c:plotVisOnly val="1"/>
    <c:dispBlanksAs val="gap"/>
    <c:showDLblsOverMax val="0"/>
  </c:chart>
  <c:spPr>
    <a:solidFill>
      <a:srgbClr val="FFFFFF"/>
    </a:solidFill>
    <a:ln w="3175">
      <a:no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9478232641735"/>
          <c:y val="5.8467153971344978E-2"/>
          <c:w val="0.87188354849308991"/>
          <c:h val="0.88837900638764244"/>
        </c:manualLayout>
      </c:layout>
      <c:barChart>
        <c:barDir val="col"/>
        <c:grouping val="clustered"/>
        <c:varyColors val="0"/>
        <c:ser>
          <c:idx val="0"/>
          <c:order val="0"/>
          <c:tx>
            <c:strRef>
              <c:f>'Fig61'!$B$3</c:f>
              <c:strCache>
                <c:ptCount val="1"/>
                <c:pt idx="0">
                  <c:v>All-Cause Mortality</c:v>
                </c:pt>
              </c:strCache>
            </c:strRef>
          </c:tx>
          <c:invertIfNegative val="0"/>
          <c:dLbls>
            <c:showLegendKey val="0"/>
            <c:showVal val="1"/>
            <c:showCatName val="0"/>
            <c:showSerName val="0"/>
            <c:showPercent val="0"/>
            <c:showBubbleSize val="0"/>
            <c:showLeaderLines val="0"/>
          </c:dLbls>
          <c:cat>
            <c:strRef>
              <c:f>'Fig61'!$C$2:$D$2</c:f>
              <c:strCache>
                <c:ptCount val="2"/>
                <c:pt idx="0">
                  <c:v>MMT</c:v>
                </c:pt>
                <c:pt idx="1">
                  <c:v>Buprenorphine</c:v>
                </c:pt>
              </c:strCache>
            </c:strRef>
          </c:cat>
          <c:val>
            <c:numRef>
              <c:f>'Fig61'!$C$3:$D$3</c:f>
              <c:numCache>
                <c:formatCode>General</c:formatCode>
                <c:ptCount val="2"/>
                <c:pt idx="0">
                  <c:v>-0.47</c:v>
                </c:pt>
                <c:pt idx="1">
                  <c:v>-0.63</c:v>
                </c:pt>
              </c:numCache>
            </c:numRef>
          </c:val>
        </c:ser>
        <c:ser>
          <c:idx val="1"/>
          <c:order val="1"/>
          <c:tx>
            <c:strRef>
              <c:f>'Fig61'!$B$4</c:f>
              <c:strCache>
                <c:ptCount val="1"/>
                <c:pt idx="0">
                  <c:v>Opioid-related mortality</c:v>
                </c:pt>
              </c:strCache>
            </c:strRef>
          </c:tx>
          <c:invertIfNegative val="0"/>
          <c:dLbls>
            <c:showLegendKey val="0"/>
            <c:showVal val="1"/>
            <c:showCatName val="0"/>
            <c:showSerName val="0"/>
            <c:showPercent val="0"/>
            <c:showBubbleSize val="0"/>
            <c:showLeaderLines val="0"/>
          </c:dLbls>
          <c:cat>
            <c:strRef>
              <c:f>'Fig61'!$C$2:$D$2</c:f>
              <c:strCache>
                <c:ptCount val="2"/>
                <c:pt idx="0">
                  <c:v>MMT</c:v>
                </c:pt>
                <c:pt idx="1">
                  <c:v>Buprenorphine</c:v>
                </c:pt>
              </c:strCache>
            </c:strRef>
          </c:cat>
          <c:val>
            <c:numRef>
              <c:f>'Fig61'!$C$4:$D$4</c:f>
              <c:numCache>
                <c:formatCode>General</c:formatCode>
                <c:ptCount val="2"/>
                <c:pt idx="0">
                  <c:v>-0.41</c:v>
                </c:pt>
                <c:pt idx="1">
                  <c:v>-0.62</c:v>
                </c:pt>
              </c:numCache>
            </c:numRef>
          </c:val>
        </c:ser>
        <c:dLbls>
          <c:showLegendKey val="0"/>
          <c:showVal val="0"/>
          <c:showCatName val="0"/>
          <c:showSerName val="0"/>
          <c:showPercent val="0"/>
          <c:showBubbleSize val="0"/>
        </c:dLbls>
        <c:gapWidth val="150"/>
        <c:overlap val="-20"/>
        <c:axId val="397805056"/>
        <c:axId val="397806592"/>
      </c:barChart>
      <c:catAx>
        <c:axId val="397805056"/>
        <c:scaling>
          <c:orientation val="minMax"/>
        </c:scaling>
        <c:delete val="1"/>
        <c:axPos val="b"/>
        <c:numFmt formatCode="General" sourceLinked="1"/>
        <c:majorTickMark val="none"/>
        <c:minorTickMark val="none"/>
        <c:tickLblPos val="nextTo"/>
        <c:crossAx val="397806592"/>
        <c:crosses val="autoZero"/>
        <c:auto val="1"/>
        <c:lblAlgn val="ctr"/>
        <c:lblOffset val="100"/>
        <c:noMultiLvlLbl val="0"/>
      </c:catAx>
      <c:valAx>
        <c:axId val="397806592"/>
        <c:scaling>
          <c:orientation val="minMax"/>
          <c:max val="1"/>
          <c:min val="-1"/>
        </c:scaling>
        <c:delete val="0"/>
        <c:axPos val="l"/>
        <c:title>
          <c:tx>
            <c:rich>
              <a:bodyPr/>
              <a:lstStyle/>
              <a:p>
                <a:pPr>
                  <a:defRPr b="0"/>
                </a:pPr>
                <a:r>
                  <a:rPr lang="en-US" b="0"/>
                  <a:t>Adjusted Hazard</a:t>
                </a:r>
                <a:r>
                  <a:rPr lang="en-US" b="0" baseline="0"/>
                  <a:t> Ratio</a:t>
                </a:r>
                <a:endParaRPr lang="en-US" b="0"/>
              </a:p>
            </c:rich>
          </c:tx>
          <c:layout>
            <c:manualLayout>
              <c:xMode val="edge"/>
              <c:yMode val="edge"/>
              <c:x val="1.4077425842131725E-2"/>
              <c:y val="0.22456692913385828"/>
            </c:manualLayout>
          </c:layout>
          <c:overlay val="0"/>
        </c:title>
        <c:numFmt formatCode="#,##0.0" sourceLinked="0"/>
        <c:majorTickMark val="none"/>
        <c:minorTickMark val="none"/>
        <c:tickLblPos val="nextTo"/>
        <c:crossAx val="397805056"/>
        <c:crosses val="autoZero"/>
        <c:crossBetween val="between"/>
        <c:majorUnit val="0.2"/>
        <c:minorUnit val="0.2"/>
      </c:valAx>
    </c:plotArea>
    <c:legend>
      <c:legendPos val="b"/>
      <c:layout/>
      <c:overlay val="0"/>
      <c:txPr>
        <a:bodyPr/>
        <a:lstStyle/>
        <a:p>
          <a:pPr>
            <a:defRPr sz="1000"/>
          </a:pPr>
          <a:endParaRPr lang="en-US"/>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 6'!$A$7</c:f>
              <c:strCache>
                <c:ptCount val="1"/>
                <c:pt idx="0">
                  <c:v>Male</c:v>
                </c:pt>
              </c:strCache>
            </c:strRef>
          </c:tx>
          <c:invertIfNegative val="0"/>
          <c:dLbls>
            <c:showLegendKey val="0"/>
            <c:showVal val="1"/>
            <c:showCatName val="0"/>
            <c:showSerName val="0"/>
            <c:showPercent val="0"/>
            <c:showBubbleSize val="0"/>
            <c:showLeaderLines val="0"/>
          </c:dLbls>
          <c:cat>
            <c:strRef>
              <c:f>'Fig 6'!$B$6:$D$6</c:f>
              <c:strCache>
                <c:ptCount val="3"/>
                <c:pt idx="0">
                  <c:v>All recipients of prescription opioids</c:v>
                </c:pt>
                <c:pt idx="1">
                  <c:v>No PIP</c:v>
                </c:pt>
                <c:pt idx="2">
                  <c:v>Any PIP</c:v>
                </c:pt>
              </c:strCache>
            </c:strRef>
          </c:cat>
          <c:val>
            <c:numRef>
              <c:f>'Fig 6'!$B$7:$D$7</c:f>
              <c:numCache>
                <c:formatCode>0%</c:formatCode>
                <c:ptCount val="3"/>
                <c:pt idx="0">
                  <c:v>0.45</c:v>
                </c:pt>
                <c:pt idx="1">
                  <c:v>0.45400000000000001</c:v>
                </c:pt>
                <c:pt idx="2">
                  <c:v>0.41199999999999998</c:v>
                </c:pt>
              </c:numCache>
            </c:numRef>
          </c:val>
        </c:ser>
        <c:ser>
          <c:idx val="1"/>
          <c:order val="1"/>
          <c:tx>
            <c:strRef>
              <c:f>'Fig 6'!$A$8</c:f>
              <c:strCache>
                <c:ptCount val="1"/>
                <c:pt idx="0">
                  <c:v>Female</c:v>
                </c:pt>
              </c:strCache>
            </c:strRef>
          </c:tx>
          <c:invertIfNegative val="0"/>
          <c:dLbls>
            <c:showLegendKey val="0"/>
            <c:showVal val="1"/>
            <c:showCatName val="0"/>
            <c:showSerName val="0"/>
            <c:showPercent val="0"/>
            <c:showBubbleSize val="0"/>
            <c:showLeaderLines val="0"/>
          </c:dLbls>
          <c:cat>
            <c:strRef>
              <c:f>'Fig 6'!$B$6:$D$6</c:f>
              <c:strCache>
                <c:ptCount val="3"/>
                <c:pt idx="0">
                  <c:v>All recipients of prescription opioids</c:v>
                </c:pt>
                <c:pt idx="1">
                  <c:v>No PIP</c:v>
                </c:pt>
                <c:pt idx="2">
                  <c:v>Any PIP</c:v>
                </c:pt>
              </c:strCache>
            </c:strRef>
          </c:cat>
          <c:val>
            <c:numRef>
              <c:f>'Fig 6'!$B$8:$D$8</c:f>
              <c:numCache>
                <c:formatCode>0%</c:formatCode>
                <c:ptCount val="3"/>
                <c:pt idx="0">
                  <c:v>0.55000000000000004</c:v>
                </c:pt>
                <c:pt idx="1">
                  <c:v>0.54600000000000004</c:v>
                </c:pt>
                <c:pt idx="2">
                  <c:v>0.58799999999999997</c:v>
                </c:pt>
              </c:numCache>
            </c:numRef>
          </c:val>
        </c:ser>
        <c:dLbls>
          <c:showLegendKey val="0"/>
          <c:showVal val="0"/>
          <c:showCatName val="0"/>
          <c:showSerName val="0"/>
          <c:showPercent val="0"/>
          <c:showBubbleSize val="0"/>
        </c:dLbls>
        <c:gapWidth val="150"/>
        <c:overlap val="-20"/>
        <c:axId val="382669952"/>
        <c:axId val="382671488"/>
      </c:barChart>
      <c:catAx>
        <c:axId val="382669952"/>
        <c:scaling>
          <c:orientation val="minMax"/>
        </c:scaling>
        <c:delete val="0"/>
        <c:axPos val="b"/>
        <c:majorTickMark val="out"/>
        <c:minorTickMark val="none"/>
        <c:tickLblPos val="nextTo"/>
        <c:crossAx val="382671488"/>
        <c:crosses val="autoZero"/>
        <c:auto val="1"/>
        <c:lblAlgn val="ctr"/>
        <c:lblOffset val="100"/>
        <c:noMultiLvlLbl val="0"/>
      </c:catAx>
      <c:valAx>
        <c:axId val="382671488"/>
        <c:scaling>
          <c:orientation val="minMax"/>
        </c:scaling>
        <c:delete val="0"/>
        <c:axPos val="l"/>
        <c:majorGridlines>
          <c:spPr>
            <a:ln>
              <a:noFill/>
            </a:ln>
          </c:spPr>
        </c:majorGridlines>
        <c:numFmt formatCode="0%" sourceLinked="1"/>
        <c:majorTickMark val="out"/>
        <c:minorTickMark val="none"/>
        <c:tickLblPos val="nextTo"/>
        <c:crossAx val="382669952"/>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 9'!$C$28</c:f>
              <c:strCache>
                <c:ptCount val="1"/>
                <c:pt idx="0">
                  <c:v>OUD and overdose</c:v>
                </c:pt>
              </c:strCache>
            </c:strRef>
          </c:tx>
          <c:invertIfNegative val="0"/>
          <c:dLbls>
            <c:dLbl>
              <c:idx val="0"/>
              <c:layout>
                <c:manualLayout>
                  <c:x val="-6.4102564102564204E-3"/>
                  <c:y val="0"/>
                </c:manualLayout>
              </c:layout>
              <c:showLegendKey val="0"/>
              <c:showVal val="1"/>
              <c:showCatName val="0"/>
              <c:showSerName val="0"/>
              <c:showPercent val="0"/>
              <c:showBubbleSize val="0"/>
            </c:dLbl>
            <c:dLbl>
              <c:idx val="1"/>
              <c:layout>
                <c:manualLayout>
                  <c:x val="-1.282051282051282E-2"/>
                  <c:y val="0"/>
                </c:manualLayout>
              </c:layout>
              <c:showLegendKey val="0"/>
              <c:showVal val="1"/>
              <c:showCatName val="0"/>
              <c:showSerName val="0"/>
              <c:showPercent val="0"/>
              <c:showBubbleSize val="0"/>
            </c:dLbl>
            <c:dLbl>
              <c:idx val="2"/>
              <c:layout>
                <c:manualLayout>
                  <c:x val="-8.547008547008508E-3"/>
                  <c:y val="0"/>
                </c:manualLayout>
              </c:layout>
              <c:showLegendKey val="0"/>
              <c:showVal val="1"/>
              <c:showCatName val="0"/>
              <c:showSerName val="0"/>
              <c:showPercent val="0"/>
              <c:showBubbleSize val="0"/>
            </c:dLbl>
            <c:dLbl>
              <c:idx val="3"/>
              <c:layout>
                <c:manualLayout>
                  <c:x val="-8.5470085470085479E-3"/>
                  <c:y val="-1.1544011544011544E-2"/>
                </c:manualLayout>
              </c:layout>
              <c:showLegendKey val="0"/>
              <c:showVal val="1"/>
              <c:showCatName val="0"/>
              <c:showSerName val="0"/>
              <c:showPercent val="0"/>
              <c:showBubbleSize val="0"/>
            </c:dLbl>
            <c:dLbl>
              <c:idx val="4"/>
              <c:layout>
                <c:manualLayout>
                  <c:x val="-8.5470085470085479E-3"/>
                  <c:y val="0"/>
                </c:manualLayout>
              </c:layout>
              <c:showLegendKey val="0"/>
              <c:showVal val="1"/>
              <c:showCatName val="0"/>
              <c:showSerName val="0"/>
              <c:showPercent val="0"/>
              <c:showBubbleSize val="0"/>
            </c:dLbl>
            <c:dLbl>
              <c:idx val="5"/>
              <c:layout>
                <c:manualLayout>
                  <c:x val="-1.282051282051282E-2"/>
                  <c:y val="5.7720057720057755E-3"/>
                </c:manualLayout>
              </c:layout>
              <c:showLegendKey val="0"/>
              <c:showVal val="1"/>
              <c:showCatName val="0"/>
              <c:showSerName val="0"/>
              <c:showPercent val="0"/>
              <c:showBubbleSize val="0"/>
            </c:dLbl>
            <c:dLbl>
              <c:idx val="6"/>
              <c:layout>
                <c:manualLayout>
                  <c:x val="-6.41025641025641E-3"/>
                  <c:y val="2.645472084783375E-17"/>
                </c:manualLayout>
              </c:layout>
              <c:showLegendKey val="0"/>
              <c:showVal val="1"/>
              <c:showCatName val="0"/>
              <c:showSerName val="0"/>
              <c:showPercent val="0"/>
              <c:showBubbleSize val="0"/>
            </c:dLbl>
            <c:dLbl>
              <c:idx val="7"/>
              <c:layout>
                <c:manualLayout>
                  <c:x val="-1.4957264957264958E-2"/>
                  <c:y val="0"/>
                </c:manualLayout>
              </c:layout>
              <c:showLegendKey val="0"/>
              <c:showVal val="1"/>
              <c:showCatName val="0"/>
              <c:showSerName val="0"/>
              <c:showPercent val="0"/>
              <c:showBubbleSize val="0"/>
            </c:dLbl>
            <c:dLbl>
              <c:idx val="8"/>
              <c:layout>
                <c:manualLayout>
                  <c:x val="-8.5470085470085479E-3"/>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multiLvlStrRef>
              <c:f>'Fig 9'!$A$29:$B$37</c:f>
              <c:multiLvlStrCache>
                <c:ptCount val="9"/>
                <c:lvl>
                  <c:pt idx="0">
                    <c:v>24 years or younger</c:v>
                  </c:pt>
                  <c:pt idx="1">
                    <c:v>25-34 years</c:v>
                  </c:pt>
                  <c:pt idx="2">
                    <c:v>35+</c:v>
                  </c:pt>
                  <c:pt idx="3">
                    <c:v>White non-Hispanic</c:v>
                  </c:pt>
                  <c:pt idx="4">
                    <c:v>Other</c:v>
                  </c:pt>
                </c:lvl>
                <c:lvl>
                  <c:pt idx="0">
                    <c:v>Age</c:v>
                  </c:pt>
                  <c:pt idx="3">
                    <c:v>Race</c:v>
                  </c:pt>
                  <c:pt idx="5">
                    <c:v>Unmarried</c:v>
                  </c:pt>
                  <c:pt idx="6">
                    <c:v>Less than HS Education</c:v>
                  </c:pt>
                  <c:pt idx="7">
                    <c:v>Public Prenatal Care</c:v>
                  </c:pt>
                  <c:pt idx="8">
                    <c:v>Adequate Prenatal Care</c:v>
                  </c:pt>
                </c:lvl>
              </c:multiLvlStrCache>
            </c:multiLvlStrRef>
          </c:cat>
          <c:val>
            <c:numRef>
              <c:f>'Fig 9'!$C$29:$C$37</c:f>
              <c:numCache>
                <c:formatCode>0%</c:formatCode>
                <c:ptCount val="9"/>
                <c:pt idx="0">
                  <c:v>0.30399999999999999</c:v>
                </c:pt>
                <c:pt idx="1">
                  <c:v>0.59799999999999998</c:v>
                </c:pt>
                <c:pt idx="2">
                  <c:v>9.8000000000000004E-2</c:v>
                </c:pt>
                <c:pt idx="3">
                  <c:v>0.87</c:v>
                </c:pt>
                <c:pt idx="4">
                  <c:v>0.13</c:v>
                </c:pt>
                <c:pt idx="5">
                  <c:v>0.85299999999999998</c:v>
                </c:pt>
                <c:pt idx="6">
                  <c:v>0.20699999999999999</c:v>
                </c:pt>
                <c:pt idx="7">
                  <c:v>0.84799999999999998</c:v>
                </c:pt>
                <c:pt idx="8">
                  <c:v>0.45700000000000002</c:v>
                </c:pt>
              </c:numCache>
            </c:numRef>
          </c:val>
        </c:ser>
        <c:ser>
          <c:idx val="1"/>
          <c:order val="1"/>
          <c:tx>
            <c:strRef>
              <c:f>'Fig 9'!$D$28</c:f>
              <c:strCache>
                <c:ptCount val="1"/>
                <c:pt idx="0">
                  <c:v>OUD but no overdose</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multiLvlStrRef>
              <c:f>'Fig 9'!$A$29:$B$37</c:f>
              <c:multiLvlStrCache>
                <c:ptCount val="9"/>
                <c:lvl>
                  <c:pt idx="0">
                    <c:v>24 years or younger</c:v>
                  </c:pt>
                  <c:pt idx="1">
                    <c:v>25-34 years</c:v>
                  </c:pt>
                  <c:pt idx="2">
                    <c:v>35+</c:v>
                  </c:pt>
                  <c:pt idx="3">
                    <c:v>White non-Hispanic</c:v>
                  </c:pt>
                  <c:pt idx="4">
                    <c:v>Other</c:v>
                  </c:pt>
                </c:lvl>
                <c:lvl>
                  <c:pt idx="0">
                    <c:v>Age</c:v>
                  </c:pt>
                  <c:pt idx="3">
                    <c:v>Race</c:v>
                  </c:pt>
                  <c:pt idx="5">
                    <c:v>Unmarried</c:v>
                  </c:pt>
                  <c:pt idx="6">
                    <c:v>Less than HS Education</c:v>
                  </c:pt>
                  <c:pt idx="7">
                    <c:v>Public Prenatal Care</c:v>
                  </c:pt>
                  <c:pt idx="8">
                    <c:v>Adequate Prenatal Care</c:v>
                  </c:pt>
                </c:lvl>
              </c:multiLvlStrCache>
            </c:multiLvlStrRef>
          </c:cat>
          <c:val>
            <c:numRef>
              <c:f>'Fig 9'!$D$29:$D$37</c:f>
              <c:numCache>
                <c:formatCode>0%</c:formatCode>
                <c:ptCount val="9"/>
                <c:pt idx="0">
                  <c:v>0.20899999999999999</c:v>
                </c:pt>
                <c:pt idx="1">
                  <c:v>0.65300000000000002</c:v>
                </c:pt>
                <c:pt idx="2">
                  <c:v>0.13800000000000001</c:v>
                </c:pt>
                <c:pt idx="3">
                  <c:v>0.84099999999999997</c:v>
                </c:pt>
                <c:pt idx="4">
                  <c:v>0.14699999999999999</c:v>
                </c:pt>
                <c:pt idx="5">
                  <c:v>0.80300000000000005</c:v>
                </c:pt>
                <c:pt idx="6">
                  <c:v>0.17699999999999999</c:v>
                </c:pt>
                <c:pt idx="7">
                  <c:v>0.8</c:v>
                </c:pt>
                <c:pt idx="8">
                  <c:v>0.58699999999999997</c:v>
                </c:pt>
              </c:numCache>
            </c:numRef>
          </c:val>
        </c:ser>
        <c:ser>
          <c:idx val="2"/>
          <c:order val="2"/>
          <c:tx>
            <c:strRef>
              <c:f>'Fig 9'!$E$28</c:f>
              <c:strCache>
                <c:ptCount val="1"/>
                <c:pt idx="0">
                  <c:v>NO OUD</c:v>
                </c:pt>
              </c:strCache>
            </c:strRef>
          </c:tx>
          <c:invertIfNegative val="0"/>
          <c:dLbls>
            <c:dLbl>
              <c:idx val="0"/>
              <c:layout>
                <c:manualLayout>
                  <c:x val="1.0683760683760684E-2"/>
                  <c:y val="5.7820179242555649E-3"/>
                </c:manualLayout>
              </c:layout>
              <c:showLegendKey val="0"/>
              <c:showVal val="1"/>
              <c:showCatName val="0"/>
              <c:showSerName val="0"/>
              <c:showPercent val="0"/>
              <c:showBubbleSize val="0"/>
            </c:dLbl>
            <c:dLbl>
              <c:idx val="1"/>
              <c:layout>
                <c:manualLayout>
                  <c:x val="1.0683760683760684E-2"/>
                  <c:y val="-1.3227360423916875E-17"/>
                </c:manualLayout>
              </c:layout>
              <c:showLegendKey val="0"/>
              <c:showVal val="1"/>
              <c:showCatName val="0"/>
              <c:showSerName val="0"/>
              <c:showPercent val="0"/>
              <c:showBubbleSize val="0"/>
            </c:dLbl>
            <c:dLbl>
              <c:idx val="2"/>
              <c:layout>
                <c:manualLayout>
                  <c:x val="6.41025641025641E-3"/>
                  <c:y val="0"/>
                </c:manualLayout>
              </c:layout>
              <c:showLegendKey val="0"/>
              <c:showVal val="1"/>
              <c:showCatName val="0"/>
              <c:showSerName val="0"/>
              <c:showPercent val="0"/>
              <c:showBubbleSize val="0"/>
            </c:dLbl>
            <c:dLbl>
              <c:idx val="3"/>
              <c:layout>
                <c:manualLayout>
                  <c:x val="6.41025641025641E-3"/>
                  <c:y val="0"/>
                </c:manualLayout>
              </c:layout>
              <c:showLegendKey val="0"/>
              <c:showVal val="1"/>
              <c:showCatName val="0"/>
              <c:showSerName val="0"/>
              <c:showPercent val="0"/>
              <c:showBubbleSize val="0"/>
            </c:dLbl>
            <c:dLbl>
              <c:idx val="4"/>
              <c:layout>
                <c:manualLayout>
                  <c:x val="6.41025641025641E-3"/>
                  <c:y val="0"/>
                </c:manualLayout>
              </c:layout>
              <c:showLegendKey val="0"/>
              <c:showVal val="1"/>
              <c:showCatName val="0"/>
              <c:showSerName val="0"/>
              <c:showPercent val="0"/>
              <c:showBubbleSize val="0"/>
            </c:dLbl>
            <c:dLbl>
              <c:idx val="5"/>
              <c:layout>
                <c:manualLayout>
                  <c:x val="6.410256410256332E-3"/>
                  <c:y val="0"/>
                </c:manualLayout>
              </c:layout>
              <c:showLegendKey val="0"/>
              <c:showVal val="1"/>
              <c:showCatName val="0"/>
              <c:showSerName val="0"/>
              <c:showPercent val="0"/>
              <c:showBubbleSize val="0"/>
            </c:dLbl>
            <c:dLbl>
              <c:idx val="6"/>
              <c:layout>
                <c:manualLayout>
                  <c:x val="2.136752136752137E-3"/>
                  <c:y val="0"/>
                </c:manualLayout>
              </c:layout>
              <c:showLegendKey val="0"/>
              <c:showVal val="1"/>
              <c:showCatName val="0"/>
              <c:showSerName val="0"/>
              <c:showPercent val="0"/>
              <c:showBubbleSize val="0"/>
            </c:dLbl>
            <c:dLbl>
              <c:idx val="7"/>
              <c:layout>
                <c:manualLayout>
                  <c:x val="6.41025641025641E-3"/>
                  <c:y val="0"/>
                </c:manualLayout>
              </c:layout>
              <c:showLegendKey val="0"/>
              <c:showVal val="1"/>
              <c:showCatName val="0"/>
              <c:showSerName val="0"/>
              <c:showPercent val="0"/>
              <c:showBubbleSize val="0"/>
            </c:dLbl>
            <c:dLbl>
              <c:idx val="8"/>
              <c:layout>
                <c:manualLayout>
                  <c:x val="6.41025641025641E-3"/>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multiLvlStrRef>
              <c:f>'Fig 9'!$A$29:$B$37</c:f>
              <c:multiLvlStrCache>
                <c:ptCount val="9"/>
                <c:lvl>
                  <c:pt idx="0">
                    <c:v>24 years or younger</c:v>
                  </c:pt>
                  <c:pt idx="1">
                    <c:v>25-34 years</c:v>
                  </c:pt>
                  <c:pt idx="2">
                    <c:v>35+</c:v>
                  </c:pt>
                  <c:pt idx="3">
                    <c:v>White non-Hispanic</c:v>
                  </c:pt>
                  <c:pt idx="4">
                    <c:v>Other</c:v>
                  </c:pt>
                </c:lvl>
                <c:lvl>
                  <c:pt idx="0">
                    <c:v>Age</c:v>
                  </c:pt>
                  <c:pt idx="3">
                    <c:v>Race</c:v>
                  </c:pt>
                  <c:pt idx="5">
                    <c:v>Unmarried</c:v>
                  </c:pt>
                  <c:pt idx="6">
                    <c:v>Less than HS Education</c:v>
                  </c:pt>
                  <c:pt idx="7">
                    <c:v>Public Prenatal Care</c:v>
                  </c:pt>
                  <c:pt idx="8">
                    <c:v>Adequate Prenatal Care</c:v>
                  </c:pt>
                </c:lvl>
              </c:multiLvlStrCache>
            </c:multiLvlStrRef>
          </c:cat>
          <c:val>
            <c:numRef>
              <c:f>'Fig 9'!$E$29:$E$37</c:f>
              <c:numCache>
                <c:formatCode>0%</c:formatCode>
                <c:ptCount val="9"/>
                <c:pt idx="0">
                  <c:v>0.16200000000000001</c:v>
                </c:pt>
                <c:pt idx="1">
                  <c:v>0.57899999999999996</c:v>
                </c:pt>
                <c:pt idx="2">
                  <c:v>0.25900000000000001</c:v>
                </c:pt>
                <c:pt idx="3">
                  <c:v>0.625</c:v>
                </c:pt>
                <c:pt idx="4">
                  <c:v>0.36699999999999999</c:v>
                </c:pt>
                <c:pt idx="5">
                  <c:v>0.32969999999999999</c:v>
                </c:pt>
                <c:pt idx="6">
                  <c:v>9.6000000000000002E-2</c:v>
                </c:pt>
                <c:pt idx="7">
                  <c:v>0.36899999999999999</c:v>
                </c:pt>
                <c:pt idx="8">
                  <c:v>0.79100000000000004</c:v>
                </c:pt>
              </c:numCache>
            </c:numRef>
          </c:val>
        </c:ser>
        <c:dLbls>
          <c:showLegendKey val="0"/>
          <c:showVal val="0"/>
          <c:showCatName val="0"/>
          <c:showSerName val="0"/>
          <c:showPercent val="0"/>
          <c:showBubbleSize val="0"/>
        </c:dLbls>
        <c:gapWidth val="150"/>
        <c:overlap val="-19"/>
        <c:axId val="382706816"/>
        <c:axId val="382708352"/>
      </c:barChart>
      <c:catAx>
        <c:axId val="382706816"/>
        <c:scaling>
          <c:orientation val="minMax"/>
        </c:scaling>
        <c:delete val="0"/>
        <c:axPos val="b"/>
        <c:majorTickMark val="out"/>
        <c:minorTickMark val="none"/>
        <c:tickLblPos val="nextTo"/>
        <c:crossAx val="382708352"/>
        <c:crosses val="autoZero"/>
        <c:auto val="1"/>
        <c:lblAlgn val="ctr"/>
        <c:lblOffset val="100"/>
        <c:noMultiLvlLbl val="0"/>
      </c:catAx>
      <c:valAx>
        <c:axId val="382708352"/>
        <c:scaling>
          <c:orientation val="minMax"/>
        </c:scaling>
        <c:delete val="0"/>
        <c:axPos val="l"/>
        <c:majorGridlines>
          <c:spPr>
            <a:ln>
              <a:noFill/>
            </a:ln>
          </c:spPr>
        </c:majorGridlines>
        <c:numFmt formatCode="0%" sourceLinked="1"/>
        <c:majorTickMark val="out"/>
        <c:minorTickMark val="none"/>
        <c:tickLblPos val="nextTo"/>
        <c:crossAx val="382706816"/>
        <c:crosses val="autoZero"/>
        <c:crossBetween val="between"/>
      </c:valAx>
      <c:spPr>
        <a:ln>
          <a:noFill/>
        </a:ln>
      </c:spPr>
    </c:plotArea>
    <c:legend>
      <c:legendPos val="b"/>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781492225752487E-2"/>
          <c:y val="4.5689381419915104E-2"/>
          <c:w val="0.54189881966508568"/>
          <c:h val="0.78097468276908399"/>
        </c:manualLayout>
      </c:layout>
      <c:barChart>
        <c:barDir val="col"/>
        <c:grouping val="clustered"/>
        <c:varyColors val="0"/>
        <c:ser>
          <c:idx val="0"/>
          <c:order val="0"/>
          <c:tx>
            <c:strRef>
              <c:f>'Fig 10'!$A$2</c:f>
              <c:strCache>
                <c:ptCount val="1"/>
                <c:pt idx="0">
                  <c:v>Breastfeeding at Discharge </c:v>
                </c:pt>
              </c:strCache>
            </c:strRef>
          </c:tx>
          <c:invertIfNegative val="0"/>
          <c:dLbls>
            <c:showLegendKey val="0"/>
            <c:showVal val="1"/>
            <c:showCatName val="0"/>
            <c:showSerName val="0"/>
            <c:showPercent val="0"/>
            <c:showBubbleSize val="0"/>
            <c:showLeaderLines val="0"/>
          </c:dLbls>
          <c:cat>
            <c:strRef>
              <c:f>'Fig 10'!$B$1:$C$1</c:f>
              <c:strCache>
                <c:ptCount val="2"/>
                <c:pt idx="0">
                  <c:v>Postpartum OD Event</c:v>
                </c:pt>
                <c:pt idx="1">
                  <c:v>No Postpartum OD Event</c:v>
                </c:pt>
              </c:strCache>
            </c:strRef>
          </c:cat>
          <c:val>
            <c:numRef>
              <c:f>'Fig 10'!$B$2:$C$2</c:f>
              <c:numCache>
                <c:formatCode>0%</c:formatCode>
                <c:ptCount val="2"/>
                <c:pt idx="0">
                  <c:v>0.47599999999999998</c:v>
                </c:pt>
                <c:pt idx="1">
                  <c:v>0.83199999999999996</c:v>
                </c:pt>
              </c:numCache>
            </c:numRef>
          </c:val>
        </c:ser>
        <c:ser>
          <c:idx val="1"/>
          <c:order val="1"/>
          <c:tx>
            <c:strRef>
              <c:f>'Fig 10'!$A$3</c:f>
              <c:strCache>
                <c:ptCount val="1"/>
                <c:pt idx="0">
                  <c:v>Preterm or Low Birth Weight Delivery </c:v>
                </c:pt>
              </c:strCache>
            </c:strRef>
          </c:tx>
          <c:invertIfNegative val="0"/>
          <c:dLbls>
            <c:showLegendKey val="0"/>
            <c:showVal val="1"/>
            <c:showCatName val="0"/>
            <c:showSerName val="0"/>
            <c:showPercent val="0"/>
            <c:showBubbleSize val="0"/>
            <c:showLeaderLines val="0"/>
          </c:dLbls>
          <c:cat>
            <c:strRef>
              <c:f>'Fig 10'!$B$1:$C$1</c:f>
              <c:strCache>
                <c:ptCount val="2"/>
                <c:pt idx="0">
                  <c:v>Postpartum OD Event</c:v>
                </c:pt>
                <c:pt idx="1">
                  <c:v>No Postpartum OD Event</c:v>
                </c:pt>
              </c:strCache>
            </c:strRef>
          </c:cat>
          <c:val>
            <c:numRef>
              <c:f>'Fig 10'!$B$3:$C$3</c:f>
              <c:numCache>
                <c:formatCode>0%</c:formatCode>
                <c:ptCount val="2"/>
                <c:pt idx="0">
                  <c:v>0.20599999999999999</c:v>
                </c:pt>
                <c:pt idx="1">
                  <c:v>6.5000000000000002E-2</c:v>
                </c:pt>
              </c:numCache>
            </c:numRef>
          </c:val>
        </c:ser>
        <c:ser>
          <c:idx val="2"/>
          <c:order val="2"/>
          <c:tx>
            <c:strRef>
              <c:f>'Fig 10'!$A$4</c:f>
              <c:strCache>
                <c:ptCount val="1"/>
                <c:pt idx="0">
                  <c:v>Enrolled in MassHealth at delivery</c:v>
                </c:pt>
              </c:strCache>
            </c:strRef>
          </c:tx>
          <c:invertIfNegative val="0"/>
          <c:dLbls>
            <c:showLegendKey val="0"/>
            <c:showVal val="1"/>
            <c:showCatName val="0"/>
            <c:showSerName val="0"/>
            <c:showPercent val="0"/>
            <c:showBubbleSize val="0"/>
            <c:showLeaderLines val="0"/>
          </c:dLbls>
          <c:cat>
            <c:strRef>
              <c:f>'Fig 10'!$B$1:$C$1</c:f>
              <c:strCache>
                <c:ptCount val="2"/>
                <c:pt idx="0">
                  <c:v>Postpartum OD Event</c:v>
                </c:pt>
                <c:pt idx="1">
                  <c:v>No Postpartum OD Event</c:v>
                </c:pt>
              </c:strCache>
            </c:strRef>
          </c:cat>
          <c:val>
            <c:numRef>
              <c:f>'Fig 10'!$B$4:$C$4</c:f>
              <c:numCache>
                <c:formatCode>0%</c:formatCode>
                <c:ptCount val="2"/>
                <c:pt idx="0">
                  <c:v>0.91500000000000004</c:v>
                </c:pt>
                <c:pt idx="1">
                  <c:v>0.41899999999999998</c:v>
                </c:pt>
              </c:numCache>
            </c:numRef>
          </c:val>
        </c:ser>
        <c:ser>
          <c:idx val="3"/>
          <c:order val="3"/>
          <c:tx>
            <c:strRef>
              <c:f>'Fig 10'!$A$5</c:f>
              <c:strCache>
                <c:ptCount val="1"/>
                <c:pt idx="0">
                  <c:v>Incarcerated in Jail or Prison*</c:v>
                </c:pt>
              </c:strCache>
            </c:strRef>
          </c:tx>
          <c:invertIfNegative val="0"/>
          <c:dLbls>
            <c:showLegendKey val="0"/>
            <c:showVal val="1"/>
            <c:showCatName val="0"/>
            <c:showSerName val="0"/>
            <c:showPercent val="0"/>
            <c:showBubbleSize val="0"/>
            <c:showLeaderLines val="0"/>
          </c:dLbls>
          <c:cat>
            <c:strRef>
              <c:f>'Fig 10'!$B$1:$C$1</c:f>
              <c:strCache>
                <c:ptCount val="2"/>
                <c:pt idx="0">
                  <c:v>Postpartum OD Event</c:v>
                </c:pt>
                <c:pt idx="1">
                  <c:v>No Postpartum OD Event</c:v>
                </c:pt>
              </c:strCache>
            </c:strRef>
          </c:cat>
          <c:val>
            <c:numRef>
              <c:f>'Fig 10'!$B$5:$C$5</c:f>
              <c:numCache>
                <c:formatCode>0.0%</c:formatCode>
                <c:ptCount val="2"/>
                <c:pt idx="0" formatCode="0%">
                  <c:v>9.5000000000000001E-2</c:v>
                </c:pt>
                <c:pt idx="1">
                  <c:v>2E-3</c:v>
                </c:pt>
              </c:numCache>
            </c:numRef>
          </c:val>
        </c:ser>
        <c:ser>
          <c:idx val="4"/>
          <c:order val="4"/>
          <c:tx>
            <c:strRef>
              <c:f>'Fig 10'!$A$6</c:f>
              <c:strCache>
                <c:ptCount val="1"/>
                <c:pt idx="0">
                  <c:v>High ED Utilization (3 or more visits) in the 12 months before delivery
</c:v>
                </c:pt>
              </c:strCache>
            </c:strRef>
          </c:tx>
          <c:invertIfNegative val="0"/>
          <c:dLbls>
            <c:showLegendKey val="0"/>
            <c:showVal val="1"/>
            <c:showCatName val="0"/>
            <c:showSerName val="0"/>
            <c:showPercent val="0"/>
            <c:showBubbleSize val="0"/>
            <c:showLeaderLines val="0"/>
          </c:dLbls>
          <c:cat>
            <c:strRef>
              <c:f>'Fig 10'!$B$1:$C$1</c:f>
              <c:strCache>
                <c:ptCount val="2"/>
                <c:pt idx="0">
                  <c:v>Postpartum OD Event</c:v>
                </c:pt>
                <c:pt idx="1">
                  <c:v>No Postpartum OD Event</c:v>
                </c:pt>
              </c:strCache>
            </c:strRef>
          </c:cat>
          <c:val>
            <c:numRef>
              <c:f>'Fig 10'!$B$6:$C$6</c:f>
              <c:numCache>
                <c:formatCode>0%</c:formatCode>
                <c:ptCount val="2"/>
                <c:pt idx="0">
                  <c:v>0.40699999999999997</c:v>
                </c:pt>
                <c:pt idx="1">
                  <c:v>5.2999999999999999E-2</c:v>
                </c:pt>
              </c:numCache>
            </c:numRef>
          </c:val>
        </c:ser>
        <c:dLbls>
          <c:showLegendKey val="0"/>
          <c:showVal val="0"/>
          <c:showCatName val="0"/>
          <c:showSerName val="0"/>
          <c:showPercent val="0"/>
          <c:showBubbleSize val="0"/>
        </c:dLbls>
        <c:gapWidth val="150"/>
        <c:overlap val="-20"/>
        <c:axId val="382762368"/>
        <c:axId val="382776448"/>
      </c:barChart>
      <c:catAx>
        <c:axId val="382762368"/>
        <c:scaling>
          <c:orientation val="minMax"/>
        </c:scaling>
        <c:delete val="0"/>
        <c:axPos val="b"/>
        <c:majorTickMark val="out"/>
        <c:minorTickMark val="none"/>
        <c:tickLblPos val="nextTo"/>
        <c:crossAx val="382776448"/>
        <c:crosses val="autoZero"/>
        <c:auto val="1"/>
        <c:lblAlgn val="ctr"/>
        <c:lblOffset val="100"/>
        <c:noMultiLvlLbl val="0"/>
      </c:catAx>
      <c:valAx>
        <c:axId val="382776448"/>
        <c:scaling>
          <c:orientation val="minMax"/>
        </c:scaling>
        <c:delete val="0"/>
        <c:axPos val="l"/>
        <c:majorGridlines>
          <c:spPr>
            <a:ln>
              <a:noFill/>
            </a:ln>
          </c:spPr>
        </c:majorGridlines>
        <c:numFmt formatCode="0%" sourceLinked="1"/>
        <c:majorTickMark val="out"/>
        <c:minorTickMark val="none"/>
        <c:tickLblPos val="nextTo"/>
        <c:crossAx val="382762368"/>
        <c:crosses val="autoZero"/>
        <c:crossBetween val="between"/>
      </c:valAx>
    </c:plotArea>
    <c:legend>
      <c:legendPos val="r"/>
      <c:layout>
        <c:manualLayout>
          <c:xMode val="edge"/>
          <c:yMode val="edge"/>
          <c:x val="0.64912284565827871"/>
          <c:y val="6.5779238225143116E-2"/>
          <c:w val="0.33918128654970758"/>
          <c:h val="0.88697666728666791"/>
        </c:manualLayout>
      </c:layout>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 11'!$K$1</c:f>
              <c:strCache>
                <c:ptCount val="1"/>
                <c:pt idx="0">
                  <c:v>OUD and overdose</c:v>
                </c:pt>
              </c:strCache>
            </c:strRef>
          </c:tx>
          <c:invertIfNegative val="0"/>
          <c:dLbls>
            <c:showLegendKey val="0"/>
            <c:showVal val="1"/>
            <c:showCatName val="0"/>
            <c:showSerName val="0"/>
            <c:showPercent val="0"/>
            <c:showBubbleSize val="0"/>
            <c:showLeaderLines val="0"/>
          </c:dLbls>
          <c:cat>
            <c:multiLvlStrRef>
              <c:f>'Fig 11'!$I$2:$J$6</c:f>
              <c:multiLvlStrCache>
                <c:ptCount val="5"/>
                <c:lvl>
                  <c:pt idx="0">
                    <c:v>Any treatment 
2011-2015</c:v>
                  </c:pt>
                  <c:pt idx="1">
                    <c:v>Any treatment year before delivery</c:v>
                  </c:pt>
                </c:lvl>
                <c:lvl>
                  <c:pt idx="0">
                    <c:v>Pharmacotherapy</c:v>
                  </c:pt>
                  <c:pt idx="2">
                    <c:v>Homeless</c:v>
                  </c:pt>
                  <c:pt idx="3">
                    <c:v>Depression diagnosis</c:v>
                  </c:pt>
                  <c:pt idx="4">
                    <c:v>Anxiety diagnosis</c:v>
                  </c:pt>
                </c:lvl>
              </c:multiLvlStrCache>
            </c:multiLvlStrRef>
          </c:cat>
          <c:val>
            <c:numRef>
              <c:f>'Fig 11'!$K$2:$K$6</c:f>
              <c:numCache>
                <c:formatCode>0%</c:formatCode>
                <c:ptCount val="5"/>
                <c:pt idx="0">
                  <c:v>0.81499999999999995</c:v>
                </c:pt>
                <c:pt idx="1">
                  <c:v>0.66300000000000003</c:v>
                </c:pt>
                <c:pt idx="2">
                  <c:v>0.79100000000000004</c:v>
                </c:pt>
                <c:pt idx="3">
                  <c:v>0.84799999999999998</c:v>
                </c:pt>
                <c:pt idx="4">
                  <c:v>0.82099999999999995</c:v>
                </c:pt>
              </c:numCache>
            </c:numRef>
          </c:val>
        </c:ser>
        <c:ser>
          <c:idx val="1"/>
          <c:order val="1"/>
          <c:tx>
            <c:strRef>
              <c:f>'Fig 11'!$L$1</c:f>
              <c:strCache>
                <c:ptCount val="1"/>
                <c:pt idx="0">
                  <c:v>OUD but no overdose</c:v>
                </c:pt>
              </c:strCache>
            </c:strRef>
          </c:tx>
          <c:invertIfNegative val="0"/>
          <c:dLbls>
            <c:showLegendKey val="0"/>
            <c:showVal val="1"/>
            <c:showCatName val="0"/>
            <c:showSerName val="0"/>
            <c:showPercent val="0"/>
            <c:showBubbleSize val="0"/>
            <c:showLeaderLines val="0"/>
          </c:dLbls>
          <c:cat>
            <c:multiLvlStrRef>
              <c:f>'Fig 11'!$I$2:$J$6</c:f>
              <c:multiLvlStrCache>
                <c:ptCount val="5"/>
                <c:lvl>
                  <c:pt idx="0">
                    <c:v>Any treatment 
2011-2015</c:v>
                  </c:pt>
                  <c:pt idx="1">
                    <c:v>Any treatment year before delivery</c:v>
                  </c:pt>
                </c:lvl>
                <c:lvl>
                  <c:pt idx="0">
                    <c:v>Pharmacotherapy</c:v>
                  </c:pt>
                  <c:pt idx="2">
                    <c:v>Homeless</c:v>
                  </c:pt>
                  <c:pt idx="3">
                    <c:v>Depression diagnosis</c:v>
                  </c:pt>
                  <c:pt idx="4">
                    <c:v>Anxiety diagnosis</c:v>
                  </c:pt>
                </c:lvl>
              </c:multiLvlStrCache>
            </c:multiLvlStrRef>
          </c:cat>
          <c:val>
            <c:numRef>
              <c:f>'Fig 11'!$L$2:$L$6</c:f>
              <c:numCache>
                <c:formatCode>0%</c:formatCode>
                <c:ptCount val="5"/>
                <c:pt idx="0">
                  <c:v>0.76300000000000001</c:v>
                </c:pt>
                <c:pt idx="1">
                  <c:v>0.64200000000000002</c:v>
                </c:pt>
                <c:pt idx="2">
                  <c:v>0.34200000000000003</c:v>
                </c:pt>
                <c:pt idx="3">
                  <c:v>0.61199999999999999</c:v>
                </c:pt>
                <c:pt idx="4">
                  <c:v>0.60199999999999998</c:v>
                </c:pt>
              </c:numCache>
            </c:numRef>
          </c:val>
        </c:ser>
        <c:ser>
          <c:idx val="2"/>
          <c:order val="2"/>
          <c:tx>
            <c:strRef>
              <c:f>'Fig 11'!$M$1</c:f>
              <c:strCache>
                <c:ptCount val="1"/>
                <c:pt idx="0">
                  <c:v>NO OUD</c:v>
                </c:pt>
              </c:strCache>
            </c:strRef>
          </c:tx>
          <c:invertIfNegative val="0"/>
          <c:dLbls>
            <c:dLbl>
              <c:idx val="1"/>
              <c:tx>
                <c:rich>
                  <a:bodyPr/>
                  <a:lstStyle/>
                  <a:p>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multiLvlStrRef>
              <c:f>'Fig 11'!$I$2:$J$6</c:f>
              <c:multiLvlStrCache>
                <c:ptCount val="5"/>
                <c:lvl>
                  <c:pt idx="0">
                    <c:v>Any treatment 
2011-2015</c:v>
                  </c:pt>
                  <c:pt idx="1">
                    <c:v>Any treatment year before delivery</c:v>
                  </c:pt>
                </c:lvl>
                <c:lvl>
                  <c:pt idx="0">
                    <c:v>Pharmacotherapy</c:v>
                  </c:pt>
                  <c:pt idx="2">
                    <c:v>Homeless</c:v>
                  </c:pt>
                  <c:pt idx="3">
                    <c:v>Depression diagnosis</c:v>
                  </c:pt>
                  <c:pt idx="4">
                    <c:v>Anxiety diagnosis</c:v>
                  </c:pt>
                </c:lvl>
              </c:multiLvlStrCache>
            </c:multiLvlStrRef>
          </c:cat>
          <c:val>
            <c:numRef>
              <c:f>'Fig 11'!$M$2:$M$6</c:f>
              <c:numCache>
                <c:formatCode>0%</c:formatCode>
                <c:ptCount val="5"/>
                <c:pt idx="0" formatCode="0.0%">
                  <c:v>6.8999999999999999E-3</c:v>
                </c:pt>
                <c:pt idx="1">
                  <c:v>0</c:v>
                </c:pt>
                <c:pt idx="2">
                  <c:v>1.6500000000000001E-2</c:v>
                </c:pt>
                <c:pt idx="3">
                  <c:v>0.189</c:v>
                </c:pt>
                <c:pt idx="4">
                  <c:v>0.18290000000000001</c:v>
                </c:pt>
              </c:numCache>
            </c:numRef>
          </c:val>
        </c:ser>
        <c:dLbls>
          <c:showLegendKey val="0"/>
          <c:showVal val="0"/>
          <c:showCatName val="0"/>
          <c:showSerName val="0"/>
          <c:showPercent val="0"/>
          <c:showBubbleSize val="0"/>
        </c:dLbls>
        <c:gapWidth val="150"/>
        <c:overlap val="-20"/>
        <c:axId val="382881792"/>
        <c:axId val="382883328"/>
      </c:barChart>
      <c:catAx>
        <c:axId val="382881792"/>
        <c:scaling>
          <c:orientation val="minMax"/>
        </c:scaling>
        <c:delete val="0"/>
        <c:axPos val="b"/>
        <c:majorTickMark val="out"/>
        <c:minorTickMark val="none"/>
        <c:tickLblPos val="nextTo"/>
        <c:crossAx val="382883328"/>
        <c:crosses val="autoZero"/>
        <c:auto val="1"/>
        <c:lblAlgn val="ctr"/>
        <c:lblOffset val="100"/>
        <c:noMultiLvlLbl val="0"/>
      </c:catAx>
      <c:valAx>
        <c:axId val="382883328"/>
        <c:scaling>
          <c:orientation val="minMax"/>
        </c:scaling>
        <c:delete val="0"/>
        <c:axPos val="l"/>
        <c:majorGridlines>
          <c:spPr>
            <a:ln>
              <a:noFill/>
            </a:ln>
          </c:spPr>
        </c:majorGridlines>
        <c:numFmt formatCode="0%" sourceLinked="1"/>
        <c:majorTickMark val="out"/>
        <c:minorTickMark val="none"/>
        <c:tickLblPos val="nextTo"/>
        <c:crossAx val="382881792"/>
        <c:crosses val="autoZero"/>
        <c:crossBetween val="between"/>
      </c:valAx>
      <c:spPr>
        <a:ln>
          <a:noFill/>
        </a:ln>
      </c:spPr>
    </c:plotArea>
    <c:legend>
      <c:legendPos val="b"/>
      <c:layout>
        <c:manualLayout>
          <c:xMode val="edge"/>
          <c:yMode val="edge"/>
          <c:x val="0.18798957236944366"/>
          <c:y val="0.85058656183993564"/>
          <c:w val="0.62853298160065019"/>
          <c:h val="9.9220375230873917E-2"/>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9771596975021"/>
          <c:y val="6.5192446720614319E-2"/>
          <c:w val="0.88306701264594945"/>
          <c:h val="0.72126740540934609"/>
        </c:manualLayout>
      </c:layout>
      <c:barChart>
        <c:barDir val="col"/>
        <c:grouping val="clustered"/>
        <c:varyColors val="0"/>
        <c:ser>
          <c:idx val="0"/>
          <c:order val="0"/>
          <c:tx>
            <c:strRef>
              <c:f>'new Fig22'!$B$1</c:f>
              <c:strCache>
                <c:ptCount val="1"/>
                <c:pt idx="0">
                  <c:v>All OD Events</c:v>
                </c:pt>
              </c:strCache>
            </c:strRef>
          </c:tx>
          <c:spPr>
            <a:solidFill>
              <a:schemeClr val="accent1"/>
            </a:solidFill>
          </c:spPr>
          <c:invertIfNegative val="0"/>
          <c:dLbls>
            <c:numFmt formatCode="#,##0.0" sourceLinked="0"/>
            <c:spPr>
              <a:noFill/>
              <a:ln>
                <a:noFill/>
              </a:ln>
              <a:effectLst/>
            </c:spPr>
            <c:txPr>
              <a:bodyPr/>
              <a:lstStyle/>
              <a:p>
                <a:pPr>
                  <a:defRPr sz="900">
                    <a:solidFill>
                      <a:schemeClr val="bg1"/>
                    </a:solidFill>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'new Fig22'!$J$3:$J$11</c:f>
                <c:numCache>
                  <c:formatCode>General</c:formatCode>
                  <c:ptCount val="9"/>
                  <c:pt idx="0">
                    <c:v>1.0700000000000003</c:v>
                  </c:pt>
                  <c:pt idx="1">
                    <c:v>3.5699999999999985</c:v>
                  </c:pt>
                  <c:pt idx="2">
                    <c:v>3.7299999999999986</c:v>
                  </c:pt>
                  <c:pt idx="3">
                    <c:v>2.0900000000000003</c:v>
                  </c:pt>
                  <c:pt idx="4">
                    <c:v>2.78</c:v>
                  </c:pt>
                  <c:pt idx="5">
                    <c:v>3.3000000000000007</c:v>
                  </c:pt>
                  <c:pt idx="6">
                    <c:v>3.21</c:v>
                  </c:pt>
                  <c:pt idx="7">
                    <c:v>4.0800000000000018</c:v>
                  </c:pt>
                  <c:pt idx="8">
                    <c:v>4.0700000000000021</c:v>
                  </c:pt>
                </c:numCache>
              </c:numRef>
            </c:plus>
            <c:minus>
              <c:numRef>
                <c:f>'new Fig22'!$I$3:$I$11</c:f>
                <c:numCache>
                  <c:formatCode>General</c:formatCode>
                  <c:ptCount val="9"/>
                  <c:pt idx="0">
                    <c:v>0.98000000000000043</c:v>
                  </c:pt>
                  <c:pt idx="1">
                    <c:v>2.8100000000000005</c:v>
                  </c:pt>
                  <c:pt idx="2">
                    <c:v>2.8400000000000007</c:v>
                  </c:pt>
                  <c:pt idx="3">
                    <c:v>1.42</c:v>
                  </c:pt>
                  <c:pt idx="4">
                    <c:v>1.7299999999999998</c:v>
                  </c:pt>
                  <c:pt idx="5">
                    <c:v>2.4900000000000002</c:v>
                  </c:pt>
                  <c:pt idx="6">
                    <c:v>2.3899999999999997</c:v>
                  </c:pt>
                  <c:pt idx="7">
                    <c:v>3.2699999999999996</c:v>
                  </c:pt>
                  <c:pt idx="8">
                    <c:v>3.2799999999999994</c:v>
                  </c:pt>
                </c:numCache>
              </c:numRef>
            </c:minus>
            <c:spPr>
              <a:ln>
                <a:solidFill>
                  <a:schemeClr val="tx2"/>
                </a:solidFill>
              </a:ln>
            </c:spPr>
          </c:errBars>
          <c:cat>
            <c:strRef>
              <c:f>'new Fig22'!$A$2:$A$10</c:f>
              <c:strCache>
                <c:ptCount val="9"/>
                <c:pt idx="0">
                  <c:v>Overall </c:v>
                </c:pt>
                <c:pt idx="1">
                  <c:v>Year prior to delivery</c:v>
                </c:pt>
                <c:pt idx="2">
                  <c:v>First Trimester</c:v>
                </c:pt>
                <c:pt idx="3">
                  <c:v>Second Trimester</c:v>
                </c:pt>
                <c:pt idx="4">
                  <c:v>Third Trimester</c:v>
                </c:pt>
                <c:pt idx="5">
                  <c:v>0–3 months</c:v>
                </c:pt>
                <c:pt idx="6">
                  <c:v>4–6 months</c:v>
                </c:pt>
                <c:pt idx="7">
                  <c:v>7–9 months</c:v>
                </c:pt>
                <c:pt idx="8">
                  <c:v>10–12 months</c:v>
                </c:pt>
              </c:strCache>
            </c:strRef>
          </c:cat>
          <c:val>
            <c:numRef>
              <c:f>'new Fig22'!$B$2:$B$10</c:f>
              <c:numCache>
                <c:formatCode>General</c:formatCode>
                <c:ptCount val="9"/>
                <c:pt idx="0">
                  <c:v>7.99</c:v>
                </c:pt>
                <c:pt idx="1">
                  <c:v>9.7200000000000006</c:v>
                </c:pt>
                <c:pt idx="2">
                  <c:v>8.8800000000000008</c:v>
                </c:pt>
                <c:pt idx="3">
                  <c:v>3.23</c:v>
                </c:pt>
                <c:pt idx="4">
                  <c:v>3.32</c:v>
                </c:pt>
                <c:pt idx="5">
                  <c:v>7.41</c:v>
                </c:pt>
                <c:pt idx="6">
                  <c:v>6.89</c:v>
                </c:pt>
                <c:pt idx="7">
                  <c:v>12.2</c:v>
                </c:pt>
                <c:pt idx="8">
                  <c:v>12.35</c:v>
                </c:pt>
              </c:numCache>
            </c:numRef>
          </c:val>
          <c:extLst xmlns:c16r2="http://schemas.microsoft.com/office/drawing/2015/06/chart">
            <c:ext xmlns:c16="http://schemas.microsoft.com/office/drawing/2014/chart" uri="{C3380CC4-5D6E-409C-BE32-E72D297353CC}">
              <c16:uniqueId val="{00000000-F42D-4372-A373-572D582583B3}"/>
            </c:ext>
          </c:extLst>
        </c:ser>
        <c:dLbls>
          <c:showLegendKey val="0"/>
          <c:showVal val="0"/>
          <c:showCatName val="0"/>
          <c:showSerName val="0"/>
          <c:showPercent val="0"/>
          <c:showBubbleSize val="0"/>
        </c:dLbls>
        <c:gapWidth val="160"/>
        <c:overlap val="-50"/>
        <c:axId val="382912768"/>
        <c:axId val="382922752"/>
      </c:barChart>
      <c:catAx>
        <c:axId val="382912768"/>
        <c:scaling>
          <c:orientation val="minMax"/>
        </c:scaling>
        <c:delete val="0"/>
        <c:axPos val="b"/>
        <c:numFmt formatCode="General" sourceLinked="1"/>
        <c:majorTickMark val="none"/>
        <c:minorTickMark val="none"/>
        <c:tickLblPos val="nextTo"/>
        <c:txPr>
          <a:bodyPr/>
          <a:lstStyle/>
          <a:p>
            <a:pPr>
              <a:defRPr sz="1000"/>
            </a:pPr>
            <a:endParaRPr lang="en-US"/>
          </a:p>
        </c:txPr>
        <c:crossAx val="382922752"/>
        <c:crosses val="autoZero"/>
        <c:auto val="1"/>
        <c:lblAlgn val="ctr"/>
        <c:lblOffset val="100"/>
        <c:noMultiLvlLbl val="0"/>
      </c:catAx>
      <c:valAx>
        <c:axId val="382922752"/>
        <c:scaling>
          <c:orientation val="minMax"/>
          <c:max val="25"/>
        </c:scaling>
        <c:delete val="0"/>
        <c:axPos val="l"/>
        <c:title>
          <c:tx>
            <c:rich>
              <a:bodyPr/>
              <a:lstStyle/>
              <a:p>
                <a:pPr>
                  <a:defRPr b="0"/>
                </a:pPr>
                <a:r>
                  <a:rPr lang="en-US" b="0"/>
                  <a:t>Overdose rate </a:t>
                </a:r>
              </a:p>
              <a:p>
                <a:pPr>
                  <a:defRPr b="0"/>
                </a:pPr>
                <a:r>
                  <a:rPr lang="en-US" b="0"/>
                  <a:t>per 100,000 person-days</a:t>
                </a:r>
              </a:p>
            </c:rich>
          </c:tx>
          <c:layout>
            <c:manualLayout>
              <c:xMode val="edge"/>
              <c:yMode val="edge"/>
              <c:x val="1.4421971763333506E-3"/>
              <c:y val="0.2171985180552792"/>
            </c:manualLayout>
          </c:layout>
          <c:overlay val="0"/>
        </c:title>
        <c:numFmt formatCode="General" sourceLinked="1"/>
        <c:majorTickMark val="out"/>
        <c:minorTickMark val="none"/>
        <c:tickLblPos val="nextTo"/>
        <c:crossAx val="382912768"/>
        <c:crosses val="autoZero"/>
        <c:crossBetween val="between"/>
        <c:majorUnit val="5"/>
      </c:valAx>
    </c:plotArea>
    <c:legend>
      <c:legendPos val="r"/>
      <c:layout>
        <c:manualLayout>
          <c:xMode val="edge"/>
          <c:yMode val="edge"/>
          <c:x val="0.15911138558660559"/>
          <c:y val="0.12803699176592095"/>
          <c:w val="0.21164873998593314"/>
          <c:h val="8.2996863659190623E-2"/>
        </c:manualLayout>
      </c:layout>
      <c:overlay val="0"/>
      <c:spPr>
        <a:ln>
          <a:solidFill>
            <a:schemeClr val="accent1"/>
          </a:solidFill>
        </a:ln>
      </c:sp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0.01508</cdr:x>
      <cdr:y>0.80315</cdr:y>
    </cdr:from>
    <cdr:to>
      <cdr:x>0.94118</cdr:x>
      <cdr:y>0.96906</cdr:y>
    </cdr:to>
    <cdr:sp macro="" textlink="">
      <cdr:nvSpPr>
        <cdr:cNvPr id="2" name="TextBox 1"/>
        <cdr:cNvSpPr txBox="1"/>
      </cdr:nvSpPr>
      <cdr:spPr>
        <a:xfrm xmlns:a="http://schemas.openxmlformats.org/drawingml/2006/main">
          <a:off x="89629" y="1943100"/>
          <a:ext cx="5504368" cy="4013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effectLst/>
              <a:latin typeface="+mn-lt"/>
              <a:ea typeface="+mn-ea"/>
              <a:cs typeface="+mn-cs"/>
            </a:rPr>
            <a:t>Notes: These deaths may include substances in addition to stimulants and opioids</a:t>
          </a:r>
          <a:br>
            <a:rPr lang="en-US" sz="800">
              <a:effectLst/>
              <a:latin typeface="+mn-lt"/>
              <a:ea typeface="+mn-ea"/>
              <a:cs typeface="+mn-cs"/>
            </a:rPr>
          </a:br>
          <a:r>
            <a:rPr lang="en-US" sz="800">
              <a:effectLst/>
              <a:latin typeface="+mn-lt"/>
              <a:ea typeface="+mn-ea"/>
              <a:cs typeface="+mn-cs"/>
            </a:rPr>
            <a:t>Asian/Pacific Island non-Hispanic</a:t>
          </a:r>
          <a:r>
            <a:rPr lang="en-US" sz="800" baseline="0">
              <a:effectLst/>
              <a:latin typeface="+mn-lt"/>
              <a:ea typeface="+mn-ea"/>
              <a:cs typeface="+mn-cs"/>
            </a:rPr>
            <a:t> </a:t>
          </a:r>
          <a:r>
            <a:rPr lang="en-US" sz="800">
              <a:effectLst/>
              <a:latin typeface="+mn-lt"/>
              <a:ea typeface="+mn-ea"/>
              <a:cs typeface="+mn-cs"/>
            </a:rPr>
            <a:t>and Other non-Hispanic  are not displayed due to small counts </a:t>
          </a:r>
        </a:p>
        <a:p xmlns:a="http://schemas.openxmlformats.org/drawingml/2006/main">
          <a:endParaRPr lang="en-US" sz="800"/>
        </a:p>
      </cdr:txBody>
    </cdr:sp>
  </cdr:relSizeAnchor>
</c:userShapes>
</file>

<file path=word/drawings/drawing10.xml><?xml version="1.0" encoding="utf-8"?>
<c:userShapes xmlns:c="http://schemas.openxmlformats.org/drawingml/2006/chart">
  <cdr:relSizeAnchor xmlns:cdr="http://schemas.openxmlformats.org/drawingml/2006/chartDrawing">
    <cdr:from>
      <cdr:x>0.24679</cdr:x>
      <cdr:y>0.38081</cdr:y>
    </cdr:from>
    <cdr:to>
      <cdr:x>0.46154</cdr:x>
      <cdr:y>0.48743</cdr:y>
    </cdr:to>
    <cdr:sp macro="" textlink="">
      <cdr:nvSpPr>
        <cdr:cNvPr id="2" name="Text Box 1"/>
        <cdr:cNvSpPr txBox="1"/>
      </cdr:nvSpPr>
      <cdr:spPr>
        <a:xfrm xmlns:a="http://schemas.openxmlformats.org/drawingml/2006/main">
          <a:off x="1466850" y="952500"/>
          <a:ext cx="12763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Methadone</a:t>
          </a:r>
        </a:p>
      </cdr:txBody>
    </cdr:sp>
  </cdr:relSizeAnchor>
  <cdr:relSizeAnchor xmlns:cdr="http://schemas.openxmlformats.org/drawingml/2006/chartDrawing">
    <cdr:from>
      <cdr:x>0.66506</cdr:x>
      <cdr:y>0.377</cdr:y>
    </cdr:from>
    <cdr:to>
      <cdr:x>0.89583</cdr:x>
      <cdr:y>0.49505</cdr:y>
    </cdr:to>
    <cdr:sp macro="" textlink="">
      <cdr:nvSpPr>
        <cdr:cNvPr id="3" name="Text Box 2"/>
        <cdr:cNvSpPr txBox="1"/>
      </cdr:nvSpPr>
      <cdr:spPr>
        <a:xfrm xmlns:a="http://schemas.openxmlformats.org/drawingml/2006/main">
          <a:off x="3952875" y="942975"/>
          <a:ext cx="13716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Buprenorphine</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0.86724</cdr:y>
    </cdr:from>
    <cdr:to>
      <cdr:x>0.9435</cdr:x>
      <cdr:y>1</cdr:y>
    </cdr:to>
    <cdr:sp macro="" textlink="">
      <cdr:nvSpPr>
        <cdr:cNvPr id="2" name="TextBox 1"/>
        <cdr:cNvSpPr txBox="1"/>
      </cdr:nvSpPr>
      <cdr:spPr>
        <a:xfrm xmlns:a="http://schemas.openxmlformats.org/drawingml/2006/main">
          <a:off x="0" y="2056855"/>
          <a:ext cx="5167432" cy="3148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*Other includes Asian/Pacific Islander </a:t>
          </a:r>
          <a:r>
            <a:rPr lang="en-US" sz="800" baseline="0"/>
            <a:t>non-Hispanic, American Indian non-Hispanic and other. Groups were combined due to small counts. </a:t>
          </a:r>
          <a:endParaRPr lang="en-US" sz="800"/>
        </a:p>
      </cdr:txBody>
    </cdr:sp>
  </cdr:relSizeAnchor>
</c:userShapes>
</file>

<file path=word/drawings/drawing3.xml><?xml version="1.0" encoding="utf-8"?>
<c:userShapes xmlns:c="http://schemas.openxmlformats.org/drawingml/2006/chart">
  <cdr:relSizeAnchor xmlns:cdr="http://schemas.openxmlformats.org/drawingml/2006/chartDrawing">
    <cdr:from>
      <cdr:x>0.02193</cdr:x>
      <cdr:y>0.91954</cdr:y>
    </cdr:from>
    <cdr:to>
      <cdr:x>0.97807</cdr:x>
      <cdr:y>0.99425</cdr:y>
    </cdr:to>
    <cdr:sp macro="" textlink="">
      <cdr:nvSpPr>
        <cdr:cNvPr id="2" name="TextBox 1"/>
        <cdr:cNvSpPr txBox="1"/>
      </cdr:nvSpPr>
      <cdr:spPr>
        <a:xfrm xmlns:a="http://schemas.openxmlformats.org/drawingml/2006/main">
          <a:off x="142875" y="3048001"/>
          <a:ext cx="62293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 In the 12 months before delivery or during the month of delivery. </a:t>
          </a:r>
        </a:p>
      </cdr:txBody>
    </cdr:sp>
  </cdr:relSizeAnchor>
</c:userShapes>
</file>

<file path=word/drawings/drawing4.xml><?xml version="1.0" encoding="utf-8"?>
<c:userShapes xmlns:c="http://schemas.openxmlformats.org/drawingml/2006/chart">
  <cdr:relSizeAnchor xmlns:cdr="http://schemas.openxmlformats.org/drawingml/2006/chartDrawing">
    <cdr:from>
      <cdr:x>0.00302</cdr:x>
      <cdr:y>0.82246</cdr:y>
    </cdr:from>
    <cdr:to>
      <cdr:x>0.99698</cdr:x>
      <cdr:y>1</cdr:y>
    </cdr:to>
    <cdr:sp macro="" textlink="">
      <cdr:nvSpPr>
        <cdr:cNvPr id="2" name="TextBox 1"/>
        <cdr:cNvSpPr txBox="1"/>
      </cdr:nvSpPr>
      <cdr:spPr>
        <a:xfrm xmlns:a="http://schemas.openxmlformats.org/drawingml/2006/main">
          <a:off x="19050" y="2162175"/>
          <a:ext cx="62769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50"/>
            <a:t>Adjusted for </a:t>
          </a:r>
          <a:r>
            <a:rPr lang="en-US" sz="850">
              <a:effectLst/>
              <a:latin typeface="+mn-lt"/>
              <a:ea typeface="+mn-ea"/>
              <a:cs typeface="+mn-cs"/>
            </a:rPr>
            <a:t>several behavioral</a:t>
          </a:r>
          <a:r>
            <a:rPr lang="en-US" sz="850" baseline="0">
              <a:effectLst/>
              <a:latin typeface="+mn-lt"/>
              <a:ea typeface="+mn-ea"/>
              <a:cs typeface="+mn-cs"/>
            </a:rPr>
            <a:t> </a:t>
          </a:r>
          <a:r>
            <a:rPr lang="en-US" sz="850">
              <a:effectLst/>
              <a:latin typeface="+mn-lt"/>
              <a:ea typeface="+mn-ea"/>
              <a:cs typeface="+mn-cs"/>
            </a:rPr>
            <a:t>health diagnoses (SUD, SMI, </a:t>
          </a:r>
          <a:r>
            <a:rPr lang="en-US" sz="850" b="0" i="0" u="none" strike="noStrike" baseline="0">
              <a:latin typeface="+mn-lt"/>
              <a:ea typeface="+mn-ea"/>
              <a:cs typeface="+mn-cs"/>
            </a:rPr>
            <a:t>intentional self-harm)</a:t>
          </a:r>
          <a:r>
            <a:rPr lang="en-US" sz="850">
              <a:effectLst/>
              <a:latin typeface="+mn-lt"/>
              <a:ea typeface="+mn-ea"/>
              <a:cs typeface="+mn-cs"/>
            </a:rPr>
            <a:t>, chronic medical conditions</a:t>
          </a:r>
          <a:r>
            <a:rPr lang="en-US" sz="850" baseline="0">
              <a:effectLst/>
              <a:latin typeface="+mn-lt"/>
              <a:ea typeface="+mn-ea"/>
              <a:cs typeface="+mn-cs"/>
            </a:rPr>
            <a:t> (HIV, HCV, CHF, hypertension, diabetes),</a:t>
          </a:r>
          <a:r>
            <a:rPr lang="en-US" sz="850">
              <a:effectLst/>
              <a:latin typeface="+mn-lt"/>
              <a:ea typeface="+mn-ea"/>
              <a:cs typeface="+mn-cs"/>
            </a:rPr>
            <a:t> demographic characteristics</a:t>
          </a:r>
          <a:r>
            <a:rPr lang="en-US" sz="850" baseline="0">
              <a:effectLst/>
              <a:latin typeface="+mn-lt"/>
              <a:ea typeface="+mn-ea"/>
              <a:cs typeface="+mn-cs"/>
            </a:rPr>
            <a:t> (age, gender, race)</a:t>
          </a:r>
          <a:r>
            <a:rPr lang="en-US" sz="850">
              <a:effectLst/>
              <a:latin typeface="+mn-lt"/>
              <a:ea typeface="+mn-ea"/>
              <a:cs typeface="+mn-cs"/>
            </a:rPr>
            <a:t> and engagement with state agencies</a:t>
          </a:r>
          <a:endParaRPr lang="en-US" sz="850"/>
        </a:p>
      </cdr:txBody>
    </cdr:sp>
  </cdr:relSizeAnchor>
</c:userShapes>
</file>

<file path=word/drawings/drawing5.xml><?xml version="1.0" encoding="utf-8"?>
<c:userShapes xmlns:c="http://schemas.openxmlformats.org/drawingml/2006/chart">
  <cdr:relSizeAnchor xmlns:cdr="http://schemas.openxmlformats.org/drawingml/2006/chartDrawing">
    <cdr:from>
      <cdr:x>0.88605</cdr:x>
      <cdr:y>0.78475</cdr:y>
    </cdr:from>
    <cdr:to>
      <cdr:x>0.98035</cdr:x>
      <cdr:y>1</cdr:y>
    </cdr:to>
    <cdr:sp macro="" textlink="">
      <cdr:nvSpPr>
        <cdr:cNvPr id="2" name="TextBox 1"/>
        <cdr:cNvSpPr txBox="1"/>
      </cdr:nvSpPr>
      <cdr:spPr>
        <a:xfrm xmlns:a="http://schemas.openxmlformats.org/drawingml/2006/main">
          <a:off x="8591550" y="401002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6.xml><?xml version="1.0" encoding="utf-8"?>
<c:userShapes xmlns:c="http://schemas.openxmlformats.org/drawingml/2006/chart">
  <cdr:relSizeAnchor xmlns:cdr="http://schemas.openxmlformats.org/drawingml/2006/chartDrawing">
    <cdr:from>
      <cdr:x>0.00302</cdr:x>
      <cdr:y>0.82246</cdr:y>
    </cdr:from>
    <cdr:to>
      <cdr:x>0.99698</cdr:x>
      <cdr:y>1</cdr:y>
    </cdr:to>
    <cdr:sp macro="" textlink="">
      <cdr:nvSpPr>
        <cdr:cNvPr id="2" name="TextBox 1"/>
        <cdr:cNvSpPr txBox="1"/>
      </cdr:nvSpPr>
      <cdr:spPr>
        <a:xfrm xmlns:a="http://schemas.openxmlformats.org/drawingml/2006/main">
          <a:off x="19050" y="2162175"/>
          <a:ext cx="627697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900"/>
            <a:t>Adjusted for </a:t>
          </a:r>
          <a:r>
            <a:rPr lang="en-US" sz="900">
              <a:effectLst/>
              <a:latin typeface="+mn-lt"/>
              <a:ea typeface="+mn-ea"/>
              <a:cs typeface="+mn-cs"/>
            </a:rPr>
            <a:t>several behavioral</a:t>
          </a:r>
          <a:r>
            <a:rPr lang="en-US" sz="900" baseline="0">
              <a:effectLst/>
              <a:latin typeface="+mn-lt"/>
              <a:ea typeface="+mn-ea"/>
              <a:cs typeface="+mn-cs"/>
            </a:rPr>
            <a:t> </a:t>
          </a:r>
          <a:r>
            <a:rPr lang="en-US" sz="900">
              <a:effectLst/>
              <a:latin typeface="+mn-lt"/>
              <a:ea typeface="+mn-ea"/>
              <a:cs typeface="+mn-cs"/>
            </a:rPr>
            <a:t>health diagnoses (SUD, SMI, </a:t>
          </a:r>
          <a:r>
            <a:rPr lang="en-US" sz="900" b="0" i="0" u="none" strike="noStrike" baseline="0">
              <a:latin typeface="+mn-lt"/>
              <a:ea typeface="+mn-ea"/>
              <a:cs typeface="+mn-cs"/>
            </a:rPr>
            <a:t>intentional self-harm)</a:t>
          </a:r>
          <a:r>
            <a:rPr lang="en-US" sz="900">
              <a:effectLst/>
              <a:latin typeface="+mn-lt"/>
              <a:ea typeface="+mn-ea"/>
              <a:cs typeface="+mn-cs"/>
            </a:rPr>
            <a:t>, chronic medical conditions</a:t>
          </a:r>
          <a:r>
            <a:rPr lang="en-US" sz="900" baseline="0">
              <a:effectLst/>
              <a:latin typeface="+mn-lt"/>
              <a:ea typeface="+mn-ea"/>
              <a:cs typeface="+mn-cs"/>
            </a:rPr>
            <a:t> (HIV, HCV, CHF, hypertension, diabetes),</a:t>
          </a:r>
          <a:r>
            <a:rPr lang="en-US" sz="900">
              <a:effectLst/>
              <a:latin typeface="+mn-lt"/>
              <a:ea typeface="+mn-ea"/>
              <a:cs typeface="+mn-cs"/>
            </a:rPr>
            <a:t> demographic characteristics</a:t>
          </a:r>
          <a:r>
            <a:rPr lang="en-US" sz="900" baseline="0">
              <a:effectLst/>
              <a:latin typeface="+mn-lt"/>
              <a:ea typeface="+mn-ea"/>
              <a:cs typeface="+mn-cs"/>
            </a:rPr>
            <a:t> (age, gender, race)</a:t>
          </a:r>
          <a:r>
            <a:rPr lang="en-US" sz="900">
              <a:effectLst/>
              <a:latin typeface="+mn-lt"/>
              <a:ea typeface="+mn-ea"/>
              <a:cs typeface="+mn-cs"/>
            </a:rPr>
            <a:t> and engagement with state agencies</a:t>
          </a:r>
          <a:endParaRPr lang="en-US" sz="900"/>
        </a:p>
      </cdr:txBody>
    </cdr:sp>
  </cdr:relSizeAnchor>
</c:userShapes>
</file>

<file path=word/drawings/drawing7.xml><?xml version="1.0" encoding="utf-8"?>
<c:userShapes xmlns:c="http://schemas.openxmlformats.org/drawingml/2006/chart">
  <cdr:relSizeAnchor xmlns:cdr="http://schemas.openxmlformats.org/drawingml/2006/chartDrawing">
    <cdr:from>
      <cdr:x>0.309</cdr:x>
      <cdr:y>0.97266</cdr:y>
    </cdr:from>
    <cdr:to>
      <cdr:x>0.55688</cdr:x>
      <cdr:y>0.99219</cdr:y>
    </cdr:to>
    <cdr:sp macro="" textlink="">
      <cdr:nvSpPr>
        <cdr:cNvPr id="2" name="TextBox 1"/>
        <cdr:cNvSpPr txBox="1"/>
      </cdr:nvSpPr>
      <cdr:spPr>
        <a:xfrm xmlns:a="http://schemas.openxmlformats.org/drawingml/2006/main">
          <a:off x="2311400" y="3162299"/>
          <a:ext cx="1854200" cy="63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0.55179</cdr:x>
      <cdr:y>0.87185</cdr:y>
    </cdr:from>
    <cdr:to>
      <cdr:x>1</cdr:x>
      <cdr:y>1</cdr:y>
    </cdr:to>
    <cdr:sp macro="" textlink="">
      <cdr:nvSpPr>
        <cdr:cNvPr id="3" name="TextBox 2"/>
        <cdr:cNvSpPr txBox="1"/>
      </cdr:nvSpPr>
      <cdr:spPr>
        <a:xfrm xmlns:a="http://schemas.openxmlformats.org/drawingml/2006/main">
          <a:off x="4152081" y="3222096"/>
          <a:ext cx="3372669" cy="473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900"/>
            <a:t>UH= Unstable housing</a:t>
          </a:r>
        </a:p>
        <a:p xmlns:a="http://schemas.openxmlformats.org/drawingml/2006/main">
          <a:pPr algn="r"/>
          <a:r>
            <a:rPr lang="en-US" sz="900"/>
            <a:t>CJ=Criminal</a:t>
          </a:r>
          <a:r>
            <a:rPr lang="en-US" sz="900" baseline="0"/>
            <a:t> justice involved</a:t>
          </a:r>
          <a:endParaRPr lang="en-US" sz="900"/>
        </a:p>
      </cdr:txBody>
    </cdr:sp>
  </cdr:relSizeAnchor>
</c:userShapes>
</file>

<file path=word/drawings/drawing8.xml><?xml version="1.0" encoding="utf-8"?>
<c:userShapes xmlns:c="http://schemas.openxmlformats.org/drawingml/2006/chart">
  <cdr:relSizeAnchor xmlns:cdr="http://schemas.openxmlformats.org/drawingml/2006/chartDrawing">
    <cdr:from>
      <cdr:x>0.309</cdr:x>
      <cdr:y>0.97266</cdr:y>
    </cdr:from>
    <cdr:to>
      <cdr:x>0.55688</cdr:x>
      <cdr:y>0.99219</cdr:y>
    </cdr:to>
    <cdr:sp macro="" textlink="">
      <cdr:nvSpPr>
        <cdr:cNvPr id="2" name="TextBox 1"/>
        <cdr:cNvSpPr txBox="1"/>
      </cdr:nvSpPr>
      <cdr:spPr>
        <a:xfrm xmlns:a="http://schemas.openxmlformats.org/drawingml/2006/main">
          <a:off x="2311400" y="3162299"/>
          <a:ext cx="1854200" cy="63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0.55179</cdr:x>
      <cdr:y>0.87185</cdr:y>
    </cdr:from>
    <cdr:to>
      <cdr:x>1</cdr:x>
      <cdr:y>1</cdr:y>
    </cdr:to>
    <cdr:sp macro="" textlink="">
      <cdr:nvSpPr>
        <cdr:cNvPr id="3" name="TextBox 2"/>
        <cdr:cNvSpPr txBox="1"/>
      </cdr:nvSpPr>
      <cdr:spPr>
        <a:xfrm xmlns:a="http://schemas.openxmlformats.org/drawingml/2006/main">
          <a:off x="4152081" y="3222096"/>
          <a:ext cx="3372669" cy="4736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900"/>
            <a:t>UH= Unstable housing</a:t>
          </a:r>
        </a:p>
        <a:p xmlns:a="http://schemas.openxmlformats.org/drawingml/2006/main">
          <a:pPr algn="r"/>
          <a:r>
            <a:rPr lang="en-US" sz="900"/>
            <a:t>CJ=Criminal</a:t>
          </a:r>
          <a:r>
            <a:rPr lang="en-US" sz="900" baseline="0"/>
            <a:t> justice involved</a:t>
          </a:r>
          <a:endParaRPr lang="en-US" sz="900"/>
        </a:p>
      </cdr:txBody>
    </cdr:sp>
  </cdr:relSizeAnchor>
</c:userShapes>
</file>

<file path=word/drawings/drawing9.xml><?xml version="1.0" encoding="utf-8"?>
<c:userShapes xmlns:c="http://schemas.openxmlformats.org/drawingml/2006/chart">
  <cdr:relSizeAnchor xmlns:cdr="http://schemas.openxmlformats.org/drawingml/2006/chartDrawing">
    <cdr:from>
      <cdr:x>0.19872</cdr:x>
      <cdr:y>0.30465</cdr:y>
    </cdr:from>
    <cdr:to>
      <cdr:x>0.41987</cdr:x>
      <cdr:y>0.41508</cdr:y>
    </cdr:to>
    <cdr:sp macro="" textlink="">
      <cdr:nvSpPr>
        <cdr:cNvPr id="2" name="Text Box 1"/>
        <cdr:cNvSpPr txBox="1"/>
      </cdr:nvSpPr>
      <cdr:spPr>
        <a:xfrm xmlns:a="http://schemas.openxmlformats.org/drawingml/2006/main">
          <a:off x="1181100" y="761999"/>
          <a:ext cx="13144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Buprenorphine</a:t>
          </a:r>
        </a:p>
        <a:p xmlns:a="http://schemas.openxmlformats.org/drawingml/2006/main">
          <a:endParaRPr lang="en-US" sz="1100"/>
        </a:p>
      </cdr:txBody>
    </cdr:sp>
  </cdr:relSizeAnchor>
  <cdr:relSizeAnchor xmlns:cdr="http://schemas.openxmlformats.org/drawingml/2006/chartDrawing">
    <cdr:from>
      <cdr:x>0.60951</cdr:x>
      <cdr:y>0.30972</cdr:y>
    </cdr:from>
    <cdr:to>
      <cdr:x>0.83066</cdr:x>
      <cdr:y>0.42016</cdr:y>
    </cdr:to>
    <cdr:sp macro="" textlink="">
      <cdr:nvSpPr>
        <cdr:cNvPr id="4" name="Text Box 1"/>
        <cdr:cNvSpPr txBox="1"/>
      </cdr:nvSpPr>
      <cdr:spPr>
        <a:xfrm xmlns:a="http://schemas.openxmlformats.org/drawingml/2006/main">
          <a:off x="3622675" y="774699"/>
          <a:ext cx="1314450" cy="276225"/>
        </a:xfrm>
        <a:prstGeom xmlns:a="http://schemas.openxmlformats.org/drawingml/2006/main" prst="rect">
          <a:avLst/>
        </a:prstGeom>
      </cdr:spPr>
    </cdr:sp>
  </cdr:relSizeAnchor>
  <cdr:relSizeAnchor xmlns:cdr="http://schemas.openxmlformats.org/drawingml/2006/chartDrawing">
    <cdr:from>
      <cdr:x>0.65118</cdr:x>
      <cdr:y>0.30591</cdr:y>
    </cdr:from>
    <cdr:to>
      <cdr:x>0.87233</cdr:x>
      <cdr:y>0.41635</cdr:y>
    </cdr:to>
    <cdr:sp macro="" textlink="">
      <cdr:nvSpPr>
        <cdr:cNvPr id="3" name="Text Box 1"/>
        <cdr:cNvSpPr txBox="1"/>
      </cdr:nvSpPr>
      <cdr:spPr>
        <a:xfrm xmlns:a="http://schemas.openxmlformats.org/drawingml/2006/main">
          <a:off x="3870325" y="765174"/>
          <a:ext cx="131445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t>Methadone</a:t>
          </a:r>
        </a:p>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21892-11D1-4553-B40E-83F758C3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53</Pages>
  <Words>11173</Words>
  <Characters>63689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 Hood</dc:creator>
  <cp:lastModifiedBy>Dana</cp:lastModifiedBy>
  <cp:revision>19</cp:revision>
  <cp:lastPrinted>2019-10-18T15:46:00Z</cp:lastPrinted>
  <dcterms:created xsi:type="dcterms:W3CDTF">2019-10-22T13:36:00Z</dcterms:created>
  <dcterms:modified xsi:type="dcterms:W3CDTF">2019-11-08T17:03:00Z</dcterms:modified>
</cp:coreProperties>
</file>