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2532" w14:textId="77777777" w:rsidR="008C08F7" w:rsidRDefault="008C08F7" w:rsidP="008C08F7">
      <w:pPr>
        <w:jc w:val="center"/>
        <w:rPr>
          <w:sz w:val="24"/>
          <w:szCs w:val="24"/>
        </w:rPr>
      </w:pPr>
      <w:r w:rsidRPr="000238D2">
        <w:rPr>
          <w:sz w:val="24"/>
          <w:szCs w:val="24"/>
          <w:highlight w:val="yellow"/>
        </w:rPr>
        <w:t>[Place on LHA Letterhead]</w:t>
      </w:r>
      <w:r>
        <w:rPr>
          <w:sz w:val="24"/>
          <w:szCs w:val="24"/>
        </w:rPr>
        <w:t xml:space="preserve"> </w:t>
      </w:r>
    </w:p>
    <w:p w14:paraId="0D8BF91C" w14:textId="77777777" w:rsidR="008C08F7" w:rsidRDefault="008C08F7" w:rsidP="008C08F7">
      <w:pPr>
        <w:rPr>
          <w:sz w:val="24"/>
          <w:szCs w:val="24"/>
        </w:rPr>
      </w:pPr>
    </w:p>
    <w:p w14:paraId="4DE06A15" w14:textId="77777777" w:rsidR="008C08F7" w:rsidRDefault="008C08F7" w:rsidP="008C08F7">
      <w:pPr>
        <w:spacing w:after="0" w:line="240" w:lineRule="auto"/>
        <w:rPr>
          <w:sz w:val="24"/>
          <w:szCs w:val="24"/>
        </w:rPr>
      </w:pPr>
      <w:r w:rsidRPr="000238D2">
        <w:rPr>
          <w:sz w:val="24"/>
          <w:szCs w:val="24"/>
          <w:highlight w:val="yellow"/>
        </w:rPr>
        <w:t>[Date]</w:t>
      </w:r>
      <w:r>
        <w:rPr>
          <w:sz w:val="24"/>
          <w:szCs w:val="24"/>
        </w:rPr>
        <w:t>, 2024</w:t>
      </w:r>
    </w:p>
    <w:p w14:paraId="35528956" w14:textId="77777777" w:rsidR="008C08F7" w:rsidRPr="000238D2" w:rsidRDefault="008C08F7" w:rsidP="008C08F7">
      <w:pPr>
        <w:spacing w:after="0" w:line="240" w:lineRule="auto"/>
        <w:rPr>
          <w:sz w:val="24"/>
          <w:szCs w:val="24"/>
          <w:highlight w:val="yellow"/>
        </w:rPr>
      </w:pPr>
      <w:r w:rsidRPr="000238D2">
        <w:rPr>
          <w:sz w:val="24"/>
          <w:szCs w:val="24"/>
          <w:highlight w:val="yellow"/>
        </w:rPr>
        <w:t xml:space="preserve">[Head of Household] </w:t>
      </w:r>
    </w:p>
    <w:p w14:paraId="3A6B7CB0" w14:textId="77777777" w:rsidR="008C08F7" w:rsidRDefault="008C08F7" w:rsidP="008C08F7">
      <w:pPr>
        <w:spacing w:after="0" w:line="240" w:lineRule="auto"/>
        <w:rPr>
          <w:sz w:val="24"/>
          <w:szCs w:val="24"/>
        </w:rPr>
      </w:pPr>
      <w:r w:rsidRPr="000238D2">
        <w:rPr>
          <w:sz w:val="24"/>
          <w:szCs w:val="24"/>
          <w:highlight w:val="yellow"/>
        </w:rPr>
        <w:t>[Address]</w:t>
      </w:r>
      <w:r>
        <w:rPr>
          <w:sz w:val="24"/>
          <w:szCs w:val="24"/>
        </w:rPr>
        <w:t xml:space="preserve"> </w:t>
      </w:r>
    </w:p>
    <w:p w14:paraId="489B3A9D" w14:textId="77777777" w:rsidR="008C08F7" w:rsidRDefault="008C08F7" w:rsidP="008C08F7">
      <w:pPr>
        <w:spacing w:after="0" w:line="240" w:lineRule="auto"/>
        <w:rPr>
          <w:sz w:val="24"/>
          <w:szCs w:val="24"/>
        </w:rPr>
      </w:pPr>
    </w:p>
    <w:p w14:paraId="0624683D" w14:textId="77777777" w:rsidR="008C08F7" w:rsidRDefault="008C08F7" w:rsidP="008C08F7">
      <w:pPr>
        <w:jc w:val="center"/>
        <w:rPr>
          <w:b/>
          <w:bCs/>
          <w:sz w:val="32"/>
          <w:szCs w:val="32"/>
        </w:rPr>
      </w:pPr>
      <w:r>
        <w:rPr>
          <w:b/>
          <w:bCs/>
          <w:sz w:val="32"/>
          <w:szCs w:val="32"/>
        </w:rPr>
        <w:t xml:space="preserve">NOTICE OF LEASE AMENDMENT </w:t>
      </w:r>
    </w:p>
    <w:p w14:paraId="3DBF9F69" w14:textId="77777777" w:rsidR="008C08F7" w:rsidRDefault="008C08F7" w:rsidP="008C08F7">
      <w:pPr>
        <w:rPr>
          <w:sz w:val="32"/>
          <w:szCs w:val="32"/>
        </w:rPr>
      </w:pPr>
    </w:p>
    <w:p w14:paraId="7B536245" w14:textId="77777777" w:rsidR="008C08F7" w:rsidRDefault="008C08F7" w:rsidP="008C08F7">
      <w:pPr>
        <w:rPr>
          <w:sz w:val="24"/>
          <w:szCs w:val="24"/>
        </w:rPr>
      </w:pPr>
      <w:r>
        <w:rPr>
          <w:sz w:val="24"/>
          <w:szCs w:val="24"/>
        </w:rPr>
        <w:t xml:space="preserve">Dear </w:t>
      </w:r>
      <w:r w:rsidRPr="002E51ED">
        <w:rPr>
          <w:sz w:val="24"/>
          <w:szCs w:val="24"/>
          <w:highlight w:val="yellow"/>
        </w:rPr>
        <w:t>[XHA]</w:t>
      </w:r>
      <w:r>
        <w:rPr>
          <w:sz w:val="24"/>
          <w:szCs w:val="24"/>
        </w:rPr>
        <w:t xml:space="preserve"> Household, </w:t>
      </w:r>
    </w:p>
    <w:p w14:paraId="48EDFD2F" w14:textId="77777777" w:rsidR="008C08F7" w:rsidRDefault="008C08F7" w:rsidP="008C08F7">
      <w:pPr>
        <w:rPr>
          <w:sz w:val="24"/>
          <w:szCs w:val="24"/>
        </w:rPr>
      </w:pPr>
      <w:r w:rsidRPr="360DF885">
        <w:rPr>
          <w:sz w:val="24"/>
          <w:szCs w:val="24"/>
        </w:rPr>
        <w:t xml:space="preserve">This Notice informs you of changes to your lease. The changes are explained below, and a copy of a lease addendum reflecting these changes is attached. Because these changes are required due to changes in law, in accordance with Section XX of your lease, </w:t>
      </w:r>
      <w:r w:rsidRPr="360DF885">
        <w:rPr>
          <w:b/>
          <w:bCs/>
          <w:sz w:val="24"/>
          <w:szCs w:val="24"/>
        </w:rPr>
        <w:t>the lease amendments are effective thirty (30) days from the date of this Notice</w:t>
      </w:r>
      <w:r w:rsidRPr="360DF885">
        <w:rPr>
          <w:sz w:val="24"/>
          <w:szCs w:val="24"/>
        </w:rPr>
        <w:t>. As a condition of continued occupancy, you will be required to sign the lease addendum at your next redetermination.</w:t>
      </w:r>
    </w:p>
    <w:p w14:paraId="6D16C153" w14:textId="77777777" w:rsidR="008C08F7" w:rsidRDefault="008C08F7" w:rsidP="008C08F7">
      <w:pPr>
        <w:rPr>
          <w:sz w:val="24"/>
          <w:szCs w:val="24"/>
        </w:rPr>
      </w:pPr>
      <w:r>
        <w:rPr>
          <w:sz w:val="24"/>
          <w:szCs w:val="24"/>
        </w:rPr>
        <w:t xml:space="preserve"> </w:t>
      </w:r>
    </w:p>
    <w:p w14:paraId="1D037169" w14:textId="77777777" w:rsidR="008C08F7" w:rsidRDefault="008C08F7" w:rsidP="008C08F7">
      <w:pPr>
        <w:jc w:val="center"/>
        <w:rPr>
          <w:sz w:val="28"/>
          <w:szCs w:val="28"/>
        </w:rPr>
      </w:pPr>
      <w:r w:rsidRPr="000238D2">
        <w:rPr>
          <w:sz w:val="28"/>
          <w:szCs w:val="28"/>
        </w:rPr>
        <w:t>LEASE CHANGES</w:t>
      </w:r>
      <w:r>
        <w:rPr>
          <w:sz w:val="28"/>
          <w:szCs w:val="28"/>
        </w:rPr>
        <w:t>:</w:t>
      </w:r>
    </w:p>
    <w:p w14:paraId="28227E1F" w14:textId="77777777" w:rsidR="008C08F7" w:rsidRPr="00C12478" w:rsidRDefault="008C08F7" w:rsidP="008C08F7">
      <w:pPr>
        <w:rPr>
          <w:rFonts w:ascii="Arial" w:hAnsi="Arial" w:cs="Arial"/>
          <w:sz w:val="24"/>
          <w:szCs w:val="24"/>
        </w:rPr>
      </w:pPr>
      <w:r w:rsidRPr="441787E6">
        <w:rPr>
          <w:rFonts w:ascii="Arial" w:hAnsi="Arial" w:cs="Arial"/>
          <w:b/>
          <w:bCs/>
          <w:sz w:val="24"/>
          <w:szCs w:val="24"/>
        </w:rPr>
        <w:t xml:space="preserve">Section III </w:t>
      </w:r>
      <w:r w:rsidRPr="441787E6">
        <w:rPr>
          <w:rFonts w:ascii="Arial" w:hAnsi="Arial" w:cs="Arial"/>
          <w:sz w:val="24"/>
          <w:szCs w:val="24"/>
        </w:rPr>
        <w:t xml:space="preserve">is being amended to correspond to changes to the Executive Office of Housing and Livable Communities (“EOHLC”) heat deduction schedule. The updated heat deduction schedule doubles the standard deduction that can be claimed by households who pay their own heating bill </w:t>
      </w:r>
      <w:proofErr w:type="gramStart"/>
      <w:r w:rsidRPr="441787E6">
        <w:rPr>
          <w:rFonts w:ascii="Arial" w:hAnsi="Arial" w:cs="Arial"/>
          <w:sz w:val="24"/>
          <w:szCs w:val="24"/>
        </w:rPr>
        <w:t>and also</w:t>
      </w:r>
      <w:proofErr w:type="gramEnd"/>
      <w:r w:rsidRPr="441787E6">
        <w:rPr>
          <w:rFonts w:ascii="Arial" w:hAnsi="Arial" w:cs="Arial"/>
          <w:sz w:val="24"/>
          <w:szCs w:val="24"/>
        </w:rPr>
        <w:t xml:space="preserve"> creates an additional deduction for households paying for electric heat.</w:t>
      </w:r>
    </w:p>
    <w:p w14:paraId="4E4D2ED9" w14:textId="77777777" w:rsidR="008C08F7" w:rsidRDefault="008C08F7" w:rsidP="008C08F7">
      <w:pPr>
        <w:rPr>
          <w:rFonts w:ascii="Arial" w:hAnsi="Arial" w:cs="Arial"/>
          <w:sz w:val="24"/>
          <w:szCs w:val="24"/>
        </w:rPr>
      </w:pPr>
      <w:r>
        <w:rPr>
          <w:b/>
          <w:bCs/>
          <w:sz w:val="24"/>
          <w:szCs w:val="24"/>
        </w:rPr>
        <w:t>Section V(C)</w:t>
      </w:r>
      <w:r>
        <w:rPr>
          <w:rFonts w:ascii="Arial" w:hAnsi="Arial" w:cs="Arial"/>
          <w:sz w:val="24"/>
          <w:szCs w:val="24"/>
        </w:rPr>
        <w:t xml:space="preserve"> is being amended to correspond with changes to the definition of Personal Care Attendant (“PCA”) contained in 760 CMR 6.03. The changes to the lease clarify that PCAs must be paid for their services, that full-time live-in PCAs must be deemed a household member for purposes of determining appropriate unit size and that, if a household seeks to add a PCA to the lease as a household member, the tenant must request that the PCA be added as an approved household member pursuant to Section XII of the lease and 760 CMR 5.03: Family (Household)(b).</w:t>
      </w:r>
    </w:p>
    <w:p w14:paraId="020B0E88" w14:textId="77777777" w:rsidR="008C08F7" w:rsidRDefault="008C08F7" w:rsidP="008C08F7">
      <w:pPr>
        <w:rPr>
          <w:rFonts w:ascii="Arial" w:hAnsi="Arial" w:cs="Arial"/>
          <w:sz w:val="24"/>
          <w:szCs w:val="24"/>
        </w:rPr>
      </w:pPr>
      <w:r>
        <w:rPr>
          <w:rFonts w:ascii="Arial" w:hAnsi="Arial" w:cs="Arial"/>
          <w:b/>
          <w:bCs/>
          <w:sz w:val="24"/>
          <w:szCs w:val="24"/>
        </w:rPr>
        <w:t xml:space="preserve">Section VIII(G) </w:t>
      </w:r>
      <w:r>
        <w:rPr>
          <w:rFonts w:ascii="Arial" w:hAnsi="Arial" w:cs="Arial"/>
          <w:sz w:val="24"/>
          <w:szCs w:val="24"/>
        </w:rPr>
        <w:t xml:space="preserve">is being amended to correspond to changes to the Massachusetts State Sanitary Code requiring landlords to clearly indicate whether they are providing tenants with a refrigerator. </w:t>
      </w:r>
    </w:p>
    <w:p w14:paraId="7D3926C2" w14:textId="77777777" w:rsidR="008C08F7" w:rsidRPr="00C12478" w:rsidRDefault="008C08F7" w:rsidP="008C08F7">
      <w:pPr>
        <w:rPr>
          <w:rFonts w:ascii="Arial" w:hAnsi="Arial" w:cs="Arial"/>
          <w:sz w:val="24"/>
          <w:szCs w:val="24"/>
        </w:rPr>
      </w:pPr>
      <w:r>
        <w:rPr>
          <w:rFonts w:ascii="Arial" w:hAnsi="Arial" w:cs="Arial"/>
          <w:b/>
          <w:bCs/>
          <w:sz w:val="24"/>
          <w:szCs w:val="24"/>
        </w:rPr>
        <w:t xml:space="preserve">Section VIII(H) </w:t>
      </w:r>
      <w:r>
        <w:rPr>
          <w:rFonts w:ascii="Arial" w:hAnsi="Arial" w:cs="Arial"/>
          <w:sz w:val="24"/>
          <w:szCs w:val="24"/>
        </w:rPr>
        <w:t xml:space="preserve">is being amended to correspond to changes to Massachusetts law related to obligations of landlords to re-key locks for victims of domestic violence, rape, sexual assault, or stalking. The amendment clarifies that the </w:t>
      </w:r>
      <w:r w:rsidRPr="00C12478">
        <w:rPr>
          <w:rFonts w:ascii="Arial" w:hAnsi="Arial" w:cs="Arial"/>
          <w:sz w:val="24"/>
          <w:szCs w:val="24"/>
          <w:highlight w:val="yellow"/>
        </w:rPr>
        <w:t>[XHA]</w:t>
      </w:r>
      <w:r>
        <w:rPr>
          <w:rFonts w:ascii="Arial" w:hAnsi="Arial" w:cs="Arial"/>
          <w:sz w:val="24"/>
          <w:szCs w:val="24"/>
        </w:rPr>
        <w:t xml:space="preserve"> is required to re-key </w:t>
      </w:r>
      <w:r>
        <w:rPr>
          <w:rFonts w:ascii="Arial" w:hAnsi="Arial" w:cs="Arial"/>
          <w:sz w:val="24"/>
          <w:szCs w:val="24"/>
        </w:rPr>
        <w:lastRenderedPageBreak/>
        <w:t xml:space="preserve">the locks of victims of domestic violence, rape, sexual assault, or stalking within 48 hours of receiving a request. </w:t>
      </w:r>
    </w:p>
    <w:p w14:paraId="1490D8E4" w14:textId="308D6536" w:rsidR="008C08F7" w:rsidRDefault="008C08F7" w:rsidP="008C08F7">
      <w:pPr>
        <w:rPr>
          <w:rFonts w:ascii="Arial" w:hAnsi="Arial" w:cs="Arial"/>
          <w:sz w:val="24"/>
          <w:szCs w:val="24"/>
        </w:rPr>
      </w:pPr>
      <w:r>
        <w:rPr>
          <w:rFonts w:ascii="Arial" w:hAnsi="Arial" w:cs="Arial"/>
          <w:b/>
          <w:bCs/>
          <w:sz w:val="24"/>
          <w:szCs w:val="24"/>
        </w:rPr>
        <w:t xml:space="preserve">Section X(C)(7) </w:t>
      </w:r>
      <w:r>
        <w:rPr>
          <w:rFonts w:ascii="Arial" w:hAnsi="Arial" w:cs="Arial"/>
          <w:sz w:val="24"/>
          <w:szCs w:val="24"/>
        </w:rPr>
        <w:t xml:space="preserve">is being amended to correspond to changes to 760 CMR 6.06(6)(f) which make the previously optional six-month exemption for </w:t>
      </w:r>
      <w:proofErr w:type="spellStart"/>
      <w:r>
        <w:rPr>
          <w:rFonts w:ascii="Arial" w:hAnsi="Arial" w:cs="Arial"/>
          <w:sz w:val="24"/>
          <w:szCs w:val="24"/>
        </w:rPr>
        <w:t>overincome</w:t>
      </w:r>
      <w:proofErr w:type="spellEnd"/>
      <w:r>
        <w:rPr>
          <w:rFonts w:ascii="Arial" w:hAnsi="Arial" w:cs="Arial"/>
          <w:sz w:val="24"/>
          <w:szCs w:val="24"/>
        </w:rPr>
        <w:t xml:space="preserve"> households mandatory and also allows, but does not require, LHAs to allow an additional six-month exemption.</w:t>
      </w:r>
    </w:p>
    <w:p w14:paraId="13DD6957" w14:textId="77777777" w:rsidR="008C08F7" w:rsidRDefault="008C08F7" w:rsidP="008C08F7">
      <w:pPr>
        <w:rPr>
          <w:rFonts w:ascii="Arial" w:hAnsi="Arial" w:cs="Arial"/>
          <w:sz w:val="24"/>
          <w:szCs w:val="24"/>
        </w:rPr>
      </w:pPr>
      <w:r w:rsidRPr="000C188A">
        <w:rPr>
          <w:rFonts w:ascii="Arial" w:hAnsi="Arial" w:cs="Arial"/>
          <w:b/>
          <w:bCs/>
          <w:sz w:val="24"/>
          <w:szCs w:val="24"/>
        </w:rPr>
        <w:t>Please note</w:t>
      </w:r>
      <w:r>
        <w:rPr>
          <w:rFonts w:ascii="Arial" w:hAnsi="Arial" w:cs="Arial"/>
          <w:sz w:val="24"/>
          <w:szCs w:val="24"/>
        </w:rPr>
        <w:t xml:space="preserve"> that the amended lease also makes minor technical changes to reflect the former Department of Housing and Community Development changing names to the Executive Office of Housing and Livable Communities. </w:t>
      </w:r>
    </w:p>
    <w:p w14:paraId="301EDF29" w14:textId="77777777" w:rsidR="008C08F7" w:rsidRDefault="008C08F7" w:rsidP="008C08F7">
      <w:pPr>
        <w:rPr>
          <w:rFonts w:ascii="Arial" w:hAnsi="Arial" w:cs="Arial"/>
          <w:b/>
          <w:bCs/>
          <w:sz w:val="24"/>
          <w:szCs w:val="24"/>
        </w:rPr>
      </w:pPr>
    </w:p>
    <w:p w14:paraId="2B63F659" w14:textId="77777777" w:rsidR="008C08F7" w:rsidRPr="000C188A" w:rsidRDefault="008C08F7" w:rsidP="008C08F7">
      <w:pPr>
        <w:rPr>
          <w:rFonts w:ascii="Arial" w:hAnsi="Arial" w:cs="Arial"/>
          <w:sz w:val="24"/>
          <w:szCs w:val="24"/>
        </w:rPr>
      </w:pPr>
      <w:r w:rsidRPr="360DF885">
        <w:rPr>
          <w:rFonts w:ascii="Arial" w:hAnsi="Arial" w:cs="Arial"/>
          <w:sz w:val="24"/>
          <w:szCs w:val="24"/>
        </w:rPr>
        <w:t>Attachment: Lease Addendum</w:t>
      </w:r>
    </w:p>
    <w:p w14:paraId="34EE6EA1" w14:textId="77777777" w:rsidR="008C08F7" w:rsidRDefault="008C08F7" w:rsidP="008C08F7">
      <w:pPr>
        <w:rPr>
          <w:rFonts w:ascii="Arial" w:hAnsi="Arial" w:cs="Arial"/>
          <w:sz w:val="24"/>
          <w:szCs w:val="24"/>
        </w:rPr>
      </w:pPr>
    </w:p>
    <w:p w14:paraId="3A16D61A" w14:textId="77777777" w:rsidR="008C08F7" w:rsidRPr="000238D2" w:rsidRDefault="008C08F7" w:rsidP="008C08F7">
      <w:pPr>
        <w:rPr>
          <w:sz w:val="24"/>
          <w:szCs w:val="24"/>
        </w:rPr>
      </w:pPr>
    </w:p>
    <w:p w14:paraId="6F5AAC4F" w14:textId="77777777" w:rsidR="005B65D0" w:rsidRDefault="005B65D0"/>
    <w:sectPr w:rsidR="005B65D0" w:rsidSect="008C08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362E" w14:textId="77777777" w:rsidR="00CA11CC" w:rsidRDefault="00CA11CC">
      <w:pPr>
        <w:spacing w:after="0" w:line="240" w:lineRule="auto"/>
      </w:pPr>
      <w:r>
        <w:separator/>
      </w:r>
    </w:p>
  </w:endnote>
  <w:endnote w:type="continuationSeparator" w:id="0">
    <w:p w14:paraId="09039B13" w14:textId="77777777" w:rsidR="00CA11CC" w:rsidRDefault="00CA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156085"/>
      <w:docPartObj>
        <w:docPartGallery w:val="Page Numbers (Bottom of Page)"/>
        <w:docPartUnique/>
      </w:docPartObj>
    </w:sdtPr>
    <w:sdtEndPr>
      <w:rPr>
        <w:rFonts w:ascii="Arial" w:hAnsi="Arial" w:cs="Arial"/>
        <w:noProof/>
      </w:rPr>
    </w:sdtEndPr>
    <w:sdtContent>
      <w:p w14:paraId="19208574" w14:textId="77777777" w:rsidR="008C08F7" w:rsidRPr="000C188A" w:rsidRDefault="008C08F7">
        <w:pPr>
          <w:pStyle w:val="Footer"/>
          <w:jc w:val="center"/>
          <w:rPr>
            <w:rFonts w:ascii="Arial" w:hAnsi="Arial" w:cs="Arial"/>
          </w:rPr>
        </w:pPr>
        <w:r w:rsidRPr="000C188A">
          <w:rPr>
            <w:rFonts w:ascii="Arial" w:hAnsi="Arial" w:cs="Arial"/>
          </w:rPr>
          <w:fldChar w:fldCharType="begin"/>
        </w:r>
        <w:r w:rsidRPr="000C188A">
          <w:rPr>
            <w:rFonts w:ascii="Arial" w:hAnsi="Arial" w:cs="Arial"/>
          </w:rPr>
          <w:instrText xml:space="preserve"> PAGE   \* MERGEFORMAT </w:instrText>
        </w:r>
        <w:r w:rsidRPr="000C188A">
          <w:rPr>
            <w:rFonts w:ascii="Arial" w:hAnsi="Arial" w:cs="Arial"/>
          </w:rPr>
          <w:fldChar w:fldCharType="separate"/>
        </w:r>
        <w:r w:rsidRPr="000C188A">
          <w:rPr>
            <w:rFonts w:ascii="Arial" w:hAnsi="Arial" w:cs="Arial"/>
            <w:noProof/>
          </w:rPr>
          <w:t>2</w:t>
        </w:r>
        <w:r w:rsidRPr="000C188A">
          <w:rPr>
            <w:rFonts w:ascii="Arial" w:hAnsi="Arial" w:cs="Arial"/>
            <w:noProof/>
          </w:rPr>
          <w:fldChar w:fldCharType="end"/>
        </w:r>
      </w:p>
    </w:sdtContent>
  </w:sdt>
  <w:p w14:paraId="0FAC7D19" w14:textId="77777777" w:rsidR="008C08F7" w:rsidRDefault="008C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37CD" w14:textId="77777777" w:rsidR="00CA11CC" w:rsidRDefault="00CA11CC">
      <w:pPr>
        <w:spacing w:after="0" w:line="240" w:lineRule="auto"/>
      </w:pPr>
      <w:r>
        <w:separator/>
      </w:r>
    </w:p>
  </w:footnote>
  <w:footnote w:type="continuationSeparator" w:id="0">
    <w:p w14:paraId="1D6EA565" w14:textId="77777777" w:rsidR="00CA11CC" w:rsidRDefault="00CA11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F7"/>
    <w:rsid w:val="005B65D0"/>
    <w:rsid w:val="008C08F7"/>
    <w:rsid w:val="0098188E"/>
    <w:rsid w:val="00AB34CF"/>
    <w:rsid w:val="00AF7C9A"/>
    <w:rsid w:val="00CA11CC"/>
    <w:rsid w:val="00F4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2375"/>
  <w15:chartTrackingRefBased/>
  <w15:docId w15:val="{9903845E-75DB-46FB-B85E-63F5AC41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F7"/>
  </w:style>
  <w:style w:type="paragraph" w:styleId="Heading1">
    <w:name w:val="heading 1"/>
    <w:basedOn w:val="Normal"/>
    <w:next w:val="Normal"/>
    <w:link w:val="Heading1Char"/>
    <w:uiPriority w:val="9"/>
    <w:qFormat/>
    <w:rsid w:val="008C0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8F7"/>
    <w:rPr>
      <w:rFonts w:eastAsiaTheme="majorEastAsia" w:cstheme="majorBidi"/>
      <w:color w:val="272727" w:themeColor="text1" w:themeTint="D8"/>
    </w:rPr>
  </w:style>
  <w:style w:type="paragraph" w:styleId="Title">
    <w:name w:val="Title"/>
    <w:basedOn w:val="Normal"/>
    <w:next w:val="Normal"/>
    <w:link w:val="TitleChar"/>
    <w:uiPriority w:val="10"/>
    <w:qFormat/>
    <w:rsid w:val="008C0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8F7"/>
    <w:pPr>
      <w:spacing w:before="160"/>
      <w:jc w:val="center"/>
    </w:pPr>
    <w:rPr>
      <w:i/>
      <w:iCs/>
      <w:color w:val="404040" w:themeColor="text1" w:themeTint="BF"/>
    </w:rPr>
  </w:style>
  <w:style w:type="character" w:customStyle="1" w:styleId="QuoteChar">
    <w:name w:val="Quote Char"/>
    <w:basedOn w:val="DefaultParagraphFont"/>
    <w:link w:val="Quote"/>
    <w:uiPriority w:val="29"/>
    <w:rsid w:val="008C08F7"/>
    <w:rPr>
      <w:i/>
      <w:iCs/>
      <w:color w:val="404040" w:themeColor="text1" w:themeTint="BF"/>
    </w:rPr>
  </w:style>
  <w:style w:type="paragraph" w:styleId="ListParagraph">
    <w:name w:val="List Paragraph"/>
    <w:basedOn w:val="Normal"/>
    <w:uiPriority w:val="34"/>
    <w:qFormat/>
    <w:rsid w:val="008C08F7"/>
    <w:pPr>
      <w:ind w:left="720"/>
      <w:contextualSpacing/>
    </w:pPr>
  </w:style>
  <w:style w:type="character" w:styleId="IntenseEmphasis">
    <w:name w:val="Intense Emphasis"/>
    <w:basedOn w:val="DefaultParagraphFont"/>
    <w:uiPriority w:val="21"/>
    <w:qFormat/>
    <w:rsid w:val="008C08F7"/>
    <w:rPr>
      <w:i/>
      <w:iCs/>
      <w:color w:val="0F4761" w:themeColor="accent1" w:themeShade="BF"/>
    </w:rPr>
  </w:style>
  <w:style w:type="paragraph" w:styleId="IntenseQuote">
    <w:name w:val="Intense Quote"/>
    <w:basedOn w:val="Normal"/>
    <w:next w:val="Normal"/>
    <w:link w:val="IntenseQuoteChar"/>
    <w:uiPriority w:val="30"/>
    <w:qFormat/>
    <w:rsid w:val="008C0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8F7"/>
    <w:rPr>
      <w:i/>
      <w:iCs/>
      <w:color w:val="0F4761" w:themeColor="accent1" w:themeShade="BF"/>
    </w:rPr>
  </w:style>
  <w:style w:type="character" w:styleId="IntenseReference">
    <w:name w:val="Intense Reference"/>
    <w:basedOn w:val="DefaultParagraphFont"/>
    <w:uiPriority w:val="32"/>
    <w:qFormat/>
    <w:rsid w:val="008C08F7"/>
    <w:rPr>
      <w:b/>
      <w:bCs/>
      <w:smallCaps/>
      <w:color w:val="0F4761" w:themeColor="accent1" w:themeShade="BF"/>
      <w:spacing w:val="5"/>
    </w:rPr>
  </w:style>
  <w:style w:type="paragraph" w:styleId="Footer">
    <w:name w:val="footer"/>
    <w:basedOn w:val="Normal"/>
    <w:link w:val="FooterChar"/>
    <w:uiPriority w:val="99"/>
    <w:unhideWhenUsed/>
    <w:rsid w:val="008C0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5957896562942B02BE26174CF78CB" ma:contentTypeVersion="17" ma:contentTypeDescription="Create a new document." ma:contentTypeScope="" ma:versionID="9f5879caac1a8187d6e94092bea6a822">
  <xsd:schema xmlns:xsd="http://www.w3.org/2001/XMLSchema" xmlns:xs="http://www.w3.org/2001/XMLSchema" xmlns:p="http://schemas.microsoft.com/office/2006/metadata/properties" xmlns:ns2="d1706ee9-80ee-4f25-af17-8ecdea1037d8" xmlns:ns3="7b83dbe2-6fd2-449a-a932-0d75829bf641" targetNamespace="http://schemas.microsoft.com/office/2006/metadata/properties" ma:root="true" ma:fieldsID="dd666bcc4e69c57e4801e36fe81a00ab" ns2:_="" ns3:_="">
    <xsd:import namespace="d1706ee9-80ee-4f25-af17-8ecdea1037d8"/>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6ee9-80ee-4f25-af17-8ecdea103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706ee9-80ee-4f25-af17-8ecdea1037d8">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DBD9A90E-511C-4A6C-8E8F-ED492670DE0D}"/>
</file>

<file path=customXml/itemProps2.xml><?xml version="1.0" encoding="utf-8"?>
<ds:datastoreItem xmlns:ds="http://schemas.openxmlformats.org/officeDocument/2006/customXml" ds:itemID="{7FE6BBCD-6D0B-4B6E-8E27-28A904034E36}">
  <ds:schemaRefs>
    <ds:schemaRef ds:uri="http://schemas.microsoft.com/sharepoint/v3/contenttype/forms"/>
  </ds:schemaRefs>
</ds:datastoreItem>
</file>

<file path=customXml/itemProps3.xml><?xml version="1.0" encoding="utf-8"?>
<ds:datastoreItem xmlns:ds="http://schemas.openxmlformats.org/officeDocument/2006/customXml" ds:itemID="{22892E9E-633A-440A-A23D-EC0D7961463B}"/>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2220</Characters>
  <Application>Microsoft Office Word</Application>
  <DocSecurity>0</DocSecurity>
  <Lines>138</Lines>
  <Paragraphs>68</Paragraphs>
  <ScaleCrop>false</ScaleCrop>
  <Company>Commonwealth of Massachusetts</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Halfpenny, Bill (EOHLC)</dc:creator>
  <cp:keywords/>
  <dc:description/>
  <cp:lastModifiedBy>Benchimol, Elisangela (EOHLC)</cp:lastModifiedBy>
  <cp:revision>2</cp:revision>
  <dcterms:created xsi:type="dcterms:W3CDTF">2026-03-12T18:31:00Z</dcterms:created>
  <dcterms:modified xsi:type="dcterms:W3CDTF">2026-03-12T18:31:00Z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0x01010029D5957896562942B02BE26174CF78CB</vt:lpwstr>
  </property>
</Properties>
</file>